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drawings/drawing4.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7.xml" ContentType="application/vnd.openxmlformats-officedocument.themeOverride+xml"/>
  <Override PartName="/word/drawings/drawing5.xml" ContentType="application/vnd.openxmlformats-officedocument.drawingml.chartshapes+xml"/>
  <Override PartName="/word/charts/chart10.xml" ContentType="application/vnd.openxmlformats-officedocument.drawingml.chart+xml"/>
  <Override PartName="/word/theme/themeOverride8.xml" ContentType="application/vnd.openxmlformats-officedocument.themeOverride+xml"/>
  <Override PartName="/word/drawings/drawing6.xml" ContentType="application/vnd.openxmlformats-officedocument.drawingml.chartshapes+xml"/>
  <Override PartName="/word/charts/chart11.xml" ContentType="application/vnd.openxmlformats-officedocument.drawingml.chart+xml"/>
  <Override PartName="/word/theme/themeOverride9.xml" ContentType="application/vnd.openxmlformats-officedocument.themeOverride+xml"/>
  <Override PartName="/word/drawings/drawing7.xml" ContentType="application/vnd.openxmlformats-officedocument.drawingml.chartshapes+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drawings/drawing8.xml" ContentType="application/vnd.openxmlformats-officedocument.drawingml.chartshapes+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drawings/drawing9.xml" ContentType="application/vnd.openxmlformats-officedocument.drawingml.chartshapes+xml"/>
  <Override PartName="/word/charts/chart14.xml" ContentType="application/vnd.openxmlformats-officedocument.drawingml.chart+xml"/>
  <Override PartName="/word/theme/themeOverride12.xml" ContentType="application/vnd.openxmlformats-officedocument.themeOverride+xml"/>
  <Override PartName="/word/drawings/drawing10.xml" ContentType="application/vnd.openxmlformats-officedocument.drawingml.chartshapes+xml"/>
  <Override PartName="/word/charts/chart15.xml" ContentType="application/vnd.openxmlformats-officedocument.drawingml.chart+xml"/>
  <Override PartName="/word/theme/themeOverride13.xml" ContentType="application/vnd.openxmlformats-officedocument.themeOverride+xml"/>
  <Override PartName="/word/drawings/drawing11.xml" ContentType="application/vnd.openxmlformats-officedocument.drawingml.chartshapes+xml"/>
  <Override PartName="/word/charts/chart16.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4.xml" ContentType="application/vnd.openxmlformats-officedocument.themeOverride+xml"/>
  <Override PartName="/word/charts/chart17.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5.xml" ContentType="application/vnd.openxmlformats-officedocument.themeOverride+xml"/>
  <Override PartName="/word/charts/chart18.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8.xml" ContentType="application/vnd.openxmlformats-officedocument.themeOverride+xml"/>
  <Override PartName="/word/charts/chart21.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9.xml" ContentType="application/vnd.openxmlformats-officedocument.themeOverride+xml"/>
  <Override PartName="/word/charts/chart22.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0.xml" ContentType="application/vnd.openxmlformats-officedocument.themeOverride+xml"/>
  <Override PartName="/word/charts/chart23.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1.xml" ContentType="application/vnd.openxmlformats-officedocument.themeOverride+xml"/>
  <Override PartName="/word/charts/chart24.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2.xml" ContentType="application/vnd.openxmlformats-officedocument.themeOverride+xml"/>
  <Override PartName="/word/charts/chart25.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3.xml" ContentType="application/vnd.openxmlformats-officedocument.themeOverride+xml"/>
  <Override PartName="/word/charts/chart26.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4.xml" ContentType="application/vnd.openxmlformats-officedocument.themeOverride+xml"/>
  <Override PartName="/word/charts/chart27.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5.xml" ContentType="application/vnd.openxmlformats-officedocument.themeOverride+xml"/>
  <Override PartName="/word/charts/chart28.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6.xml" ContentType="application/vnd.openxmlformats-officedocument.themeOverride+xml"/>
  <Override PartName="/word/drawings/drawing12.xml" ContentType="application/vnd.openxmlformats-officedocument.drawingml.chartshapes+xml"/>
  <Override PartName="/word/charts/chart29.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7.xml" ContentType="application/vnd.openxmlformats-officedocument.themeOverride+xml"/>
  <Override PartName="/word/charts/chart30.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8.xml" ContentType="application/vnd.openxmlformats-officedocument.themeOverride+xml"/>
  <Override PartName="/word/charts/chart31.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9.xml" ContentType="application/vnd.openxmlformats-officedocument.themeOverride+xml"/>
  <Override PartName="/word/charts/chart32.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30.xml" ContentType="application/vnd.openxmlformats-officedocument.themeOverride+xml"/>
  <Override PartName="/word/charts/chart33.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31.xml" ContentType="application/vnd.openxmlformats-officedocument.themeOverride+xml"/>
  <Override PartName="/word/charts/chart34.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32.xml" ContentType="application/vnd.openxmlformats-officedocument.themeOverride+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charts/chart35.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3.xml" ContentType="application/vnd.openxmlformats-officedocument.themeOverride+xml"/>
  <Override PartName="/word/drawings/drawing13.xml" ContentType="application/vnd.openxmlformats-officedocument.drawingml.chartshapes+xml"/>
  <Override PartName="/word/charts/chart36.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4.xml" ContentType="application/vnd.openxmlformats-officedocument.themeOverride+xml"/>
  <Override PartName="/word/drawings/drawing14.xml" ContentType="application/vnd.openxmlformats-officedocument.drawingml.chartshapes+xml"/>
  <Override PartName="/word/charts/chart37.xml" ContentType="application/vnd.openxmlformats-officedocument.drawingml.chart+xml"/>
  <Override PartName="/word/theme/themeOverride35.xml" ContentType="application/vnd.openxmlformats-officedocument.themeOverride+xml"/>
  <Override PartName="/word/charts/chart38.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6.xml" ContentType="application/vnd.openxmlformats-officedocument.themeOverride+xml"/>
  <Override PartName="/word/drawings/drawing15.xml" ContentType="application/vnd.openxmlformats-officedocument.drawingml.chartshapes+xml"/>
  <Override PartName="/word/charts/chart39.xml" ContentType="application/vnd.openxmlformats-officedocument.drawingml.chart+xml"/>
  <Override PartName="/word/theme/themeOverride37.xml" ContentType="application/vnd.openxmlformats-officedocument.themeOverride+xml"/>
  <Override PartName="/word/drawings/drawing16.xml" ContentType="application/vnd.openxmlformats-officedocument.drawingml.chartshapes+xml"/>
  <Override PartName="/word/charts/chart40.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8.xml" ContentType="application/vnd.openxmlformats-officedocument.themeOverride+xml"/>
  <Override PartName="/word/charts/chart41.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9.xml" ContentType="application/vnd.openxmlformats-officedocument.themeOverride+xml"/>
  <Override PartName="/word/charts/chart42.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40.xml" ContentType="application/vnd.openxmlformats-officedocument.themeOverride+xml"/>
  <Override PartName="/word/charts/chart43.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41.xml" ContentType="application/vnd.openxmlformats-officedocument.themeOverride+xml"/>
  <Override PartName="/word/drawings/drawing17.xml" ContentType="application/vnd.openxmlformats-officedocument.drawingml.chartshapes+xml"/>
  <Override PartName="/word/charts/chart44.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42.xml" ContentType="application/vnd.openxmlformats-officedocument.themeOverride+xml"/>
  <Override PartName="/word/drawings/drawing18.xml" ContentType="application/vnd.openxmlformats-officedocument.drawingml.chartshapes+xml"/>
  <Override PartName="/word/charts/chart45.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43.xml" ContentType="application/vnd.openxmlformats-officedocument.themeOverride+xml"/>
  <Override PartName="/word/charts/chart46.xml" ContentType="application/vnd.openxmlformats-officedocument.drawingml.chart+xml"/>
  <Override PartName="/word/theme/themeOverride44.xml" ContentType="application/vnd.openxmlformats-officedocument.themeOverride+xml"/>
  <Override PartName="/word/charts/chart47.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45.xml" ContentType="application/vnd.openxmlformats-officedocument.themeOverride+xml"/>
  <Override PartName="/word/drawings/drawing19.xml" ContentType="application/vnd.openxmlformats-officedocument.drawingml.chartshapes+xml"/>
  <Override PartName="/word/charts/chart48.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46.xml" ContentType="application/vnd.openxmlformats-officedocument.themeOverride+xml"/>
  <Override PartName="/word/drawings/drawing20.xml" ContentType="application/vnd.openxmlformats-officedocument.drawingml.chartshapes+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9.xml" ContentType="application/vnd.openxmlformats-officedocument.wordprocessingml.header+xml"/>
  <Override PartName="/word/charts/chart49.xml" ContentType="application/vnd.openxmlformats-officedocument.drawingml.chart+xml"/>
  <Override PartName="/word/charts/style41.xml" ContentType="application/vnd.ms-office.chartstyle+xml"/>
  <Override PartName="/word/charts/colors41.xml" ContentType="application/vnd.ms-office.chartcolorstyle+xml"/>
  <Override PartName="/word/header20.xml" ContentType="application/vnd.openxmlformats-officedocument.wordprocessingml.header+xml"/>
  <Override PartName="/word/header21.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5.xml" ContentType="application/vnd.openxmlformats-officedocument.wordprocessingml.header+xml"/>
  <Override PartName="/word/charts/chart50.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47.xml" ContentType="application/vnd.openxmlformats-officedocument.themeOverride+xml"/>
  <Override PartName="/word/charts/chart51.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48.xml" ContentType="application/vnd.openxmlformats-officedocument.themeOverride+xml"/>
  <Override PartName="/word/drawings/drawing21.xml" ContentType="application/vnd.openxmlformats-officedocument.drawingml.chartshapes+xml"/>
  <Override PartName="/word/charts/chart52.xml" ContentType="application/vnd.openxmlformats-officedocument.drawingml.chart+xml"/>
  <Override PartName="/word/charts/style44.xml" ContentType="application/vnd.ms-office.chartstyle+xml"/>
  <Override PartName="/word/charts/colors44.xml" ContentType="application/vnd.ms-office.chartcolorstyle+xml"/>
  <Override PartName="/word/drawings/drawing22.xml" ContentType="application/vnd.openxmlformats-officedocument.drawingml.chartshapes+xml"/>
  <Override PartName="/word/header26.xml" ContentType="application/vnd.openxmlformats-officedocument.wordprocessingml.header+xml"/>
  <Override PartName="/word/header27.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32.xml" ContentType="application/vnd.openxmlformats-officedocument.wordprocessingml.header+xml"/>
  <Override PartName="/word/charts/chart53.xml" ContentType="application/vnd.openxmlformats-officedocument.drawingml.chart+xml"/>
  <Override PartName="/word/theme/themeOverride49.xml" ContentType="application/vnd.openxmlformats-officedocument.themeOverride+xml"/>
  <Override PartName="/word/drawings/drawing23.xml" ContentType="application/vnd.openxmlformats-officedocument.drawingml.chartshapes+xml"/>
  <Override PartName="/word/footer27.xml" ContentType="application/vnd.openxmlformats-officedocument.wordprocessingml.footer+xml"/>
  <Override PartName="/word/footer28.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29.xml" ContentType="application/vnd.openxmlformats-officedocument.wordprocessingml.footer+xml"/>
  <Override PartName="/word/header35.xml" ContentType="application/vnd.openxmlformats-officedocument.wordprocessingml.header+xml"/>
  <Override PartName="/word/footer30.xml" ContentType="application/vnd.openxmlformats-officedocument.wordprocessingml.footer+xml"/>
  <Override PartName="/word/header36.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9.xml" ContentType="application/vnd.openxmlformats-officedocument.wordprocessingml.header+xml"/>
  <Override PartName="/word/charts/chart54.xml" ContentType="application/vnd.openxmlformats-officedocument.drawingml.chart+xml"/>
  <Override PartName="/word/charts/style45.xml" ContentType="application/vnd.ms-office.chartstyle+xml"/>
  <Override PartName="/word/charts/colors45.xml" ContentType="application/vnd.ms-office.chartcolorstyle+xml"/>
  <Override PartName="/word/drawings/drawing24.xml" ContentType="application/vnd.openxmlformats-officedocument.drawingml.chartshapes+xml"/>
  <Override PartName="/word/charts/chart55.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50.xml" ContentType="application/vnd.openxmlformats-officedocument.themeOverride+xml"/>
  <Override PartName="/word/drawings/drawing25.xml" ContentType="application/vnd.openxmlformats-officedocument.drawingml.chartshapes+xml"/>
  <Override PartName="/word/charts/chart56.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51.xml" ContentType="application/vnd.openxmlformats-officedocument.themeOverride+xml"/>
  <Override PartName="/word/drawings/drawing26.xml" ContentType="application/vnd.openxmlformats-officedocument.drawingml.chartshapes+xml"/>
  <Override PartName="/word/charts/chart57.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8.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9.xml" ContentType="application/vnd.openxmlformats-officedocument.drawingml.chart+xml"/>
  <Override PartName="/word/charts/style50.xml" ContentType="application/vnd.ms-office.chartstyle+xml"/>
  <Override PartName="/word/charts/colors50.xml" ContentType="application/vnd.ms-office.chartcolorstyle+xml"/>
  <Override PartName="/word/drawings/drawing27.xml" ContentType="application/vnd.openxmlformats-officedocument.drawingml.chartshapes+xml"/>
  <Override PartName="/word/header40.xml" ContentType="application/vnd.openxmlformats-officedocument.wordprocessingml.header+xml"/>
  <Override PartName="/word/header41.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45.xml" ContentType="application/vnd.openxmlformats-officedocument.wordprocessingml.header+xml"/>
  <Override PartName="/word/charts/chart60.xml" ContentType="application/vnd.openxmlformats-officedocument.drawingml.chart+xml"/>
  <Override PartName="/word/theme/themeOverride52.xml" ContentType="application/vnd.openxmlformats-officedocument.themeOverride+xml"/>
  <Override PartName="/word/charts/chart61.xml" ContentType="application/vnd.openxmlformats-officedocument.drawingml.chart+xml"/>
  <Override PartName="/word/theme/themeOverride53.xml" ContentType="application/vnd.openxmlformats-officedocument.themeOverride+xml"/>
  <Override PartName="/word/charts/chart62.xml" ContentType="application/vnd.openxmlformats-officedocument.drawingml.chart+xml"/>
  <Override PartName="/word/theme/themeOverride54.xml" ContentType="application/vnd.openxmlformats-officedocument.themeOverride+xml"/>
  <Override PartName="/word/charts/chart63.xml" ContentType="application/vnd.openxmlformats-officedocument.drawingml.chart+xml"/>
  <Override PartName="/word/theme/themeOverride55.xml" ContentType="application/vnd.openxmlformats-officedocument.themeOverride+xml"/>
  <Override PartName="/word/charts/chart64.xml" ContentType="application/vnd.openxmlformats-officedocument.drawingml.chart+xml"/>
  <Override PartName="/word/charts/chart65.xml" ContentType="application/vnd.openxmlformats-officedocument.drawingml.chart+xml"/>
  <Override PartName="/word/charts/style51.xml" ContentType="application/vnd.ms-office.chartstyle+xml"/>
  <Override PartName="/word/charts/colors51.xml" ContentType="application/vnd.ms-office.chartcolorstyle+xml"/>
  <Override PartName="/word/header4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47.xml" ContentType="application/vnd.openxmlformats-officedocument.wordprocessingml.header+xml"/>
  <Override PartName="/word/footer4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16898D" w14:textId="3291E66C" w:rsidR="00C02C3D" w:rsidRPr="00F27A03" w:rsidRDefault="00E621A9" w:rsidP="003C3685">
      <w:pPr>
        <w:spacing w:before="240"/>
        <w:ind w:firstLine="720"/>
        <w:rPr>
          <w:rFonts w:cstheme="minorHAnsi"/>
          <w:sz w:val="48"/>
          <w:szCs w:val="64"/>
          <w:lang w:val="sr-Cyrl-CS"/>
        </w:rPr>
      </w:pPr>
      <w:r w:rsidRPr="00F27A03">
        <w:rPr>
          <w:rFonts w:ascii="Calibri" w:eastAsia="Calibri" w:hAnsi="Calibri" w:cs="Calibri"/>
          <w:bCs/>
          <w:szCs w:val="72"/>
          <w:lang w:val="sr-Cyrl-CS"/>
        </w:rPr>
        <w:t xml:space="preserve">На основу члана 27в став 1. и члана 31. став 1. тачка 1) подтач. (13) и (14) </w:t>
      </w:r>
      <w:r w:rsidR="00F27A03" w:rsidRPr="00F27A03">
        <w:rPr>
          <w:rFonts w:ascii="Calibri" w:eastAsia="Calibri" w:hAnsi="Calibri" w:cs="Calibri"/>
          <w:bCs/>
          <w:noProof/>
          <w:szCs w:val="72"/>
          <w:lang w:val="sr-Cyrl-CS"/>
        </w:rPr>
        <w:t>Закона о буџетском систему („Службени гласник РС”, бр. 54/09, 73/10, 101/10, 101/11, 93/12, 62/13, 63/13 – исправка, 108/13, 142/14, 68/15 – др. закон, 103/15, 99/16, 113/17, 95/18, 31/19, 72/19, 149/20, 118/21 и 118/21 – др. закон</w:t>
      </w:r>
      <w:r w:rsidR="00F27A03" w:rsidRPr="00F27A03">
        <w:rPr>
          <w:rFonts w:ascii="Calibri" w:eastAsia="Calibri" w:hAnsi="Calibri" w:cs="Calibri"/>
          <w:bCs/>
          <w:noProof/>
          <w:color w:val="000000"/>
          <w:szCs w:val="72"/>
          <w:lang w:val="sr-Cyrl-CS"/>
        </w:rPr>
        <w:t>)</w:t>
      </w:r>
      <w:r w:rsidR="00C02C3D" w:rsidRPr="00F27A03">
        <w:rPr>
          <w:rFonts w:cstheme="minorHAnsi"/>
          <w:bCs/>
          <w:szCs w:val="72"/>
          <w:lang w:val="sr-Cyrl-CS"/>
        </w:rPr>
        <w:t>,</w:t>
      </w:r>
    </w:p>
    <w:p w14:paraId="3BA7AFA7" w14:textId="77777777" w:rsidR="00C02C3D" w:rsidRPr="00F27A03" w:rsidRDefault="00C02C3D" w:rsidP="003C3685">
      <w:pPr>
        <w:ind w:firstLine="720"/>
        <w:rPr>
          <w:rFonts w:cstheme="minorHAnsi"/>
          <w:bCs/>
          <w:szCs w:val="72"/>
          <w:lang w:val="sr-Cyrl-CS"/>
        </w:rPr>
      </w:pPr>
      <w:r w:rsidRPr="00F27A03">
        <w:rPr>
          <w:rFonts w:cstheme="minorHAnsi"/>
          <w:bCs/>
          <w:szCs w:val="72"/>
          <w:lang w:val="sr-Cyrl-CS"/>
        </w:rPr>
        <w:t>Влада усваја</w:t>
      </w:r>
    </w:p>
    <w:p w14:paraId="2B0A73CF" w14:textId="4FBEBF8A" w:rsidR="00C02C3D" w:rsidRPr="00F27A03" w:rsidRDefault="007E70CC" w:rsidP="008420D4">
      <w:pPr>
        <w:spacing w:after="0" w:line="240" w:lineRule="auto"/>
        <w:jc w:val="center"/>
        <w:rPr>
          <w:rFonts w:cstheme="minorHAnsi"/>
          <w:b/>
          <w:bCs/>
          <w:sz w:val="26"/>
          <w:szCs w:val="26"/>
          <w:lang w:val="sr-Cyrl-CS"/>
        </w:rPr>
      </w:pPr>
      <w:r w:rsidRPr="00F27A03">
        <w:rPr>
          <w:rFonts w:cstheme="minorHAnsi"/>
          <w:b/>
          <w:bCs/>
          <w:sz w:val="26"/>
          <w:szCs w:val="26"/>
          <w:lang w:val="sr-Cyrl-CS"/>
        </w:rPr>
        <w:t xml:space="preserve">РЕВИДИРАНУ </w:t>
      </w:r>
      <w:r w:rsidR="00C02C3D" w:rsidRPr="00F27A03">
        <w:rPr>
          <w:rFonts w:cstheme="minorHAnsi"/>
          <w:b/>
          <w:bCs/>
          <w:sz w:val="26"/>
          <w:szCs w:val="26"/>
          <w:lang w:val="sr-Cyrl-CS"/>
        </w:rPr>
        <w:t>ФИСКАЛНУ СТРАТЕГИЈУ</w:t>
      </w:r>
    </w:p>
    <w:p w14:paraId="4B099361" w14:textId="77777777" w:rsidR="00C02C3D" w:rsidRPr="00F27A03" w:rsidRDefault="00C02C3D" w:rsidP="008420D4">
      <w:pPr>
        <w:spacing w:after="0" w:line="240" w:lineRule="auto"/>
        <w:jc w:val="center"/>
        <w:rPr>
          <w:rFonts w:cstheme="minorHAnsi"/>
          <w:b/>
          <w:bCs/>
          <w:sz w:val="26"/>
          <w:szCs w:val="26"/>
          <w:lang w:val="sr-Cyrl-CS"/>
        </w:rPr>
      </w:pPr>
      <w:r w:rsidRPr="00F27A03">
        <w:rPr>
          <w:rFonts w:cstheme="minorHAnsi"/>
          <w:b/>
          <w:bCs/>
          <w:sz w:val="26"/>
          <w:szCs w:val="26"/>
          <w:lang w:val="sr-Cyrl-CS"/>
        </w:rPr>
        <w:t>ЗА 2023. ГОДИНУ СА ПРОЈЕКЦИЈАМА ЗА 2024. И 2025. ГОДИНУ</w:t>
      </w:r>
    </w:p>
    <w:p w14:paraId="4967DF82" w14:textId="77777777" w:rsidR="00C02C3D" w:rsidRPr="00F27A03" w:rsidRDefault="00C02C3D" w:rsidP="008420D4">
      <w:pPr>
        <w:spacing w:after="0" w:line="240" w:lineRule="auto"/>
        <w:jc w:val="center"/>
        <w:rPr>
          <w:rFonts w:cstheme="minorHAnsi"/>
          <w:b/>
          <w:bCs/>
          <w:sz w:val="24"/>
          <w:szCs w:val="72"/>
          <w:lang w:val="sr-Cyrl-CS"/>
        </w:rPr>
      </w:pPr>
    </w:p>
    <w:p w14:paraId="30F64DF4" w14:textId="77777777" w:rsidR="00C02C3D" w:rsidRPr="00F27A03" w:rsidRDefault="00C02C3D" w:rsidP="00D20C27">
      <w:pPr>
        <w:pStyle w:val="Heading1"/>
        <w:jc w:val="center"/>
        <w:rPr>
          <w:rFonts w:asciiTheme="minorHAnsi" w:hAnsiTheme="minorHAnsi" w:cstheme="minorHAnsi"/>
          <w:b/>
          <w:sz w:val="26"/>
          <w:szCs w:val="26"/>
          <w:lang w:val="sr-Cyrl-CS"/>
        </w:rPr>
      </w:pPr>
      <w:bookmarkStart w:id="0" w:name="_Toc119326588"/>
      <w:r w:rsidRPr="00F27A03">
        <w:rPr>
          <w:rFonts w:asciiTheme="minorHAnsi" w:hAnsiTheme="minorHAnsi" w:cstheme="minorHAnsi"/>
          <w:b/>
          <w:sz w:val="26"/>
          <w:szCs w:val="26"/>
          <w:lang w:val="sr-Cyrl-CS"/>
        </w:rPr>
        <w:t>I. МАКРОЕКОНОМСКИ ОКВИР ЗА ПЕРИОД ОД 2023. ДО 2025. ГОДИНЕ</w:t>
      </w:r>
      <w:bookmarkEnd w:id="0"/>
    </w:p>
    <w:p w14:paraId="7419474E" w14:textId="77777777" w:rsidR="00C02C3D" w:rsidRPr="00F27A03" w:rsidRDefault="00C02C3D" w:rsidP="00087CD9">
      <w:pPr>
        <w:spacing w:after="120"/>
        <w:jc w:val="center"/>
        <w:rPr>
          <w:rFonts w:cstheme="minorHAnsi"/>
          <w:color w:val="2F5496" w:themeColor="accent1" w:themeShade="BF"/>
          <w:sz w:val="18"/>
          <w:lang w:val="sr-Cyrl-CS"/>
        </w:rPr>
      </w:pPr>
    </w:p>
    <w:p w14:paraId="08D167FC" w14:textId="77777777" w:rsidR="00C02C3D" w:rsidRPr="00F27A03" w:rsidRDefault="00C02C3D" w:rsidP="00D20C27">
      <w:pPr>
        <w:pStyle w:val="Heading2"/>
        <w:jc w:val="center"/>
        <w:rPr>
          <w:rFonts w:asciiTheme="minorHAnsi" w:hAnsiTheme="minorHAnsi" w:cstheme="minorHAnsi"/>
          <w:b/>
          <w:sz w:val="24"/>
          <w:lang w:val="sr-Cyrl-CS"/>
        </w:rPr>
      </w:pPr>
      <w:bookmarkStart w:id="1" w:name="_Toc119326589"/>
      <w:r w:rsidRPr="00F27A03">
        <w:rPr>
          <w:rFonts w:asciiTheme="minorHAnsi" w:hAnsiTheme="minorHAnsi" w:cstheme="minorHAnsi"/>
          <w:b/>
          <w:sz w:val="22"/>
          <w:lang w:val="sr-Cyrl-CS"/>
        </w:rPr>
        <w:t xml:space="preserve">1. </w:t>
      </w:r>
      <w:r w:rsidRPr="00F27A03">
        <w:rPr>
          <w:rFonts w:asciiTheme="minorHAnsi" w:hAnsiTheme="minorHAnsi" w:cstheme="minorHAnsi"/>
          <w:b/>
          <w:sz w:val="24"/>
          <w:lang w:val="sr-Cyrl-CS"/>
        </w:rPr>
        <w:t>Општи оквир и главни циљеви и смернице економске политике</w:t>
      </w:r>
      <w:bookmarkEnd w:id="1"/>
    </w:p>
    <w:p w14:paraId="648EF0B5" w14:textId="77777777" w:rsidR="00C02C3D" w:rsidRPr="00F27A03" w:rsidRDefault="00C02C3D" w:rsidP="00AF2359">
      <w:pPr>
        <w:rPr>
          <w:rFonts w:cstheme="minorHAnsi"/>
          <w:color w:val="auto"/>
          <w:sz w:val="18"/>
          <w:lang w:val="sr-Cyrl-CS"/>
        </w:rPr>
      </w:pPr>
    </w:p>
    <w:p w14:paraId="5AB53881" w14:textId="77777777" w:rsidR="00C02C3D" w:rsidRPr="00F27A03" w:rsidRDefault="00C02C3D" w:rsidP="00AF2359">
      <w:pPr>
        <w:rPr>
          <w:rFonts w:cstheme="minorHAnsi"/>
          <w:color w:val="auto"/>
          <w:lang w:val="sr-Cyrl-CS"/>
        </w:rPr>
        <w:sectPr w:rsidR="00C02C3D" w:rsidRPr="00F27A03" w:rsidSect="00766A90">
          <w:footerReference w:type="default" r:id="rId8"/>
          <w:headerReference w:type="first" r:id="rId9"/>
          <w:pgSz w:w="12240" w:h="15840" w:code="1"/>
          <w:pgMar w:top="1440" w:right="1440" w:bottom="1440" w:left="1440" w:header="720" w:footer="720" w:gutter="0"/>
          <w:pgNumType w:start="1"/>
          <w:cols w:space="720"/>
          <w:titlePg/>
          <w:docGrid w:linePitch="360"/>
        </w:sectPr>
      </w:pPr>
    </w:p>
    <w:p w14:paraId="75458427" w14:textId="77777777" w:rsidR="00C02C3D" w:rsidRPr="00F27A03" w:rsidRDefault="00C02C3D" w:rsidP="0065412F">
      <w:pPr>
        <w:rPr>
          <w:rFonts w:ascii="Calibri" w:eastAsia="Calibri" w:hAnsi="Calibri" w:cs="Calibri"/>
          <w:bCs/>
          <w:color w:val="0070C0"/>
          <w:szCs w:val="72"/>
          <w:lang w:val="sr-Cyrl-CS"/>
        </w:rPr>
      </w:pPr>
      <w:r w:rsidRPr="00F27A03">
        <w:rPr>
          <w:rFonts w:ascii="Calibri" w:eastAsia="Calibri" w:hAnsi="Calibri" w:cs="Calibri"/>
          <w:b/>
          <w:bCs/>
          <w:color w:val="0070C0"/>
          <w:szCs w:val="72"/>
          <w:lang w:val="sr-Cyrl-CS"/>
        </w:rPr>
        <w:t>Економска политика у наредном периоду обликована је изласком из једне, и уласком у нову кризу.</w:t>
      </w:r>
      <w:r w:rsidRPr="00F27A03">
        <w:rPr>
          <w:rFonts w:ascii="Calibri" w:eastAsia="Calibri" w:hAnsi="Calibri" w:cs="Calibri"/>
          <w:bCs/>
          <w:color w:val="0070C0"/>
          <w:szCs w:val="72"/>
          <w:lang w:val="sr-Cyrl-CS"/>
        </w:rPr>
        <w:t xml:space="preserve"> Изласком из двогодишње кризе, изазване пандемијом, очекивао се један мирнији период који би омогућио економској, пре свега фискалној политици, предах и довољно времена да се врати на одрживу путању. Међутим реалност је другачија. Сукоб у Украјини интензивирао је постојеће и донео нове ризике који у потпуности мењају и међународно окружење и економску политику у земљи. Глобална, растућа инфлација, интензивирана енергетска криза пред креаторе економске политике постављају велике изазове.</w:t>
      </w:r>
    </w:p>
    <w:p w14:paraId="06EBBD77" w14:textId="39C73371" w:rsidR="00C02C3D" w:rsidRPr="00F27A03" w:rsidRDefault="00C02C3D" w:rsidP="0065412F">
      <w:pPr>
        <w:rPr>
          <w:rFonts w:ascii="Calibri" w:eastAsia="Calibri" w:hAnsi="Calibri" w:cs="Calibri"/>
          <w:bCs/>
          <w:color w:val="0070C0"/>
          <w:szCs w:val="72"/>
          <w:lang w:val="sr-Cyrl-CS"/>
        </w:rPr>
      </w:pPr>
      <w:r w:rsidRPr="00F27A03">
        <w:rPr>
          <w:rFonts w:ascii="Calibri" w:eastAsia="Calibri" w:hAnsi="Calibri" w:cs="Calibri"/>
          <w:b/>
          <w:bCs/>
          <w:color w:val="0070C0"/>
          <w:szCs w:val="72"/>
          <w:lang w:val="sr-Cyrl-CS"/>
        </w:rPr>
        <w:t>Република Србије се успешно изборила са здравственом и економском кризом изазваном пандемијом.</w:t>
      </w:r>
      <w:r w:rsidRPr="00F27A03">
        <w:rPr>
          <w:rFonts w:ascii="Calibri" w:eastAsia="Calibri" w:hAnsi="Calibri" w:cs="Calibri"/>
          <w:bCs/>
          <w:color w:val="0070C0"/>
          <w:szCs w:val="72"/>
          <w:lang w:val="sr-Cyrl-CS"/>
        </w:rPr>
        <w:t xml:space="preserve"> Током две године глобалне кризе изазване пандемијом коронавируса остварен је кумулативни раст бруто домаћег производа (у даљем тексту: БДП) од 6,</w:t>
      </w:r>
      <w:r w:rsidR="003C0D09" w:rsidRPr="00F27A03">
        <w:rPr>
          <w:rFonts w:ascii="Calibri" w:eastAsia="Calibri" w:hAnsi="Calibri" w:cs="Calibri"/>
          <w:bCs/>
          <w:color w:val="0070C0"/>
          <w:szCs w:val="72"/>
          <w:lang w:val="sr-Cyrl-CS"/>
        </w:rPr>
        <w:t>6</w:t>
      </w:r>
      <w:r w:rsidRPr="00F27A03">
        <w:rPr>
          <w:rFonts w:ascii="Calibri" w:eastAsia="Calibri" w:hAnsi="Calibri" w:cs="Calibri"/>
          <w:bCs/>
          <w:color w:val="0070C0"/>
          <w:szCs w:val="72"/>
          <w:lang w:val="sr-Cyrl-CS"/>
        </w:rPr>
        <w:t xml:space="preserve">%, што представља један од најбољих резултата у Европи. Укупан пакет економских мера током две кризне године у висини од 17,3% БДП допринео је повећању ликвидности привредних субјеката и олакшању пословања, док је кроз давања становништву подстицао домаћу тражњу и на тај начин индиректно утицао на економску активност. Поред ових привремених фактора који су позитивно допринели расту БДП дошло је и до структурних побољшања. Она се пре свега огледају у активирању нових и проширењу постојећих извозно конкурентних производних капацитета, као и у даљем убрзаном развоју путне </w:t>
      </w:r>
      <w:r w:rsidRPr="00F27A03">
        <w:rPr>
          <w:rFonts w:ascii="Calibri" w:eastAsia="Calibri" w:hAnsi="Calibri" w:cs="Calibri"/>
          <w:bCs/>
          <w:color w:val="0070C0"/>
          <w:szCs w:val="72"/>
          <w:lang w:val="sr-Cyrl-CS"/>
        </w:rPr>
        <w:t>и железничке инфраструктуре којима се трајно пове</w:t>
      </w:r>
      <w:r w:rsidR="004E7EE8" w:rsidRPr="00F27A03">
        <w:rPr>
          <w:rFonts w:ascii="Calibri" w:eastAsia="Calibri" w:hAnsi="Calibri" w:cs="Calibri"/>
          <w:bCs/>
          <w:color w:val="0070C0"/>
          <w:szCs w:val="72"/>
          <w:lang w:val="sr-Cyrl-CS"/>
        </w:rPr>
        <w:t>ћао потенцијал домаће привреде.</w:t>
      </w:r>
    </w:p>
    <w:p w14:paraId="1CD023EC" w14:textId="77777777" w:rsidR="00C02C3D" w:rsidRPr="00F27A03" w:rsidRDefault="00C02C3D" w:rsidP="0065412F">
      <w:pPr>
        <w:rPr>
          <w:rFonts w:ascii="Calibri" w:eastAsia="Calibri" w:hAnsi="Calibri" w:cs="Calibri"/>
          <w:bCs/>
          <w:color w:val="0070C0"/>
          <w:szCs w:val="72"/>
          <w:lang w:val="sr-Cyrl-CS"/>
        </w:rPr>
      </w:pPr>
      <w:r w:rsidRPr="00F27A03">
        <w:rPr>
          <w:rFonts w:ascii="Calibri" w:eastAsia="Calibri" w:hAnsi="Calibri" w:cs="Calibri"/>
          <w:b/>
          <w:bCs/>
          <w:color w:val="0070C0"/>
          <w:szCs w:val="72"/>
          <w:lang w:val="sr-Cyrl-CS"/>
        </w:rPr>
        <w:t>Геополитичким тензијама и избијањем кризе у Украјини појачана је неизвесност, што је за последицу имало додатан раст цена енергената, светских цена примарних пољопривредних производа и метала, које су се приближиле историјски највишим нивоима.</w:t>
      </w:r>
      <w:r w:rsidRPr="00F27A03">
        <w:rPr>
          <w:rFonts w:ascii="Calibri" w:eastAsia="Calibri" w:hAnsi="Calibri" w:cs="Calibri"/>
          <w:bCs/>
          <w:color w:val="0070C0"/>
          <w:szCs w:val="72"/>
          <w:lang w:val="sr-Cyrl-CS"/>
        </w:rPr>
        <w:t xml:space="preserve"> Геополитичка криза је краткорочне инфлаторне притиске учинила постојаним, уз велику вероватноћу њиховог дугорочног присуства у глобалној економији. Истовремено, очекује се да ће повећана неизвесност на глобалном нивоу утицати негативно на токове капитала према земљама у успону, посебно ако се има у виду циклус пооштравања монетарних политика водећих централних банака. Осим привремених фактора, економске трендове карактеришу и структурне промене геополитичког и економског окружења вођене процесима деглобализације, неповољним демографским кретањима и убрзане зелене транзиције.</w:t>
      </w:r>
    </w:p>
    <w:p w14:paraId="77FED638" w14:textId="51D5BFC5" w:rsidR="00C02C3D" w:rsidRPr="00F27A03" w:rsidRDefault="00C02C3D" w:rsidP="0065412F">
      <w:pPr>
        <w:rPr>
          <w:rFonts w:ascii="Calibri" w:eastAsia="Calibri" w:hAnsi="Calibri" w:cs="Calibri"/>
          <w:bCs/>
          <w:color w:val="0070C0"/>
          <w:szCs w:val="72"/>
          <w:lang w:val="sr-Cyrl-CS"/>
        </w:rPr>
      </w:pPr>
      <w:r w:rsidRPr="00F27A03">
        <w:rPr>
          <w:rFonts w:ascii="Calibri" w:eastAsia="Calibri" w:hAnsi="Calibri" w:cs="Calibri"/>
          <w:b/>
          <w:bCs/>
          <w:color w:val="0070C0"/>
          <w:szCs w:val="72"/>
          <w:lang w:val="sr-Cyrl-CS"/>
        </w:rPr>
        <w:t>Макроекономске пројекције су у условима присутне неизвесности ревидиране, ипак рецесија се не очекује.</w:t>
      </w:r>
      <w:r w:rsidRPr="00F27A03">
        <w:rPr>
          <w:rFonts w:ascii="Calibri" w:eastAsia="Calibri" w:hAnsi="Calibri" w:cs="Calibri"/>
          <w:bCs/>
          <w:color w:val="0070C0"/>
          <w:szCs w:val="72"/>
          <w:lang w:val="sr-Cyrl-CS"/>
        </w:rPr>
        <w:t xml:space="preserve"> Економска активност је почетком 2022. године бележила солидну динамику, али је под утицајем дешавања у међународном окружењу почела значајно да успорава током трећег квартала. Успорена динамика инвестиција и растућа инфлација, уз повећану неизвесност и смањену спољну тражњу као последица економског утицаја сукоба у </w:t>
      </w:r>
      <w:r w:rsidRPr="00F27A03">
        <w:rPr>
          <w:rFonts w:ascii="Calibri" w:eastAsia="Calibri" w:hAnsi="Calibri" w:cs="Calibri"/>
          <w:bCs/>
          <w:color w:val="0070C0"/>
          <w:szCs w:val="72"/>
          <w:lang w:val="sr-Cyrl-CS"/>
        </w:rPr>
        <w:lastRenderedPageBreak/>
        <w:t>Украјини, главни су фактори који утичу на успоравање домаће привредне динамике. У складу са тим, раст БДП у 2022. години ревидиран је наниже у односу на претходна очекивања, и то на по 2,5% у 2022. и 2023. години. Пројекције раста снижене су и у средњем року. Рекордне цене енергената уз повећање увезених количина одразиће се на погоршање платнобилансних кретања, те се под утицајем ових фактора очекује већи дефицит текућег рачуна. Раст инфлације за који се првобитно очекивало да ће бити привременог карактера као последица постепеног ишчезавања ефеката пандемије, додатно је убрзан, пре свега услед раста цена хране и енергената изазваних сукобом у Украјини. Под утицајем ових фактора, према актуелној процени очекује се већи раст потрошачких цена у поређењу са претходном проценом, који би требао да износи 11,6% у 2022. години</w:t>
      </w:r>
      <w:r w:rsidR="006948A1" w:rsidRPr="00F27A03">
        <w:rPr>
          <w:rFonts w:ascii="Calibri" w:eastAsia="Calibri" w:hAnsi="Calibri" w:cs="Calibri"/>
          <w:bCs/>
          <w:color w:val="0070C0"/>
          <w:szCs w:val="72"/>
          <w:lang w:val="sr-Cyrl-CS"/>
        </w:rPr>
        <w:t>, односно 11,1% у 2023. години.</w:t>
      </w:r>
    </w:p>
    <w:p w14:paraId="066D191C" w14:textId="680D269F" w:rsidR="00C02C3D" w:rsidRPr="00F27A03" w:rsidRDefault="00C02C3D" w:rsidP="0065412F">
      <w:pPr>
        <w:rPr>
          <w:rFonts w:ascii="Calibri" w:eastAsia="Calibri" w:hAnsi="Calibri" w:cs="Calibri"/>
          <w:bCs/>
          <w:color w:val="0070C0"/>
          <w:szCs w:val="72"/>
          <w:lang w:val="sr-Cyrl-CS"/>
        </w:rPr>
      </w:pPr>
      <w:r w:rsidRPr="00F27A03">
        <w:rPr>
          <w:rFonts w:ascii="Calibri" w:eastAsia="Calibri" w:hAnsi="Calibri" w:cs="Calibri"/>
          <w:b/>
          <w:bCs/>
          <w:color w:val="0070C0"/>
          <w:szCs w:val="72"/>
          <w:lang w:val="sr-Cyrl-CS"/>
        </w:rPr>
        <w:t>Фискална политика има посебну улогу у условима растуће неизвесности.</w:t>
      </w:r>
      <w:r w:rsidRPr="00F27A03">
        <w:rPr>
          <w:rFonts w:ascii="Calibri" w:eastAsia="Calibri" w:hAnsi="Calibri" w:cs="Calibri"/>
          <w:bCs/>
          <w:color w:val="0070C0"/>
          <w:szCs w:val="72"/>
          <w:lang w:val="sr-Cyrl-CS"/>
        </w:rPr>
        <w:t xml:space="preserve"> Улога фискалне политике била је кључна у протекле две пандемијске године. Избијањем сукоба у Украјини и повећањем глобалне неизвесности, околности у којима фискална политика може да делује су се у потпуности промениле. Државе се сада суочавају са условима високе и растуће инфлације, успоравањем раста и пооштравањем услова за </w:t>
      </w:r>
      <w:r w:rsidRPr="00F27A03">
        <w:rPr>
          <w:rFonts w:ascii="Calibri" w:eastAsia="Calibri" w:hAnsi="Calibri" w:cs="Calibri"/>
          <w:bCs/>
          <w:color w:val="0070C0"/>
          <w:szCs w:val="72"/>
          <w:lang w:val="sr-Cyrl-CS"/>
        </w:rPr>
        <w:t>финансирање дефицита. Пред фискалну политику стављају се нови изазови. Поремећаји у енергетском сектору уз растуће трошкове привреде и одржавање стандарда становништва захтевају нови сет мера. Трошкови за енергетику (набавка енергената, субвенционисање цене гаса и сл.) узимају добар део фискалног простора, примања становништва (плате у јавном сектору и пензије) усклађују се у циљу очувања животног стандарда. Неопходно је и даље очувати ниво капиталних инвестиција, преко потребних као подршка привредном расту. На крају, од изузетне важности је очување фискалне дисциплине у условима високе неизвесности. Република Србија поднела је захтев за нови Аранжман из предострожности са ММФ који ће подржати напоре за очување макроекономске и фискалне стабилности. Правци фискалне политике дефинисани су ка смањењу дефицита и дуга у средњем року. Након изузетних околности, које су повећале трошкове буџетске подршке сектору енергетике у 2022. и делом у 2023. години, очекује се, након спроведених структурних реформи и промена у међународном окружењу да ови трошкови изостану, односно не захтевају буџетску интервенцију у средњем року. У правцу очувања фискалне стабилности редефинисана су и фискална правила која преузимају улогу чувара одрживе фискалне позиције у с</w:t>
      </w:r>
      <w:r w:rsidR="006948A1" w:rsidRPr="00F27A03">
        <w:rPr>
          <w:rFonts w:ascii="Calibri" w:eastAsia="Calibri" w:hAnsi="Calibri" w:cs="Calibri"/>
          <w:bCs/>
          <w:color w:val="0070C0"/>
          <w:szCs w:val="72"/>
          <w:lang w:val="sr-Cyrl-CS"/>
        </w:rPr>
        <w:t>редњем року.</w:t>
      </w:r>
    </w:p>
    <w:p w14:paraId="2268F6E7" w14:textId="77777777" w:rsidR="00C02C3D" w:rsidRPr="00F27A03" w:rsidRDefault="00C02C3D" w:rsidP="003C3685">
      <w:pPr>
        <w:rPr>
          <w:rFonts w:cstheme="minorHAnsi"/>
          <w:bCs/>
          <w:color w:val="4472C4" w:themeColor="accent1"/>
          <w:szCs w:val="72"/>
          <w:lang w:val="sr-Cyrl-CS"/>
        </w:rPr>
        <w:sectPr w:rsidR="00C02C3D" w:rsidRPr="00F27A03" w:rsidSect="007E6EA3">
          <w:headerReference w:type="default" r:id="rId10"/>
          <w:footerReference w:type="default" r:id="rId11"/>
          <w:type w:val="continuous"/>
          <w:pgSz w:w="12240" w:h="15840" w:code="1"/>
          <w:pgMar w:top="1440" w:right="1440" w:bottom="1440" w:left="1440" w:header="720" w:footer="720" w:gutter="0"/>
          <w:cols w:num="2" w:space="720"/>
          <w:titlePg/>
          <w:docGrid w:linePitch="360"/>
        </w:sectPr>
      </w:pPr>
    </w:p>
    <w:p w14:paraId="2FD4CA72" w14:textId="77777777" w:rsidR="00C02C3D" w:rsidRPr="00F27A03" w:rsidRDefault="00C02C3D">
      <w:pPr>
        <w:jc w:val="left"/>
        <w:rPr>
          <w:rFonts w:eastAsiaTheme="majorEastAsia" w:cstheme="minorHAnsi"/>
          <w:b/>
          <w:color w:val="2F5496" w:themeColor="accent1" w:themeShade="BF"/>
          <w:sz w:val="24"/>
          <w:szCs w:val="26"/>
          <w:lang w:val="sr-Cyrl-CS"/>
        </w:rPr>
      </w:pPr>
      <w:bookmarkStart w:id="2" w:name="_Toc73364963"/>
      <w:r w:rsidRPr="00F27A03">
        <w:rPr>
          <w:rFonts w:cstheme="minorHAnsi"/>
          <w:b/>
          <w:sz w:val="24"/>
          <w:lang w:val="sr-Cyrl-CS"/>
        </w:rPr>
        <w:br w:type="page"/>
      </w:r>
    </w:p>
    <w:p w14:paraId="116738AE" w14:textId="77777777" w:rsidR="00C02C3D" w:rsidRPr="00F27A03" w:rsidRDefault="00C02C3D" w:rsidP="00CE729E">
      <w:pPr>
        <w:pStyle w:val="Heading2"/>
        <w:jc w:val="center"/>
        <w:rPr>
          <w:rFonts w:asciiTheme="minorHAnsi" w:hAnsiTheme="minorHAnsi" w:cstheme="minorHAnsi"/>
          <w:b/>
          <w:sz w:val="24"/>
          <w:lang w:val="sr-Cyrl-CS"/>
        </w:rPr>
      </w:pPr>
      <w:bookmarkStart w:id="3" w:name="_Toc119326590"/>
      <w:r w:rsidRPr="00F27A03">
        <w:rPr>
          <w:rFonts w:asciiTheme="minorHAnsi" w:hAnsiTheme="minorHAnsi" w:cstheme="minorHAnsi"/>
          <w:b/>
          <w:sz w:val="24"/>
          <w:lang w:val="sr-Cyrl-CS"/>
        </w:rPr>
        <w:lastRenderedPageBreak/>
        <w:t>2. Процене међународног економског окружења</w:t>
      </w:r>
      <w:bookmarkEnd w:id="2"/>
      <w:bookmarkEnd w:id="3"/>
    </w:p>
    <w:p w14:paraId="3FF626B4" w14:textId="77777777" w:rsidR="00C02C3D" w:rsidRPr="00F27A03" w:rsidRDefault="00C02C3D" w:rsidP="0065412F">
      <w:pPr>
        <w:rPr>
          <w:lang w:val="sr-Cyrl-CS"/>
        </w:rPr>
      </w:pPr>
      <w:r w:rsidRPr="00F27A03">
        <w:rPr>
          <w:rFonts w:cstheme="minorHAnsi"/>
          <w:b/>
          <w:noProof/>
          <w:sz w:val="24"/>
          <w:lang w:val="sr-Cyrl-RS" w:eastAsia="sr-Cyrl-RS"/>
        </w:rPr>
        <mc:AlternateContent>
          <mc:Choice Requires="wps">
            <w:drawing>
              <wp:anchor distT="0" distB="0" distL="114300" distR="114300" simplePos="0" relativeHeight="251672064" behindDoc="1" locked="0" layoutInCell="1" allowOverlap="1" wp14:anchorId="51400018" wp14:editId="1F507F13">
                <wp:simplePos x="0" y="0"/>
                <wp:positionH relativeFrom="margin">
                  <wp:posOffset>-115147</wp:posOffset>
                </wp:positionH>
                <wp:positionV relativeFrom="paragraph">
                  <wp:posOffset>200660</wp:posOffset>
                </wp:positionV>
                <wp:extent cx="6139815" cy="3799840"/>
                <wp:effectExtent l="0" t="0" r="0" b="0"/>
                <wp:wrapNone/>
                <wp:docPr id="63" name="Rectangle 63"/>
                <wp:cNvGraphicFramePr/>
                <a:graphic xmlns:a="http://schemas.openxmlformats.org/drawingml/2006/main">
                  <a:graphicData uri="http://schemas.microsoft.com/office/word/2010/wordprocessingShape">
                    <wps:wsp>
                      <wps:cNvSpPr/>
                      <wps:spPr>
                        <a:xfrm>
                          <a:off x="0" y="0"/>
                          <a:ext cx="6139815" cy="3799840"/>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AAF2C1" id="Rectangle 63" o:spid="_x0000_s1026" style="position:absolute;margin-left:-9.05pt;margin-top:15.8pt;width:483.45pt;height:299.2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" fillcolor="#d8d8d8 [2732]" stroked="f" strokeweight="1pt">
                <v:fill r:id="rId21" o:title="" color2="white [3212]" type="pattern"/>
                <w10:wrap anchorx="margin"/>
              </v:rect>
            </w:pict>
          </mc:Fallback>
        </mc:AlternateContent>
      </w:r>
    </w:p>
    <w:p w14:paraId="6137A9C5" w14:textId="77777777" w:rsidR="00C02C3D" w:rsidRPr="00F27A03" w:rsidRDefault="00C02C3D" w:rsidP="008527D6">
      <w:pPr>
        <w:spacing w:after="240"/>
        <w:rPr>
          <w:rFonts w:cstheme="minorHAnsi"/>
          <w:bCs/>
          <w:color w:val="FF0000"/>
          <w:szCs w:val="72"/>
          <w:lang w:val="sr-Cyrl-CS"/>
        </w:rPr>
        <w:sectPr w:rsidR="00C02C3D" w:rsidRPr="00F27A03" w:rsidSect="008527D6">
          <w:headerReference w:type="even" r:id="rId22"/>
          <w:headerReference w:type="default" r:id="rId23"/>
          <w:footerReference w:type="even" r:id="rId24"/>
          <w:footerReference w:type="default" r:id="rId25"/>
          <w:type w:val="continuous"/>
          <w:pgSz w:w="12240" w:h="15840" w:code="1"/>
          <w:pgMar w:top="1440" w:right="1440" w:bottom="1440" w:left="1440" w:header="720" w:footer="720" w:gutter="0"/>
          <w:cols w:space="720"/>
          <w:docGrid w:linePitch="360"/>
        </w:sectPr>
      </w:pPr>
    </w:p>
    <w:p w14:paraId="2F78D75D" w14:textId="1F42F1D1" w:rsidR="00C02C3D" w:rsidRPr="00F27A03" w:rsidRDefault="00C02C3D" w:rsidP="008527D6">
      <w:pPr>
        <w:spacing w:after="480"/>
        <w:rPr>
          <w:rFonts w:cstheme="minorHAnsi"/>
          <w:bCs/>
          <w:color w:val="0070C0"/>
          <w:szCs w:val="72"/>
          <w:lang w:val="sr-Cyrl-CS"/>
        </w:rPr>
      </w:pPr>
      <w:r w:rsidRPr="00F27A03">
        <w:rPr>
          <w:rFonts w:cstheme="minorHAnsi"/>
          <w:bCs/>
          <w:color w:val="0070C0"/>
          <w:szCs w:val="72"/>
          <w:lang w:val="sr-Cyrl-CS"/>
        </w:rPr>
        <w:t xml:space="preserve">Глобална економија се суочава са бројним турбулентним изазовима. Највиша стопа инфлације у последњих неколико деценија, пооштравање финансијских услова у већини региона, оружани сукоб у Украјини и дуготрајна неизвесност остављају последице на изгледе по глобалну економију. Међународне финансијске институције ревидирале су очекивања о глобалном економском опоравку наниже у односу на своје претходне процене. Конфликт у Украјини наставља негативно да утиче на регион, али и шире, због последица санкција Русији које дестабилизују тржиште енергената доводећи до ценовних шокова и прекида у извозу гаса земљама ЕУ. Нормализација монетарне и фискалне политике која је пружала подршку без преседана током пандемије сада умањује агрегатну тражњу, будући да креатори политика имају за циљ да ставе инфлацију под контролу. Изгледи глобалне економије у великој мери зависе од успешне примене одмерене монетарне политике, тока конфликта у Украјини и потенцијалних даљих </w:t>
      </w:r>
      <w:r w:rsidRPr="00F27A03">
        <w:rPr>
          <w:rFonts w:cstheme="minorHAnsi"/>
          <w:bCs/>
          <w:color w:val="0070C0"/>
          <w:szCs w:val="72"/>
          <w:lang w:val="sr-Cyrl-CS"/>
        </w:rPr>
        <w:t>поремећаја на страни понуде изазваних пандемијом. Очекује се да ће инфлација крајем 2022. године достићи свој максимум, али ће бити потребно више времена од претходно очекиваног да се стабилизује. Приоритет фискалне политике треба бити заштита рањивих група кроз циљану краткорочну подршку како би се ублажио терет кризе трошкова живота који се осећа широм света. У Кини су честа „закључавања” услед по</w:t>
      </w:r>
      <w:r w:rsidR="00895372" w:rsidRPr="00F27A03">
        <w:rPr>
          <w:rFonts w:cstheme="minorHAnsi"/>
          <w:bCs/>
          <w:color w:val="0070C0"/>
          <w:szCs w:val="72"/>
          <w:lang w:val="sr-Cyrl-CS"/>
        </w:rPr>
        <w:t>литике нулте толеранције COVID</w:t>
      </w:r>
      <w:r w:rsidRPr="00F27A03">
        <w:rPr>
          <w:rFonts w:cstheme="minorHAnsi"/>
          <w:bCs/>
          <w:color w:val="0070C0"/>
          <w:szCs w:val="72"/>
          <w:lang w:val="sr-Cyrl-CS"/>
        </w:rPr>
        <w:t xml:space="preserve"> додатно успорила економску активност, а сектор некретнина суочава се са убрзаним слабљењем. С обзиром на величину кинеске економије и њен значај за глобалне ланце снабдевања, ово ће имати значајан негативни утицај на глобалну трговину и економску активност. Како би се ублажила материјализација већих ризика, неопходна је интензивна међународна сарадња, проналазак мирног решења украјинског конфликта, усклађивање монетарне и фискалне политике, као и дугорочно решавање климатских проблема.</w:t>
      </w:r>
    </w:p>
    <w:p w14:paraId="49EADABC" w14:textId="77777777" w:rsidR="00C02C3D" w:rsidRPr="00F27A03" w:rsidRDefault="00C02C3D" w:rsidP="008527D6">
      <w:pPr>
        <w:jc w:val="left"/>
        <w:rPr>
          <w:rFonts w:cstheme="minorHAnsi"/>
          <w:b/>
          <w:color w:val="FF0000"/>
          <w:sz w:val="22"/>
          <w:lang w:val="sr-Cyrl-CS"/>
        </w:rPr>
        <w:sectPr w:rsidR="00C02C3D" w:rsidRPr="00F27A03" w:rsidSect="008527D6">
          <w:type w:val="continuous"/>
          <w:pgSz w:w="12240" w:h="15840"/>
          <w:pgMar w:top="1440" w:right="1440" w:bottom="1440" w:left="1440" w:header="708" w:footer="708" w:gutter="0"/>
          <w:cols w:num="2" w:space="708"/>
          <w:docGrid w:linePitch="360"/>
        </w:sectPr>
      </w:pPr>
    </w:p>
    <w:p w14:paraId="51D630DE" w14:textId="77777777" w:rsidR="00C02C3D" w:rsidRPr="00F27A03" w:rsidRDefault="00C02C3D" w:rsidP="008527D6">
      <w:pPr>
        <w:jc w:val="left"/>
        <w:rPr>
          <w:rFonts w:cstheme="minorHAnsi"/>
          <w:b/>
          <w:color w:val="2F5496" w:themeColor="accent1" w:themeShade="BF"/>
          <w:sz w:val="22"/>
          <w:lang w:val="sr-Cyrl-CS"/>
        </w:rPr>
      </w:pPr>
      <w:r w:rsidRPr="00F27A03">
        <w:rPr>
          <w:rFonts w:cstheme="minorHAnsi"/>
          <w:b/>
          <w:color w:val="2F5496" w:themeColor="accent1" w:themeShade="BF"/>
          <w:sz w:val="22"/>
          <w:lang w:val="sr-Cyrl-CS"/>
        </w:rPr>
        <w:t>Макроекономске процене Међународног монетарног фонда</w:t>
      </w:r>
    </w:p>
    <w:p w14:paraId="211D94EF" w14:textId="77777777" w:rsidR="00C02C3D" w:rsidRPr="00F27A03" w:rsidRDefault="00C02C3D" w:rsidP="0065412F">
      <w:pPr>
        <w:rPr>
          <w:rFonts w:cstheme="minorHAnsi"/>
          <w:bCs/>
          <w:szCs w:val="72"/>
          <w:lang w:val="sr-Cyrl-CS"/>
        </w:rPr>
      </w:pPr>
      <w:r w:rsidRPr="00F27A03">
        <w:rPr>
          <w:rFonts w:cstheme="minorHAnsi"/>
          <w:bCs/>
          <w:szCs w:val="72"/>
          <w:lang w:val="sr-Cyrl-CS"/>
        </w:rPr>
        <w:t>Након пандемије, глобална економија наставља да се суочава са оштрим изазовима насталим под утицајем конфликта у Украјини, растућих трошкова живота узрокованих постојанијим и све јачим инфлаторним притисцима, као и услед успоравања економског раста у Кини. Према октобарским пројекцијама</w:t>
      </w:r>
      <w:r w:rsidRPr="00F27A03">
        <w:rPr>
          <w:lang w:val="sr-Cyrl-CS"/>
        </w:rPr>
        <w:t xml:space="preserve"> </w:t>
      </w:r>
      <w:r w:rsidRPr="00F27A03">
        <w:rPr>
          <w:rFonts w:cstheme="minorHAnsi"/>
          <w:bCs/>
          <w:szCs w:val="72"/>
          <w:lang w:val="sr-Cyrl-CS"/>
        </w:rPr>
        <w:t xml:space="preserve">Међународног монетарног фонда (у даљем тексту: ММФ), глобални раст ће у 2022. години износити 3,2% што је за 0,4 п.п. мање у односу на априлску пројекцију, док је за 2023. годину раст привреде ревидиран наниже за 0,9 п.п. и износиће 2,7%. Значајан број земаља, које чине више од трећине светског БДП, суочавају се са „техничком рецесијом” ове или следеће године. Главни разлози за ревизију пројектоване путање економског опоравка јесу војни конфликт у Украјини и ефекти преливања кризе на друге земље. Постојани и растући инфлаторни притисци покренули су брзо и синхронизовано пооштравање монетарне </w:t>
      </w:r>
      <w:r w:rsidRPr="00F27A03">
        <w:rPr>
          <w:rFonts w:cstheme="minorHAnsi"/>
          <w:bCs/>
          <w:szCs w:val="72"/>
          <w:lang w:val="sr-Cyrl-CS"/>
        </w:rPr>
        <w:t>политике, уз снажну апрецијацију америчког долара у односу на већину других валута. Пооштрени глобални монетарни и финансијски услови ће утицати на економску активност, те ће смањујући тражњу помоћи да се инфлација постепено доведе под контролу. Конфликт је такође подигао цене хране на светским тржиштима, упркос недавном споразуму о извозу жита у Црном мору, узрокујући озбиљне тешкоће за домаћинства са ниским приходима широм света, а посебно у неразвијеним земљама.</w:t>
      </w:r>
    </w:p>
    <w:p w14:paraId="06E757F7" w14:textId="76EACC97" w:rsidR="00C02C3D" w:rsidRPr="00F27A03" w:rsidRDefault="00C02C3D" w:rsidP="0065412F">
      <w:pPr>
        <w:rPr>
          <w:rFonts w:cstheme="minorHAnsi"/>
          <w:lang w:val="sr-Cyrl-CS"/>
        </w:rPr>
      </w:pPr>
      <w:r w:rsidRPr="00F27A03">
        <w:rPr>
          <w:rFonts w:cstheme="minorHAnsi"/>
          <w:lang w:val="sr-Cyrl-CS"/>
        </w:rPr>
        <w:t>Ризици за остваривање пројекција су и даље повишени, док је примењивање одговарајућих политика за решавање убрзаног раста трошкова живота постало озбиљан изазов. У време када је светска економија изразито рањива, ризик од примене погрешне комбинације монетарне, фискалне и финансијске политике нагло је порастао. Све већи притисци на цене остају најнепосреднија претња садашњем и будућем опоравку због смањења реалних прихода и нарушавања макроекономске стабилности.</w:t>
      </w:r>
    </w:p>
    <w:p w14:paraId="28B7B42E" w14:textId="77777777" w:rsidR="003C0D09" w:rsidRPr="00F27A03" w:rsidRDefault="003C0D09" w:rsidP="0065412F">
      <w:pPr>
        <w:rPr>
          <w:rFonts w:cstheme="minorHAnsi"/>
          <w:color w:val="auto"/>
          <w:lang w:val="sr-Cyrl-CS"/>
        </w:rPr>
        <w:sectPr w:rsidR="003C0D09" w:rsidRPr="00F27A03" w:rsidSect="008527D6">
          <w:type w:val="continuous"/>
          <w:pgSz w:w="12240" w:h="15840"/>
          <w:pgMar w:top="1440" w:right="1440" w:bottom="1440" w:left="1440" w:header="708" w:footer="708" w:gutter="0"/>
          <w:cols w:num="2" w:space="708"/>
          <w:docGrid w:linePitch="360"/>
        </w:sectPr>
      </w:pPr>
    </w:p>
    <w:tbl>
      <w:tblPr>
        <w:tblStyle w:val="TableGrid"/>
        <w:tblW w:w="50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1"/>
        <w:gridCol w:w="1042"/>
        <w:gridCol w:w="1042"/>
        <w:gridCol w:w="1042"/>
        <w:gridCol w:w="1042"/>
        <w:gridCol w:w="1042"/>
      </w:tblGrid>
      <w:tr w:rsidR="00C02C3D" w:rsidRPr="00F27A03" w14:paraId="7BBC9D7A" w14:textId="77777777" w:rsidTr="002A5107">
        <w:trPr>
          <w:trHeight w:val="351"/>
        </w:trPr>
        <w:tc>
          <w:tcPr>
            <w:tcW w:w="5000" w:type="pct"/>
            <w:gridSpan w:val="6"/>
            <w:tcBorders>
              <w:bottom w:val="single" w:sz="4" w:space="0" w:color="002060"/>
            </w:tcBorders>
            <w:vAlign w:val="center"/>
          </w:tcPr>
          <w:p w14:paraId="7426489D" w14:textId="77777777" w:rsidR="00C02C3D" w:rsidRPr="00F27A03" w:rsidRDefault="00C02C3D" w:rsidP="00CE729E">
            <w:pPr>
              <w:jc w:val="center"/>
              <w:rPr>
                <w:rFonts w:cstheme="minorHAnsi"/>
                <w:b/>
                <w:color w:val="002060"/>
                <w:lang w:val="sr-Cyrl-CS"/>
              </w:rPr>
            </w:pPr>
            <w:r w:rsidRPr="00F27A03">
              <w:rPr>
                <w:rFonts w:cstheme="minorHAnsi"/>
                <w:b/>
                <w:color w:val="002060"/>
                <w:lang w:val="sr-Cyrl-CS"/>
              </w:rPr>
              <w:lastRenderedPageBreak/>
              <w:t>Табела 1. Међународно окружење – макроекономски показатељи</w:t>
            </w:r>
          </w:p>
        </w:tc>
      </w:tr>
      <w:tr w:rsidR="00C02C3D" w:rsidRPr="00F27A03" w14:paraId="5F0B0CD9" w14:textId="77777777" w:rsidTr="0065412F">
        <w:trPr>
          <w:trHeight w:val="180"/>
        </w:trPr>
        <w:tc>
          <w:tcPr>
            <w:tcW w:w="2220" w:type="pct"/>
            <w:tcBorders>
              <w:top w:val="single" w:sz="4" w:space="0" w:color="002060"/>
              <w:left w:val="single" w:sz="2" w:space="0" w:color="FFFFFF" w:themeColor="background1"/>
              <w:bottom w:val="single" w:sz="2" w:space="0" w:color="FFFFFF" w:themeColor="background1"/>
              <w:right w:val="single" w:sz="2" w:space="0" w:color="FFFFFF" w:themeColor="background1"/>
            </w:tcBorders>
          </w:tcPr>
          <w:p w14:paraId="0DF247A3" w14:textId="77777777" w:rsidR="00C02C3D" w:rsidRPr="00F27A03" w:rsidRDefault="00C02C3D" w:rsidP="00CE729E">
            <w:pPr>
              <w:rPr>
                <w:rFonts w:cstheme="minorHAnsi"/>
                <w:color w:val="002060"/>
                <w:sz w:val="18"/>
                <w:lang w:val="sr-Cyrl-CS"/>
              </w:rPr>
            </w:pP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22B2E480" w14:textId="77777777" w:rsidR="00C02C3D" w:rsidRPr="00F27A03" w:rsidRDefault="00C02C3D" w:rsidP="00CE729E">
            <w:pPr>
              <w:jc w:val="center"/>
              <w:rPr>
                <w:rFonts w:cstheme="minorHAnsi"/>
                <w:color w:val="002060"/>
                <w:sz w:val="18"/>
                <w:lang w:val="sr-Cyrl-CS"/>
              </w:rPr>
            </w:pPr>
            <w:r w:rsidRPr="00F27A03">
              <w:rPr>
                <w:rFonts w:cstheme="minorHAnsi"/>
                <w:color w:val="002060"/>
                <w:sz w:val="18"/>
                <w:lang w:val="sr-Cyrl-CS"/>
              </w:rPr>
              <w:t>2021</w:t>
            </w: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43F4C363" w14:textId="77777777" w:rsidR="00C02C3D" w:rsidRPr="00F27A03" w:rsidRDefault="00C02C3D" w:rsidP="008527D6">
            <w:pPr>
              <w:jc w:val="center"/>
              <w:rPr>
                <w:rFonts w:cstheme="minorHAnsi"/>
                <w:color w:val="002060"/>
                <w:sz w:val="18"/>
                <w:lang w:val="sr-Cyrl-CS"/>
              </w:rPr>
            </w:pPr>
            <w:r w:rsidRPr="00F27A03">
              <w:rPr>
                <w:rFonts w:cstheme="minorHAnsi"/>
                <w:color w:val="002060"/>
                <w:sz w:val="18"/>
                <w:lang w:val="sr-Cyrl-CS"/>
              </w:rPr>
              <w:t>2022</w:t>
            </w: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1FF89258" w14:textId="77777777" w:rsidR="00C02C3D" w:rsidRPr="00F27A03" w:rsidRDefault="00C02C3D" w:rsidP="008527D6">
            <w:pPr>
              <w:jc w:val="center"/>
              <w:rPr>
                <w:rFonts w:cstheme="minorHAnsi"/>
                <w:color w:val="002060"/>
                <w:sz w:val="18"/>
                <w:lang w:val="sr-Cyrl-CS"/>
              </w:rPr>
            </w:pPr>
            <w:r w:rsidRPr="00F27A03">
              <w:rPr>
                <w:rFonts w:cstheme="minorHAnsi"/>
                <w:color w:val="002060"/>
                <w:sz w:val="18"/>
                <w:lang w:val="sr-Cyrl-CS"/>
              </w:rPr>
              <w:t>2023</w:t>
            </w: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1E130A98" w14:textId="77777777" w:rsidR="00C02C3D" w:rsidRPr="00F27A03" w:rsidRDefault="00C02C3D" w:rsidP="008527D6">
            <w:pPr>
              <w:jc w:val="center"/>
              <w:rPr>
                <w:rFonts w:cstheme="minorHAnsi"/>
                <w:color w:val="002060"/>
                <w:sz w:val="18"/>
                <w:lang w:val="sr-Cyrl-CS"/>
              </w:rPr>
            </w:pPr>
            <w:r w:rsidRPr="00F27A03">
              <w:rPr>
                <w:rFonts w:cstheme="minorHAnsi"/>
                <w:color w:val="002060"/>
                <w:sz w:val="18"/>
                <w:lang w:val="sr-Cyrl-CS"/>
              </w:rPr>
              <w:t>2024</w:t>
            </w: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5B8A2DC7" w14:textId="77777777" w:rsidR="00C02C3D" w:rsidRPr="00F27A03" w:rsidRDefault="00C02C3D" w:rsidP="008527D6">
            <w:pPr>
              <w:jc w:val="center"/>
              <w:rPr>
                <w:rFonts w:cstheme="minorHAnsi"/>
                <w:color w:val="002060"/>
                <w:sz w:val="18"/>
                <w:lang w:val="sr-Cyrl-CS"/>
              </w:rPr>
            </w:pPr>
            <w:r w:rsidRPr="00F27A03">
              <w:rPr>
                <w:rFonts w:cstheme="minorHAnsi"/>
                <w:color w:val="002060"/>
                <w:sz w:val="18"/>
                <w:lang w:val="sr-Cyrl-CS"/>
              </w:rPr>
              <w:t>2025</w:t>
            </w:r>
          </w:p>
        </w:tc>
      </w:tr>
      <w:tr w:rsidR="00C02C3D" w:rsidRPr="00F27A03" w14:paraId="344E645E" w14:textId="77777777" w:rsidTr="0065412F">
        <w:trPr>
          <w:trHeight w:val="190"/>
        </w:trPr>
        <w:tc>
          <w:tcPr>
            <w:tcW w:w="2220" w:type="pct"/>
            <w:tcBorders>
              <w:top w:val="single" w:sz="2" w:space="0" w:color="FFFFFF" w:themeColor="background1"/>
              <w:left w:val="single" w:sz="2" w:space="0" w:color="FFFFFF" w:themeColor="background1"/>
              <w:bottom w:val="single" w:sz="2" w:space="0" w:color="FFFFFF" w:themeColor="background1"/>
            </w:tcBorders>
            <w:shd w:val="clear" w:color="auto" w:fill="E7E6E6" w:themeFill="background2"/>
          </w:tcPr>
          <w:p w14:paraId="45F8CDB4" w14:textId="77777777" w:rsidR="00C02C3D" w:rsidRPr="00F27A03" w:rsidRDefault="00C02C3D" w:rsidP="00BA0A39">
            <w:pPr>
              <w:rPr>
                <w:rFonts w:cstheme="minorHAnsi"/>
                <w:color w:val="002060"/>
                <w:sz w:val="18"/>
                <w:lang w:val="sr-Cyrl-CS"/>
              </w:rPr>
            </w:pPr>
            <w:r w:rsidRPr="00F27A03">
              <w:rPr>
                <w:rFonts w:cstheme="minorHAnsi"/>
                <w:color w:val="002060"/>
                <w:sz w:val="18"/>
                <w:lang w:val="sr-Cyrl-CS"/>
              </w:rPr>
              <w:t>Реални раст БДП</w:t>
            </w:r>
            <w:r w:rsidRPr="00F27A03">
              <w:rPr>
                <w:rFonts w:cstheme="minorHAnsi"/>
                <w:color w:val="002060"/>
                <w:sz w:val="18"/>
                <w:vertAlign w:val="superscript"/>
                <w:lang w:val="sr-Cyrl-CS"/>
              </w:rPr>
              <w:t>1</w:t>
            </w:r>
            <w:r w:rsidRPr="00F27A03">
              <w:rPr>
                <w:rFonts w:cstheme="minorHAnsi"/>
                <w:color w:val="002060"/>
                <w:sz w:val="18"/>
                <w:lang w:val="sr-Cyrl-CS"/>
              </w:rPr>
              <w:t>, %</w:t>
            </w:r>
          </w:p>
        </w:tc>
        <w:tc>
          <w:tcPr>
            <w:tcW w:w="556" w:type="pct"/>
            <w:tcBorders>
              <w:top w:val="single" w:sz="2" w:space="0" w:color="FFFFFF" w:themeColor="background1"/>
              <w:bottom w:val="single" w:sz="2" w:space="0" w:color="FFFFFF" w:themeColor="background1"/>
            </w:tcBorders>
            <w:shd w:val="clear" w:color="auto" w:fill="E7E6E6" w:themeFill="background2"/>
          </w:tcPr>
          <w:p w14:paraId="74F8494E" w14:textId="77777777" w:rsidR="00C02C3D" w:rsidRPr="00F27A03" w:rsidRDefault="00C02C3D" w:rsidP="00BA0A39">
            <w:pPr>
              <w:rPr>
                <w:rFonts w:cstheme="minorHAnsi"/>
                <w:color w:val="002060"/>
                <w:sz w:val="18"/>
                <w:lang w:val="sr-Cyrl-CS"/>
              </w:rPr>
            </w:pPr>
          </w:p>
        </w:tc>
        <w:tc>
          <w:tcPr>
            <w:tcW w:w="556" w:type="pct"/>
            <w:tcBorders>
              <w:top w:val="single" w:sz="2" w:space="0" w:color="FFFFFF" w:themeColor="background1"/>
              <w:bottom w:val="single" w:sz="2" w:space="0" w:color="FFFFFF" w:themeColor="background1"/>
            </w:tcBorders>
            <w:shd w:val="clear" w:color="auto" w:fill="E7E6E6" w:themeFill="background2"/>
          </w:tcPr>
          <w:p w14:paraId="74212A25" w14:textId="77777777" w:rsidR="00C02C3D" w:rsidRPr="00F27A03" w:rsidRDefault="00C02C3D" w:rsidP="00BA0A39">
            <w:pPr>
              <w:rPr>
                <w:rFonts w:cstheme="minorHAnsi"/>
                <w:color w:val="002060"/>
                <w:sz w:val="18"/>
                <w:lang w:val="sr-Cyrl-CS"/>
              </w:rPr>
            </w:pPr>
          </w:p>
        </w:tc>
        <w:tc>
          <w:tcPr>
            <w:tcW w:w="556" w:type="pct"/>
            <w:tcBorders>
              <w:top w:val="single" w:sz="2" w:space="0" w:color="FFFFFF" w:themeColor="background1"/>
              <w:bottom w:val="single" w:sz="2" w:space="0" w:color="FFFFFF" w:themeColor="background1"/>
            </w:tcBorders>
            <w:shd w:val="clear" w:color="auto" w:fill="E7E6E6" w:themeFill="background2"/>
          </w:tcPr>
          <w:p w14:paraId="375AD48A" w14:textId="77777777" w:rsidR="00C02C3D" w:rsidRPr="00F27A03" w:rsidRDefault="00C02C3D" w:rsidP="00BA0A39">
            <w:pPr>
              <w:rPr>
                <w:rFonts w:cstheme="minorHAnsi"/>
                <w:color w:val="002060"/>
                <w:sz w:val="18"/>
                <w:lang w:val="sr-Cyrl-CS"/>
              </w:rPr>
            </w:pPr>
          </w:p>
        </w:tc>
        <w:tc>
          <w:tcPr>
            <w:tcW w:w="556" w:type="pct"/>
            <w:tcBorders>
              <w:top w:val="single" w:sz="2" w:space="0" w:color="FFFFFF" w:themeColor="background1"/>
              <w:bottom w:val="single" w:sz="2" w:space="0" w:color="FFFFFF" w:themeColor="background1"/>
            </w:tcBorders>
            <w:shd w:val="clear" w:color="auto" w:fill="E7E6E6" w:themeFill="background2"/>
          </w:tcPr>
          <w:p w14:paraId="329878CB" w14:textId="77777777" w:rsidR="00C02C3D" w:rsidRPr="00F27A03" w:rsidRDefault="00C02C3D" w:rsidP="00BA0A39">
            <w:pPr>
              <w:rPr>
                <w:rFonts w:cstheme="minorHAnsi"/>
                <w:color w:val="002060"/>
                <w:sz w:val="18"/>
                <w:lang w:val="sr-Cyrl-CS"/>
              </w:rPr>
            </w:pPr>
          </w:p>
        </w:tc>
        <w:tc>
          <w:tcPr>
            <w:tcW w:w="556" w:type="pct"/>
            <w:tcBorders>
              <w:top w:val="single" w:sz="2" w:space="0" w:color="FFFFFF" w:themeColor="background1"/>
              <w:bottom w:val="single" w:sz="2" w:space="0" w:color="FFFFFF" w:themeColor="background1"/>
              <w:right w:val="single" w:sz="2" w:space="0" w:color="FFFFFF" w:themeColor="background1"/>
            </w:tcBorders>
            <w:shd w:val="clear" w:color="auto" w:fill="E7E6E6" w:themeFill="background2"/>
          </w:tcPr>
          <w:p w14:paraId="1E5EC23D" w14:textId="77777777" w:rsidR="00C02C3D" w:rsidRPr="00F27A03" w:rsidRDefault="00C02C3D" w:rsidP="00BA0A39">
            <w:pPr>
              <w:rPr>
                <w:rFonts w:cstheme="minorHAnsi"/>
                <w:color w:val="002060"/>
                <w:sz w:val="18"/>
                <w:lang w:val="sr-Cyrl-CS"/>
              </w:rPr>
            </w:pPr>
          </w:p>
        </w:tc>
      </w:tr>
      <w:tr w:rsidR="00C02C3D" w:rsidRPr="00F27A03" w14:paraId="47CE07FC" w14:textId="77777777" w:rsidTr="0065412F">
        <w:trPr>
          <w:trHeight w:val="190"/>
        </w:trPr>
        <w:tc>
          <w:tcPr>
            <w:tcW w:w="2220" w:type="pct"/>
            <w:tcBorders>
              <w:top w:val="single" w:sz="2" w:space="0" w:color="FFFFFF" w:themeColor="background1"/>
            </w:tcBorders>
          </w:tcPr>
          <w:p w14:paraId="3E6D4B8E" w14:textId="77777777" w:rsidR="00C02C3D" w:rsidRPr="00F27A03" w:rsidRDefault="00C02C3D" w:rsidP="0065412F">
            <w:pPr>
              <w:ind w:left="255"/>
              <w:rPr>
                <w:rFonts w:cstheme="minorHAnsi"/>
                <w:color w:val="002060"/>
                <w:sz w:val="18"/>
                <w:lang w:val="sr-Cyrl-CS"/>
              </w:rPr>
            </w:pPr>
            <w:r w:rsidRPr="00F27A03">
              <w:rPr>
                <w:rFonts w:cstheme="minorHAnsi"/>
                <w:color w:val="002060"/>
                <w:sz w:val="18"/>
                <w:lang w:val="sr-Cyrl-CS"/>
              </w:rPr>
              <w:t>Свет укупно</w:t>
            </w:r>
          </w:p>
        </w:tc>
        <w:tc>
          <w:tcPr>
            <w:tcW w:w="556" w:type="pct"/>
            <w:tcBorders>
              <w:top w:val="single" w:sz="2" w:space="0" w:color="FFFFFF" w:themeColor="background1"/>
            </w:tcBorders>
            <w:vAlign w:val="center"/>
          </w:tcPr>
          <w:p w14:paraId="01F86586"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6,0</w:t>
            </w:r>
          </w:p>
        </w:tc>
        <w:tc>
          <w:tcPr>
            <w:tcW w:w="556" w:type="pct"/>
            <w:tcBorders>
              <w:top w:val="single" w:sz="2" w:space="0" w:color="FFFFFF" w:themeColor="background1"/>
            </w:tcBorders>
            <w:vAlign w:val="center"/>
          </w:tcPr>
          <w:p w14:paraId="315B7E7A"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3,2</w:t>
            </w:r>
          </w:p>
        </w:tc>
        <w:tc>
          <w:tcPr>
            <w:tcW w:w="556" w:type="pct"/>
            <w:tcBorders>
              <w:top w:val="single" w:sz="2" w:space="0" w:color="FFFFFF" w:themeColor="background1"/>
            </w:tcBorders>
            <w:vAlign w:val="center"/>
          </w:tcPr>
          <w:p w14:paraId="1E0FDC07"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2,7</w:t>
            </w:r>
          </w:p>
        </w:tc>
        <w:tc>
          <w:tcPr>
            <w:tcW w:w="556" w:type="pct"/>
            <w:tcBorders>
              <w:top w:val="single" w:sz="2" w:space="0" w:color="FFFFFF" w:themeColor="background1"/>
            </w:tcBorders>
            <w:vAlign w:val="center"/>
          </w:tcPr>
          <w:p w14:paraId="6178AA85"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3,2</w:t>
            </w:r>
          </w:p>
        </w:tc>
        <w:tc>
          <w:tcPr>
            <w:tcW w:w="556" w:type="pct"/>
            <w:tcBorders>
              <w:top w:val="single" w:sz="2" w:space="0" w:color="FFFFFF" w:themeColor="background1"/>
            </w:tcBorders>
            <w:vAlign w:val="center"/>
          </w:tcPr>
          <w:p w14:paraId="6D329013"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3,4</w:t>
            </w:r>
          </w:p>
        </w:tc>
      </w:tr>
      <w:tr w:rsidR="00C02C3D" w:rsidRPr="00F27A03" w14:paraId="1F0FF1A3" w14:textId="77777777" w:rsidTr="0065412F">
        <w:trPr>
          <w:trHeight w:val="180"/>
        </w:trPr>
        <w:tc>
          <w:tcPr>
            <w:tcW w:w="2220" w:type="pct"/>
          </w:tcPr>
          <w:p w14:paraId="46153BB8" w14:textId="77777777" w:rsidR="00C02C3D" w:rsidRPr="00F27A03" w:rsidRDefault="00C02C3D" w:rsidP="0065412F">
            <w:pPr>
              <w:ind w:left="255"/>
              <w:rPr>
                <w:rFonts w:cstheme="minorHAnsi"/>
                <w:color w:val="002060"/>
                <w:sz w:val="18"/>
                <w:lang w:val="sr-Cyrl-CS"/>
              </w:rPr>
            </w:pPr>
            <w:r w:rsidRPr="00F27A03">
              <w:rPr>
                <w:rFonts w:cstheme="minorHAnsi"/>
                <w:color w:val="002060"/>
                <w:sz w:val="18"/>
                <w:lang w:val="sr-Cyrl-CS"/>
              </w:rPr>
              <w:t>Развијене економије</w:t>
            </w:r>
          </w:p>
        </w:tc>
        <w:tc>
          <w:tcPr>
            <w:tcW w:w="556" w:type="pct"/>
            <w:vAlign w:val="center"/>
          </w:tcPr>
          <w:p w14:paraId="37A0CE45"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5,2</w:t>
            </w:r>
          </w:p>
        </w:tc>
        <w:tc>
          <w:tcPr>
            <w:tcW w:w="556" w:type="pct"/>
            <w:vAlign w:val="center"/>
          </w:tcPr>
          <w:p w14:paraId="2F161166"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2,4</w:t>
            </w:r>
          </w:p>
        </w:tc>
        <w:tc>
          <w:tcPr>
            <w:tcW w:w="556" w:type="pct"/>
            <w:vAlign w:val="center"/>
          </w:tcPr>
          <w:p w14:paraId="7CA631D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1,1</w:t>
            </w:r>
          </w:p>
        </w:tc>
        <w:tc>
          <w:tcPr>
            <w:tcW w:w="556" w:type="pct"/>
            <w:vAlign w:val="center"/>
          </w:tcPr>
          <w:p w14:paraId="0ED329BA"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1,6</w:t>
            </w:r>
          </w:p>
        </w:tc>
        <w:tc>
          <w:tcPr>
            <w:tcW w:w="556" w:type="pct"/>
            <w:vAlign w:val="center"/>
          </w:tcPr>
          <w:p w14:paraId="55F47A9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1,9</w:t>
            </w:r>
          </w:p>
        </w:tc>
      </w:tr>
      <w:tr w:rsidR="00C02C3D" w:rsidRPr="00F27A03" w14:paraId="31E33960" w14:textId="77777777" w:rsidTr="0065412F">
        <w:trPr>
          <w:trHeight w:val="190"/>
        </w:trPr>
        <w:tc>
          <w:tcPr>
            <w:tcW w:w="2220" w:type="pct"/>
          </w:tcPr>
          <w:p w14:paraId="41B5BA94" w14:textId="77777777" w:rsidR="00C02C3D" w:rsidRPr="00F27A03" w:rsidRDefault="00C02C3D" w:rsidP="0065412F">
            <w:pPr>
              <w:ind w:left="615" w:hanging="180"/>
              <w:rPr>
                <w:rFonts w:cstheme="minorHAnsi"/>
                <w:color w:val="002060"/>
                <w:sz w:val="18"/>
                <w:lang w:val="sr-Cyrl-CS"/>
              </w:rPr>
            </w:pPr>
            <w:r w:rsidRPr="00F27A03">
              <w:rPr>
                <w:rFonts w:cstheme="minorHAnsi"/>
                <w:color w:val="002060"/>
                <w:sz w:val="18"/>
                <w:lang w:val="sr-Cyrl-CS"/>
              </w:rPr>
              <w:t>САД</w:t>
            </w:r>
          </w:p>
        </w:tc>
        <w:tc>
          <w:tcPr>
            <w:tcW w:w="556" w:type="pct"/>
            <w:vAlign w:val="center"/>
          </w:tcPr>
          <w:p w14:paraId="73C39ABA"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5,7</w:t>
            </w:r>
          </w:p>
        </w:tc>
        <w:tc>
          <w:tcPr>
            <w:tcW w:w="556" w:type="pct"/>
            <w:vAlign w:val="center"/>
          </w:tcPr>
          <w:p w14:paraId="3213BF0B"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1,6</w:t>
            </w:r>
          </w:p>
        </w:tc>
        <w:tc>
          <w:tcPr>
            <w:tcW w:w="556" w:type="pct"/>
            <w:vAlign w:val="center"/>
          </w:tcPr>
          <w:p w14:paraId="3A94CB02"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1,0</w:t>
            </w:r>
          </w:p>
        </w:tc>
        <w:tc>
          <w:tcPr>
            <w:tcW w:w="556" w:type="pct"/>
            <w:vAlign w:val="center"/>
          </w:tcPr>
          <w:p w14:paraId="793CE689"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1,2</w:t>
            </w:r>
          </w:p>
        </w:tc>
        <w:tc>
          <w:tcPr>
            <w:tcW w:w="556" w:type="pct"/>
            <w:vAlign w:val="center"/>
          </w:tcPr>
          <w:p w14:paraId="30651BAB"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1,8</w:t>
            </w:r>
          </w:p>
        </w:tc>
      </w:tr>
      <w:tr w:rsidR="00C02C3D" w:rsidRPr="00F27A03" w14:paraId="0349BB28" w14:textId="77777777" w:rsidTr="0065412F">
        <w:trPr>
          <w:trHeight w:val="180"/>
        </w:trPr>
        <w:tc>
          <w:tcPr>
            <w:tcW w:w="2220" w:type="pct"/>
          </w:tcPr>
          <w:p w14:paraId="751CF1F0" w14:textId="77777777" w:rsidR="00C02C3D" w:rsidRPr="00F27A03" w:rsidRDefault="00C02C3D" w:rsidP="0065412F">
            <w:pPr>
              <w:ind w:left="615" w:hanging="180"/>
              <w:rPr>
                <w:rFonts w:cstheme="minorHAnsi"/>
                <w:color w:val="002060"/>
                <w:sz w:val="18"/>
                <w:lang w:val="sr-Cyrl-CS"/>
              </w:rPr>
            </w:pPr>
            <w:r w:rsidRPr="00F27A03">
              <w:rPr>
                <w:rFonts w:cstheme="minorHAnsi"/>
                <w:color w:val="002060"/>
                <w:sz w:val="18"/>
                <w:lang w:val="sr-Cyrl-CS"/>
              </w:rPr>
              <w:t>Еврозона</w:t>
            </w:r>
          </w:p>
        </w:tc>
        <w:tc>
          <w:tcPr>
            <w:tcW w:w="556" w:type="pct"/>
            <w:vAlign w:val="center"/>
          </w:tcPr>
          <w:p w14:paraId="727A6AC3"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5,2</w:t>
            </w:r>
          </w:p>
        </w:tc>
        <w:tc>
          <w:tcPr>
            <w:tcW w:w="556" w:type="pct"/>
            <w:vAlign w:val="center"/>
          </w:tcPr>
          <w:p w14:paraId="5D5EAE4E"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3,1</w:t>
            </w:r>
          </w:p>
        </w:tc>
        <w:tc>
          <w:tcPr>
            <w:tcW w:w="556" w:type="pct"/>
            <w:vAlign w:val="center"/>
          </w:tcPr>
          <w:p w14:paraId="1451BCBB"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0,5</w:t>
            </w:r>
          </w:p>
        </w:tc>
        <w:tc>
          <w:tcPr>
            <w:tcW w:w="556" w:type="pct"/>
            <w:vAlign w:val="center"/>
          </w:tcPr>
          <w:p w14:paraId="1EC215F9"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1,8</w:t>
            </w:r>
          </w:p>
        </w:tc>
        <w:tc>
          <w:tcPr>
            <w:tcW w:w="556" w:type="pct"/>
            <w:vAlign w:val="center"/>
          </w:tcPr>
          <w:p w14:paraId="16D1A23D"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1,9</w:t>
            </w:r>
          </w:p>
        </w:tc>
      </w:tr>
      <w:tr w:rsidR="00C02C3D" w:rsidRPr="00F27A03" w14:paraId="78F61C4A" w14:textId="77777777" w:rsidTr="0065412F">
        <w:trPr>
          <w:trHeight w:val="190"/>
        </w:trPr>
        <w:tc>
          <w:tcPr>
            <w:tcW w:w="2220" w:type="pct"/>
          </w:tcPr>
          <w:p w14:paraId="3E9D9B76" w14:textId="77777777" w:rsidR="00C02C3D" w:rsidRPr="00F27A03" w:rsidRDefault="00C02C3D" w:rsidP="0065412F">
            <w:pPr>
              <w:ind w:left="345" w:hanging="90"/>
              <w:rPr>
                <w:rFonts w:cstheme="minorHAnsi"/>
                <w:color w:val="002060"/>
                <w:sz w:val="18"/>
                <w:lang w:val="sr-Cyrl-CS"/>
              </w:rPr>
            </w:pPr>
            <w:r w:rsidRPr="00F27A03">
              <w:rPr>
                <w:rFonts w:cstheme="minorHAnsi"/>
                <w:color w:val="002060"/>
                <w:sz w:val="18"/>
                <w:lang w:val="sr-Cyrl-CS"/>
              </w:rPr>
              <w:t>Земље у успону</w:t>
            </w:r>
          </w:p>
        </w:tc>
        <w:tc>
          <w:tcPr>
            <w:tcW w:w="556" w:type="pct"/>
            <w:vAlign w:val="center"/>
          </w:tcPr>
          <w:p w14:paraId="3F61E4F9"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6,6</w:t>
            </w:r>
          </w:p>
        </w:tc>
        <w:tc>
          <w:tcPr>
            <w:tcW w:w="556" w:type="pct"/>
            <w:vAlign w:val="center"/>
          </w:tcPr>
          <w:p w14:paraId="2999EC8A"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3,7</w:t>
            </w:r>
          </w:p>
        </w:tc>
        <w:tc>
          <w:tcPr>
            <w:tcW w:w="556" w:type="pct"/>
            <w:vAlign w:val="center"/>
          </w:tcPr>
          <w:p w14:paraId="111439EF"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3,7</w:t>
            </w:r>
          </w:p>
        </w:tc>
        <w:tc>
          <w:tcPr>
            <w:tcW w:w="556" w:type="pct"/>
            <w:vAlign w:val="center"/>
          </w:tcPr>
          <w:p w14:paraId="4FFF4A75"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4,3</w:t>
            </w:r>
          </w:p>
        </w:tc>
        <w:tc>
          <w:tcPr>
            <w:tcW w:w="556" w:type="pct"/>
            <w:vAlign w:val="center"/>
          </w:tcPr>
          <w:p w14:paraId="0FD8530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4,3</w:t>
            </w:r>
          </w:p>
        </w:tc>
      </w:tr>
      <w:tr w:rsidR="00C02C3D" w:rsidRPr="00F27A03" w14:paraId="38D64A0D" w14:textId="77777777" w:rsidTr="0065412F">
        <w:trPr>
          <w:trHeight w:val="180"/>
        </w:trPr>
        <w:tc>
          <w:tcPr>
            <w:tcW w:w="2220" w:type="pct"/>
          </w:tcPr>
          <w:p w14:paraId="14A8408A" w14:textId="77777777" w:rsidR="00C02C3D" w:rsidRPr="00F27A03" w:rsidRDefault="00C02C3D" w:rsidP="0065412F">
            <w:pPr>
              <w:ind w:left="615" w:hanging="180"/>
              <w:rPr>
                <w:rFonts w:cstheme="minorHAnsi"/>
                <w:color w:val="002060"/>
                <w:sz w:val="18"/>
                <w:lang w:val="sr-Cyrl-CS"/>
              </w:rPr>
            </w:pPr>
            <w:r w:rsidRPr="00F27A03">
              <w:rPr>
                <w:rFonts w:cstheme="minorHAnsi"/>
                <w:color w:val="002060"/>
                <w:sz w:val="18"/>
                <w:lang w:val="sr-Cyrl-CS"/>
              </w:rPr>
              <w:t>Кина</w:t>
            </w:r>
          </w:p>
        </w:tc>
        <w:tc>
          <w:tcPr>
            <w:tcW w:w="556" w:type="pct"/>
            <w:vAlign w:val="center"/>
          </w:tcPr>
          <w:p w14:paraId="15C0B924"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8,1</w:t>
            </w:r>
          </w:p>
        </w:tc>
        <w:tc>
          <w:tcPr>
            <w:tcW w:w="556" w:type="pct"/>
            <w:vAlign w:val="center"/>
          </w:tcPr>
          <w:p w14:paraId="1D8B46BD"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3,2</w:t>
            </w:r>
          </w:p>
        </w:tc>
        <w:tc>
          <w:tcPr>
            <w:tcW w:w="556" w:type="pct"/>
            <w:vAlign w:val="center"/>
          </w:tcPr>
          <w:p w14:paraId="03257E0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4,4</w:t>
            </w:r>
          </w:p>
        </w:tc>
        <w:tc>
          <w:tcPr>
            <w:tcW w:w="556" w:type="pct"/>
            <w:vAlign w:val="center"/>
          </w:tcPr>
          <w:p w14:paraId="5060A351"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4,5</w:t>
            </w:r>
          </w:p>
        </w:tc>
        <w:tc>
          <w:tcPr>
            <w:tcW w:w="556" w:type="pct"/>
            <w:vAlign w:val="center"/>
          </w:tcPr>
          <w:p w14:paraId="26662CED"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4,6</w:t>
            </w:r>
          </w:p>
        </w:tc>
      </w:tr>
      <w:tr w:rsidR="00C02C3D" w:rsidRPr="00F27A03" w14:paraId="68512A23" w14:textId="77777777" w:rsidTr="0065412F">
        <w:trPr>
          <w:trHeight w:val="190"/>
        </w:trPr>
        <w:tc>
          <w:tcPr>
            <w:tcW w:w="2220" w:type="pct"/>
          </w:tcPr>
          <w:p w14:paraId="0FE3B948" w14:textId="77777777" w:rsidR="00C02C3D" w:rsidRPr="00F27A03" w:rsidRDefault="00C02C3D" w:rsidP="0065412F">
            <w:pPr>
              <w:ind w:left="615" w:hanging="180"/>
              <w:rPr>
                <w:rFonts w:cstheme="minorHAnsi"/>
                <w:color w:val="002060"/>
                <w:sz w:val="18"/>
                <w:lang w:val="sr-Cyrl-CS"/>
              </w:rPr>
            </w:pPr>
            <w:r w:rsidRPr="00F27A03">
              <w:rPr>
                <w:rFonts w:cstheme="minorHAnsi"/>
                <w:color w:val="002060"/>
                <w:sz w:val="18"/>
                <w:lang w:val="sr-Cyrl-CS"/>
              </w:rPr>
              <w:t xml:space="preserve">Русија </w:t>
            </w:r>
          </w:p>
        </w:tc>
        <w:tc>
          <w:tcPr>
            <w:tcW w:w="556" w:type="pct"/>
            <w:vAlign w:val="center"/>
          </w:tcPr>
          <w:p w14:paraId="2E47A97E"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4,7</w:t>
            </w:r>
          </w:p>
        </w:tc>
        <w:tc>
          <w:tcPr>
            <w:tcW w:w="556" w:type="pct"/>
            <w:vAlign w:val="center"/>
          </w:tcPr>
          <w:p w14:paraId="0E3E124E"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-3,4</w:t>
            </w:r>
          </w:p>
        </w:tc>
        <w:tc>
          <w:tcPr>
            <w:tcW w:w="556" w:type="pct"/>
            <w:vAlign w:val="center"/>
          </w:tcPr>
          <w:p w14:paraId="7E50F16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-2,3</w:t>
            </w:r>
          </w:p>
        </w:tc>
        <w:tc>
          <w:tcPr>
            <w:tcW w:w="556" w:type="pct"/>
            <w:vAlign w:val="center"/>
          </w:tcPr>
          <w:p w14:paraId="024A100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1,5</w:t>
            </w:r>
          </w:p>
        </w:tc>
        <w:tc>
          <w:tcPr>
            <w:tcW w:w="556" w:type="pct"/>
            <w:vAlign w:val="center"/>
          </w:tcPr>
          <w:p w14:paraId="6E55B016"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1,0</w:t>
            </w:r>
          </w:p>
        </w:tc>
      </w:tr>
      <w:tr w:rsidR="00C02C3D" w:rsidRPr="00F27A03" w14:paraId="0062F09E" w14:textId="77777777" w:rsidTr="0065412F">
        <w:trPr>
          <w:trHeight w:val="180"/>
        </w:trPr>
        <w:tc>
          <w:tcPr>
            <w:tcW w:w="2220" w:type="pct"/>
          </w:tcPr>
          <w:p w14:paraId="0CCA7216" w14:textId="77777777" w:rsidR="00C02C3D" w:rsidRPr="00F27A03" w:rsidRDefault="00C02C3D" w:rsidP="0065412F">
            <w:pPr>
              <w:ind w:left="345" w:hanging="90"/>
              <w:rPr>
                <w:rFonts w:cstheme="minorHAnsi"/>
                <w:color w:val="002060"/>
                <w:sz w:val="18"/>
                <w:lang w:val="sr-Cyrl-CS"/>
              </w:rPr>
            </w:pPr>
            <w:r w:rsidRPr="00F27A03">
              <w:rPr>
                <w:rFonts w:cstheme="minorHAnsi"/>
                <w:color w:val="002060"/>
                <w:sz w:val="18"/>
                <w:lang w:val="sr-Cyrl-CS"/>
              </w:rPr>
              <w:t>Раст светске трговине, %</w:t>
            </w:r>
          </w:p>
        </w:tc>
        <w:tc>
          <w:tcPr>
            <w:tcW w:w="556" w:type="pct"/>
            <w:vAlign w:val="center"/>
          </w:tcPr>
          <w:p w14:paraId="4D8762A6"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10,1</w:t>
            </w:r>
          </w:p>
        </w:tc>
        <w:tc>
          <w:tcPr>
            <w:tcW w:w="556" w:type="pct"/>
            <w:vAlign w:val="center"/>
          </w:tcPr>
          <w:p w14:paraId="5DE05E0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4,3</w:t>
            </w:r>
          </w:p>
        </w:tc>
        <w:tc>
          <w:tcPr>
            <w:tcW w:w="556" w:type="pct"/>
            <w:vAlign w:val="center"/>
          </w:tcPr>
          <w:p w14:paraId="0384500C"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2,5</w:t>
            </w:r>
          </w:p>
        </w:tc>
        <w:tc>
          <w:tcPr>
            <w:tcW w:w="556" w:type="pct"/>
            <w:vAlign w:val="center"/>
          </w:tcPr>
          <w:p w14:paraId="05FF887F"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3,7</w:t>
            </w:r>
          </w:p>
        </w:tc>
        <w:tc>
          <w:tcPr>
            <w:tcW w:w="556" w:type="pct"/>
            <w:vAlign w:val="center"/>
          </w:tcPr>
          <w:p w14:paraId="37242317"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3,7</w:t>
            </w:r>
          </w:p>
        </w:tc>
      </w:tr>
      <w:tr w:rsidR="00C02C3D" w:rsidRPr="00F27A03" w14:paraId="531EB7CB" w14:textId="77777777" w:rsidTr="0065412F">
        <w:trPr>
          <w:trHeight w:val="190"/>
        </w:trPr>
        <w:tc>
          <w:tcPr>
            <w:tcW w:w="2220" w:type="pct"/>
            <w:shd w:val="clear" w:color="auto" w:fill="E7E6E6" w:themeFill="background2"/>
          </w:tcPr>
          <w:p w14:paraId="6EB586E8" w14:textId="77777777" w:rsidR="00C02C3D" w:rsidRPr="00F27A03" w:rsidRDefault="00C02C3D" w:rsidP="00CE729E">
            <w:pPr>
              <w:rPr>
                <w:rFonts w:cstheme="minorHAnsi"/>
                <w:color w:val="002060"/>
                <w:sz w:val="18"/>
                <w:lang w:val="sr-Cyrl-CS"/>
              </w:rPr>
            </w:pPr>
            <w:r w:rsidRPr="00F27A03">
              <w:rPr>
                <w:rFonts w:cstheme="minorHAnsi"/>
                <w:color w:val="002060"/>
                <w:sz w:val="18"/>
                <w:lang w:val="sr-Cyrl-CS"/>
              </w:rPr>
              <w:t>Стопа незапослености, %</w:t>
            </w:r>
          </w:p>
        </w:tc>
        <w:tc>
          <w:tcPr>
            <w:tcW w:w="556" w:type="pct"/>
            <w:shd w:val="clear" w:color="auto" w:fill="E7E6E6" w:themeFill="background2"/>
          </w:tcPr>
          <w:p w14:paraId="45056440" w14:textId="77777777" w:rsidR="00C02C3D" w:rsidRPr="00F27A03" w:rsidRDefault="00C02C3D" w:rsidP="00CE729E">
            <w:pPr>
              <w:rPr>
                <w:rFonts w:cstheme="minorHAnsi"/>
                <w:color w:val="002060"/>
                <w:sz w:val="18"/>
                <w:szCs w:val="18"/>
                <w:lang w:val="sr-Cyrl-CS"/>
              </w:rPr>
            </w:pPr>
          </w:p>
        </w:tc>
        <w:tc>
          <w:tcPr>
            <w:tcW w:w="556" w:type="pct"/>
            <w:shd w:val="clear" w:color="auto" w:fill="E7E6E6" w:themeFill="background2"/>
          </w:tcPr>
          <w:p w14:paraId="7AE3B7C0" w14:textId="77777777" w:rsidR="00C02C3D" w:rsidRPr="00F27A03" w:rsidRDefault="00C02C3D" w:rsidP="00CE729E">
            <w:pPr>
              <w:rPr>
                <w:rFonts w:cstheme="minorHAnsi"/>
                <w:color w:val="002060"/>
                <w:sz w:val="18"/>
                <w:szCs w:val="18"/>
                <w:lang w:val="sr-Cyrl-CS"/>
              </w:rPr>
            </w:pPr>
          </w:p>
        </w:tc>
        <w:tc>
          <w:tcPr>
            <w:tcW w:w="556" w:type="pct"/>
            <w:shd w:val="clear" w:color="auto" w:fill="E7E6E6" w:themeFill="background2"/>
          </w:tcPr>
          <w:p w14:paraId="0D0D2C0D" w14:textId="77777777" w:rsidR="00C02C3D" w:rsidRPr="00F27A03" w:rsidRDefault="00C02C3D" w:rsidP="00CE729E">
            <w:pPr>
              <w:rPr>
                <w:rFonts w:cstheme="minorHAnsi"/>
                <w:color w:val="002060"/>
                <w:sz w:val="18"/>
                <w:szCs w:val="18"/>
                <w:lang w:val="sr-Cyrl-CS"/>
              </w:rPr>
            </w:pPr>
          </w:p>
        </w:tc>
        <w:tc>
          <w:tcPr>
            <w:tcW w:w="556" w:type="pct"/>
            <w:shd w:val="clear" w:color="auto" w:fill="E7E6E6" w:themeFill="background2"/>
          </w:tcPr>
          <w:p w14:paraId="4D5FA665" w14:textId="77777777" w:rsidR="00C02C3D" w:rsidRPr="00F27A03" w:rsidRDefault="00C02C3D" w:rsidP="00CE729E">
            <w:pPr>
              <w:rPr>
                <w:rFonts w:cstheme="minorHAnsi"/>
                <w:color w:val="002060"/>
                <w:sz w:val="18"/>
                <w:szCs w:val="18"/>
                <w:lang w:val="sr-Cyrl-CS"/>
              </w:rPr>
            </w:pPr>
          </w:p>
        </w:tc>
        <w:tc>
          <w:tcPr>
            <w:tcW w:w="556" w:type="pct"/>
            <w:shd w:val="clear" w:color="auto" w:fill="E7E6E6" w:themeFill="background2"/>
          </w:tcPr>
          <w:p w14:paraId="697F48F4" w14:textId="77777777" w:rsidR="00C02C3D" w:rsidRPr="00F27A03" w:rsidRDefault="00C02C3D" w:rsidP="00CE729E">
            <w:pPr>
              <w:rPr>
                <w:rFonts w:cstheme="minorHAnsi"/>
                <w:color w:val="002060"/>
                <w:sz w:val="18"/>
                <w:szCs w:val="18"/>
                <w:lang w:val="sr-Cyrl-CS"/>
              </w:rPr>
            </w:pPr>
          </w:p>
        </w:tc>
      </w:tr>
      <w:tr w:rsidR="00C02C3D" w:rsidRPr="00F27A03" w14:paraId="0FA48A34" w14:textId="77777777" w:rsidTr="0065412F">
        <w:trPr>
          <w:trHeight w:val="190"/>
        </w:trPr>
        <w:tc>
          <w:tcPr>
            <w:tcW w:w="2220" w:type="pct"/>
          </w:tcPr>
          <w:p w14:paraId="5C7DC9F3" w14:textId="77777777" w:rsidR="00C02C3D" w:rsidRPr="00F27A03" w:rsidRDefault="00C02C3D" w:rsidP="0065412F">
            <w:pPr>
              <w:ind w:left="440" w:hanging="180"/>
              <w:rPr>
                <w:rFonts w:cstheme="minorHAnsi"/>
                <w:color w:val="002060"/>
                <w:sz w:val="18"/>
                <w:lang w:val="sr-Cyrl-CS"/>
              </w:rPr>
            </w:pPr>
            <w:r w:rsidRPr="00F27A03">
              <w:rPr>
                <w:rFonts w:cstheme="minorHAnsi"/>
                <w:color w:val="002060"/>
                <w:sz w:val="18"/>
                <w:lang w:val="sr-Cyrl-CS"/>
              </w:rPr>
              <w:t>Еврозона</w:t>
            </w:r>
          </w:p>
        </w:tc>
        <w:tc>
          <w:tcPr>
            <w:tcW w:w="556" w:type="pct"/>
            <w:vAlign w:val="center"/>
          </w:tcPr>
          <w:p w14:paraId="60B95BFF"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7,7</w:t>
            </w:r>
          </w:p>
        </w:tc>
        <w:tc>
          <w:tcPr>
            <w:tcW w:w="556" w:type="pct"/>
            <w:vAlign w:val="center"/>
          </w:tcPr>
          <w:p w14:paraId="420B34FB"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6,8</w:t>
            </w:r>
          </w:p>
        </w:tc>
        <w:tc>
          <w:tcPr>
            <w:tcW w:w="556" w:type="pct"/>
            <w:vAlign w:val="center"/>
          </w:tcPr>
          <w:p w14:paraId="42FC57E0"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7,0</w:t>
            </w:r>
          </w:p>
        </w:tc>
        <w:tc>
          <w:tcPr>
            <w:tcW w:w="556" w:type="pct"/>
            <w:vAlign w:val="center"/>
          </w:tcPr>
          <w:p w14:paraId="65C40C4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6,9</w:t>
            </w:r>
          </w:p>
        </w:tc>
        <w:tc>
          <w:tcPr>
            <w:tcW w:w="556" w:type="pct"/>
            <w:vAlign w:val="center"/>
          </w:tcPr>
          <w:p w14:paraId="2D18132E"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6,8</w:t>
            </w:r>
          </w:p>
        </w:tc>
      </w:tr>
      <w:tr w:rsidR="00C02C3D" w:rsidRPr="00F27A03" w14:paraId="47AEB80A" w14:textId="77777777" w:rsidTr="0065412F">
        <w:trPr>
          <w:trHeight w:val="180"/>
        </w:trPr>
        <w:tc>
          <w:tcPr>
            <w:tcW w:w="2220" w:type="pct"/>
          </w:tcPr>
          <w:p w14:paraId="3656B319" w14:textId="77777777" w:rsidR="00C02C3D" w:rsidRPr="00F27A03" w:rsidRDefault="00C02C3D" w:rsidP="0065412F">
            <w:pPr>
              <w:ind w:left="440" w:hanging="180"/>
              <w:rPr>
                <w:rFonts w:cstheme="minorHAnsi"/>
                <w:color w:val="002060"/>
                <w:sz w:val="18"/>
                <w:lang w:val="sr-Cyrl-CS"/>
              </w:rPr>
            </w:pPr>
            <w:r w:rsidRPr="00F27A03">
              <w:rPr>
                <w:rFonts w:cstheme="minorHAnsi"/>
                <w:color w:val="002060"/>
                <w:sz w:val="18"/>
                <w:lang w:val="sr-Cyrl-CS"/>
              </w:rPr>
              <w:t>САД</w:t>
            </w:r>
          </w:p>
        </w:tc>
        <w:tc>
          <w:tcPr>
            <w:tcW w:w="556" w:type="pct"/>
            <w:vAlign w:val="center"/>
          </w:tcPr>
          <w:p w14:paraId="3721A77D"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5,4</w:t>
            </w:r>
          </w:p>
        </w:tc>
        <w:tc>
          <w:tcPr>
            <w:tcW w:w="556" w:type="pct"/>
            <w:vAlign w:val="center"/>
          </w:tcPr>
          <w:p w14:paraId="21234559"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3,7</w:t>
            </w:r>
          </w:p>
        </w:tc>
        <w:tc>
          <w:tcPr>
            <w:tcW w:w="556" w:type="pct"/>
            <w:vAlign w:val="center"/>
          </w:tcPr>
          <w:p w14:paraId="61282020"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4,6</w:t>
            </w:r>
          </w:p>
        </w:tc>
        <w:tc>
          <w:tcPr>
            <w:tcW w:w="556" w:type="pct"/>
            <w:vAlign w:val="center"/>
          </w:tcPr>
          <w:p w14:paraId="5B655FB0"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5,4</w:t>
            </w:r>
          </w:p>
        </w:tc>
        <w:tc>
          <w:tcPr>
            <w:tcW w:w="556" w:type="pct"/>
            <w:vAlign w:val="center"/>
          </w:tcPr>
          <w:p w14:paraId="5B14CAA3"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5,4</w:t>
            </w:r>
          </w:p>
        </w:tc>
      </w:tr>
      <w:tr w:rsidR="00C02C3D" w:rsidRPr="00F27A03" w14:paraId="0AAE762E" w14:textId="77777777" w:rsidTr="0065412F">
        <w:trPr>
          <w:trHeight w:val="190"/>
        </w:trPr>
        <w:tc>
          <w:tcPr>
            <w:tcW w:w="2220" w:type="pct"/>
            <w:shd w:val="clear" w:color="auto" w:fill="E7E6E6" w:themeFill="background2"/>
          </w:tcPr>
          <w:p w14:paraId="14D735E5" w14:textId="77777777" w:rsidR="00C02C3D" w:rsidRPr="00F27A03" w:rsidRDefault="00C02C3D" w:rsidP="00CE729E">
            <w:pPr>
              <w:rPr>
                <w:rFonts w:cstheme="minorHAnsi"/>
                <w:color w:val="002060"/>
                <w:sz w:val="18"/>
                <w:lang w:val="sr-Cyrl-CS"/>
              </w:rPr>
            </w:pPr>
            <w:r w:rsidRPr="00F27A03">
              <w:rPr>
                <w:rFonts w:cstheme="minorHAnsi"/>
                <w:color w:val="002060"/>
                <w:sz w:val="18"/>
                <w:lang w:val="sr-Cyrl-CS"/>
              </w:rPr>
              <w:t>Потрошачке цене, просек периода, %</w:t>
            </w:r>
          </w:p>
        </w:tc>
        <w:tc>
          <w:tcPr>
            <w:tcW w:w="556" w:type="pct"/>
            <w:shd w:val="clear" w:color="auto" w:fill="E7E6E6" w:themeFill="background2"/>
          </w:tcPr>
          <w:p w14:paraId="1F3B5900" w14:textId="77777777" w:rsidR="00C02C3D" w:rsidRPr="00F27A03" w:rsidRDefault="00C02C3D" w:rsidP="00CE729E">
            <w:pPr>
              <w:rPr>
                <w:rFonts w:cstheme="minorHAnsi"/>
                <w:color w:val="002060"/>
                <w:sz w:val="18"/>
                <w:szCs w:val="18"/>
                <w:lang w:val="sr-Cyrl-CS"/>
              </w:rPr>
            </w:pPr>
          </w:p>
        </w:tc>
        <w:tc>
          <w:tcPr>
            <w:tcW w:w="556" w:type="pct"/>
            <w:shd w:val="clear" w:color="auto" w:fill="E7E6E6" w:themeFill="background2"/>
          </w:tcPr>
          <w:p w14:paraId="42D2216D" w14:textId="77777777" w:rsidR="00C02C3D" w:rsidRPr="00F27A03" w:rsidRDefault="00C02C3D" w:rsidP="00CE729E">
            <w:pPr>
              <w:rPr>
                <w:rFonts w:cstheme="minorHAnsi"/>
                <w:color w:val="002060"/>
                <w:sz w:val="18"/>
                <w:szCs w:val="18"/>
                <w:lang w:val="sr-Cyrl-CS"/>
              </w:rPr>
            </w:pPr>
          </w:p>
        </w:tc>
        <w:tc>
          <w:tcPr>
            <w:tcW w:w="556" w:type="pct"/>
            <w:shd w:val="clear" w:color="auto" w:fill="E7E6E6" w:themeFill="background2"/>
          </w:tcPr>
          <w:p w14:paraId="125936EE" w14:textId="77777777" w:rsidR="00C02C3D" w:rsidRPr="00F27A03" w:rsidRDefault="00C02C3D" w:rsidP="00CE729E">
            <w:pPr>
              <w:rPr>
                <w:rFonts w:cstheme="minorHAnsi"/>
                <w:color w:val="002060"/>
                <w:sz w:val="18"/>
                <w:szCs w:val="18"/>
                <w:lang w:val="sr-Cyrl-CS"/>
              </w:rPr>
            </w:pPr>
          </w:p>
        </w:tc>
        <w:tc>
          <w:tcPr>
            <w:tcW w:w="556" w:type="pct"/>
            <w:shd w:val="clear" w:color="auto" w:fill="E7E6E6" w:themeFill="background2"/>
          </w:tcPr>
          <w:p w14:paraId="039D0442" w14:textId="77777777" w:rsidR="00C02C3D" w:rsidRPr="00F27A03" w:rsidRDefault="00C02C3D" w:rsidP="00CE729E">
            <w:pPr>
              <w:rPr>
                <w:rFonts w:cstheme="minorHAnsi"/>
                <w:color w:val="002060"/>
                <w:sz w:val="18"/>
                <w:szCs w:val="18"/>
                <w:lang w:val="sr-Cyrl-CS"/>
              </w:rPr>
            </w:pPr>
          </w:p>
        </w:tc>
        <w:tc>
          <w:tcPr>
            <w:tcW w:w="556" w:type="pct"/>
            <w:shd w:val="clear" w:color="auto" w:fill="E7E6E6" w:themeFill="background2"/>
          </w:tcPr>
          <w:p w14:paraId="39B90981" w14:textId="77777777" w:rsidR="00C02C3D" w:rsidRPr="00F27A03" w:rsidRDefault="00C02C3D" w:rsidP="00CE729E">
            <w:pPr>
              <w:rPr>
                <w:rFonts w:cstheme="minorHAnsi"/>
                <w:color w:val="002060"/>
                <w:sz w:val="18"/>
                <w:szCs w:val="18"/>
                <w:lang w:val="sr-Cyrl-CS"/>
              </w:rPr>
            </w:pPr>
          </w:p>
        </w:tc>
      </w:tr>
      <w:tr w:rsidR="00C02C3D" w:rsidRPr="00F27A03" w14:paraId="6AF981A2" w14:textId="77777777" w:rsidTr="0065412F">
        <w:trPr>
          <w:trHeight w:val="180"/>
        </w:trPr>
        <w:tc>
          <w:tcPr>
            <w:tcW w:w="2220" w:type="pct"/>
          </w:tcPr>
          <w:p w14:paraId="61F86DCB" w14:textId="77777777" w:rsidR="00C02C3D" w:rsidRPr="00F27A03" w:rsidRDefault="00C02C3D" w:rsidP="0065412F">
            <w:pPr>
              <w:ind w:left="350" w:hanging="90"/>
              <w:rPr>
                <w:rFonts w:cstheme="minorHAnsi"/>
                <w:color w:val="002060"/>
                <w:sz w:val="18"/>
                <w:lang w:val="sr-Cyrl-CS"/>
              </w:rPr>
            </w:pPr>
            <w:r w:rsidRPr="00F27A03">
              <w:rPr>
                <w:rFonts w:cstheme="minorHAnsi"/>
                <w:color w:val="002060"/>
                <w:sz w:val="18"/>
                <w:lang w:val="sr-Cyrl-CS"/>
              </w:rPr>
              <w:t>Еврозона</w:t>
            </w:r>
          </w:p>
        </w:tc>
        <w:tc>
          <w:tcPr>
            <w:tcW w:w="556" w:type="pct"/>
            <w:vAlign w:val="center"/>
          </w:tcPr>
          <w:p w14:paraId="1298EF99"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2,6</w:t>
            </w:r>
          </w:p>
        </w:tc>
        <w:tc>
          <w:tcPr>
            <w:tcW w:w="556" w:type="pct"/>
            <w:vAlign w:val="center"/>
          </w:tcPr>
          <w:p w14:paraId="102C74CF"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8,3</w:t>
            </w:r>
          </w:p>
        </w:tc>
        <w:tc>
          <w:tcPr>
            <w:tcW w:w="556" w:type="pct"/>
            <w:vAlign w:val="center"/>
          </w:tcPr>
          <w:p w14:paraId="1489F3D5"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5,7</w:t>
            </w:r>
          </w:p>
        </w:tc>
        <w:tc>
          <w:tcPr>
            <w:tcW w:w="556" w:type="pct"/>
            <w:vAlign w:val="center"/>
          </w:tcPr>
          <w:p w14:paraId="0B5BE290"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2,7</w:t>
            </w:r>
          </w:p>
        </w:tc>
        <w:tc>
          <w:tcPr>
            <w:tcW w:w="556" w:type="pct"/>
            <w:vAlign w:val="center"/>
          </w:tcPr>
          <w:p w14:paraId="5F0F59EB"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2,2</w:t>
            </w:r>
          </w:p>
        </w:tc>
      </w:tr>
      <w:tr w:rsidR="00C02C3D" w:rsidRPr="00F27A03" w14:paraId="2441B2EB" w14:textId="77777777" w:rsidTr="0065412F">
        <w:trPr>
          <w:trHeight w:val="190"/>
        </w:trPr>
        <w:tc>
          <w:tcPr>
            <w:tcW w:w="2220" w:type="pct"/>
          </w:tcPr>
          <w:p w14:paraId="00EF07F6" w14:textId="77777777" w:rsidR="00C02C3D" w:rsidRPr="00F27A03" w:rsidRDefault="00C02C3D" w:rsidP="0065412F">
            <w:pPr>
              <w:ind w:left="350" w:hanging="90"/>
              <w:rPr>
                <w:rFonts w:cstheme="minorHAnsi"/>
                <w:color w:val="002060"/>
                <w:sz w:val="18"/>
                <w:lang w:val="sr-Cyrl-CS"/>
              </w:rPr>
            </w:pPr>
            <w:r w:rsidRPr="00F27A03">
              <w:rPr>
                <w:rFonts w:cstheme="minorHAnsi"/>
                <w:color w:val="002060"/>
                <w:sz w:val="18"/>
                <w:lang w:val="sr-Cyrl-CS"/>
              </w:rPr>
              <w:t>Развијене економије</w:t>
            </w:r>
          </w:p>
        </w:tc>
        <w:tc>
          <w:tcPr>
            <w:tcW w:w="556" w:type="pct"/>
            <w:vAlign w:val="center"/>
          </w:tcPr>
          <w:p w14:paraId="6D110F41"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3,1</w:t>
            </w:r>
          </w:p>
        </w:tc>
        <w:tc>
          <w:tcPr>
            <w:tcW w:w="556" w:type="pct"/>
            <w:vAlign w:val="center"/>
          </w:tcPr>
          <w:p w14:paraId="428314DE"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7,2</w:t>
            </w:r>
          </w:p>
        </w:tc>
        <w:tc>
          <w:tcPr>
            <w:tcW w:w="556" w:type="pct"/>
            <w:vAlign w:val="center"/>
          </w:tcPr>
          <w:p w14:paraId="39C46F60"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4,4</w:t>
            </w:r>
          </w:p>
        </w:tc>
        <w:tc>
          <w:tcPr>
            <w:tcW w:w="556" w:type="pct"/>
            <w:vAlign w:val="center"/>
          </w:tcPr>
          <w:p w14:paraId="3FF190D7"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2,4</w:t>
            </w:r>
          </w:p>
        </w:tc>
        <w:tc>
          <w:tcPr>
            <w:tcW w:w="556" w:type="pct"/>
            <w:vAlign w:val="center"/>
          </w:tcPr>
          <w:p w14:paraId="314E4F37"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2,0</w:t>
            </w:r>
          </w:p>
        </w:tc>
      </w:tr>
      <w:tr w:rsidR="00C02C3D" w:rsidRPr="00F27A03" w14:paraId="2364242A" w14:textId="77777777" w:rsidTr="0065412F">
        <w:trPr>
          <w:trHeight w:val="70"/>
        </w:trPr>
        <w:tc>
          <w:tcPr>
            <w:tcW w:w="2220" w:type="pct"/>
          </w:tcPr>
          <w:p w14:paraId="0779B538" w14:textId="77777777" w:rsidR="00C02C3D" w:rsidRPr="00F27A03" w:rsidRDefault="00C02C3D" w:rsidP="0065412F">
            <w:pPr>
              <w:ind w:left="350" w:hanging="90"/>
              <w:rPr>
                <w:rFonts w:cstheme="minorHAnsi"/>
                <w:color w:val="002060"/>
                <w:sz w:val="18"/>
                <w:lang w:val="sr-Cyrl-CS"/>
              </w:rPr>
            </w:pPr>
            <w:r w:rsidRPr="00F27A03">
              <w:rPr>
                <w:rFonts w:cstheme="minorHAnsi"/>
                <w:color w:val="002060"/>
                <w:sz w:val="18"/>
                <w:lang w:val="sr-Cyrl-CS"/>
              </w:rPr>
              <w:t>Земље у успону</w:t>
            </w:r>
          </w:p>
        </w:tc>
        <w:tc>
          <w:tcPr>
            <w:tcW w:w="556" w:type="pct"/>
            <w:vAlign w:val="center"/>
          </w:tcPr>
          <w:p w14:paraId="6329E2A2"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5,9</w:t>
            </w:r>
          </w:p>
        </w:tc>
        <w:tc>
          <w:tcPr>
            <w:tcW w:w="556" w:type="pct"/>
            <w:vAlign w:val="center"/>
          </w:tcPr>
          <w:p w14:paraId="58E85105"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9,9</w:t>
            </w:r>
          </w:p>
        </w:tc>
        <w:tc>
          <w:tcPr>
            <w:tcW w:w="556" w:type="pct"/>
            <w:vAlign w:val="center"/>
          </w:tcPr>
          <w:p w14:paraId="6379036F"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8,1</w:t>
            </w:r>
          </w:p>
        </w:tc>
        <w:tc>
          <w:tcPr>
            <w:tcW w:w="556" w:type="pct"/>
            <w:vAlign w:val="center"/>
          </w:tcPr>
          <w:p w14:paraId="34859244"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5,3</w:t>
            </w:r>
          </w:p>
        </w:tc>
        <w:tc>
          <w:tcPr>
            <w:tcW w:w="556" w:type="pct"/>
            <w:vAlign w:val="center"/>
          </w:tcPr>
          <w:p w14:paraId="0349057C"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4,6</w:t>
            </w:r>
          </w:p>
        </w:tc>
      </w:tr>
      <w:tr w:rsidR="00C02C3D" w:rsidRPr="00F27A03" w14:paraId="535AC6C1" w14:textId="77777777" w:rsidTr="0065412F">
        <w:trPr>
          <w:trHeight w:val="20"/>
        </w:trPr>
        <w:tc>
          <w:tcPr>
            <w:tcW w:w="2220" w:type="pct"/>
          </w:tcPr>
          <w:p w14:paraId="53CC28FD" w14:textId="77777777" w:rsidR="00C02C3D" w:rsidRPr="00F27A03" w:rsidRDefault="00C02C3D" w:rsidP="0065412F">
            <w:pPr>
              <w:rPr>
                <w:rFonts w:cstheme="minorHAnsi"/>
                <w:color w:val="002060"/>
                <w:sz w:val="18"/>
                <w:lang w:val="sr-Cyrl-CS"/>
              </w:rPr>
            </w:pPr>
          </w:p>
        </w:tc>
        <w:tc>
          <w:tcPr>
            <w:tcW w:w="556" w:type="pct"/>
            <w:vAlign w:val="center"/>
          </w:tcPr>
          <w:p w14:paraId="5A4D5890" w14:textId="77777777" w:rsidR="00C02C3D" w:rsidRPr="00F27A03" w:rsidRDefault="00C02C3D" w:rsidP="0065412F">
            <w:pPr>
              <w:rPr>
                <w:rFonts w:cstheme="minorHAnsi"/>
                <w:color w:val="002060"/>
                <w:sz w:val="18"/>
                <w:szCs w:val="18"/>
                <w:lang w:val="sr-Cyrl-CS"/>
              </w:rPr>
            </w:pPr>
          </w:p>
        </w:tc>
        <w:tc>
          <w:tcPr>
            <w:tcW w:w="556" w:type="pct"/>
            <w:vAlign w:val="center"/>
          </w:tcPr>
          <w:p w14:paraId="644B604E" w14:textId="77777777" w:rsidR="00C02C3D" w:rsidRPr="00F27A03" w:rsidRDefault="00C02C3D" w:rsidP="0065412F">
            <w:pPr>
              <w:rPr>
                <w:rFonts w:cstheme="minorHAnsi"/>
                <w:color w:val="002060"/>
                <w:sz w:val="18"/>
                <w:szCs w:val="18"/>
                <w:lang w:val="sr-Cyrl-CS"/>
              </w:rPr>
            </w:pPr>
          </w:p>
        </w:tc>
        <w:tc>
          <w:tcPr>
            <w:tcW w:w="556" w:type="pct"/>
            <w:vAlign w:val="center"/>
          </w:tcPr>
          <w:p w14:paraId="3ABA81EE" w14:textId="77777777" w:rsidR="00C02C3D" w:rsidRPr="00F27A03" w:rsidRDefault="00C02C3D" w:rsidP="0065412F">
            <w:pPr>
              <w:rPr>
                <w:rFonts w:cstheme="minorHAnsi"/>
                <w:color w:val="002060"/>
                <w:sz w:val="18"/>
                <w:szCs w:val="18"/>
                <w:lang w:val="sr-Cyrl-CS"/>
              </w:rPr>
            </w:pPr>
          </w:p>
        </w:tc>
        <w:tc>
          <w:tcPr>
            <w:tcW w:w="556" w:type="pct"/>
            <w:vAlign w:val="center"/>
          </w:tcPr>
          <w:p w14:paraId="20174907" w14:textId="77777777" w:rsidR="00C02C3D" w:rsidRPr="00F27A03" w:rsidRDefault="00C02C3D" w:rsidP="0065412F">
            <w:pPr>
              <w:rPr>
                <w:rFonts w:cstheme="minorHAnsi"/>
                <w:color w:val="002060"/>
                <w:sz w:val="18"/>
                <w:szCs w:val="18"/>
                <w:lang w:val="sr-Cyrl-CS"/>
              </w:rPr>
            </w:pPr>
          </w:p>
        </w:tc>
        <w:tc>
          <w:tcPr>
            <w:tcW w:w="556" w:type="pct"/>
            <w:vAlign w:val="center"/>
          </w:tcPr>
          <w:p w14:paraId="3859428C" w14:textId="77777777" w:rsidR="00C02C3D" w:rsidRPr="00F27A03" w:rsidRDefault="00C02C3D" w:rsidP="0065412F">
            <w:pPr>
              <w:rPr>
                <w:rFonts w:cstheme="minorHAnsi"/>
                <w:color w:val="002060"/>
                <w:sz w:val="18"/>
                <w:szCs w:val="18"/>
                <w:lang w:val="sr-Cyrl-CS"/>
              </w:rPr>
            </w:pPr>
          </w:p>
        </w:tc>
      </w:tr>
      <w:tr w:rsidR="00C02C3D" w:rsidRPr="00F27A03" w14:paraId="262EC53E" w14:textId="77777777" w:rsidTr="0065412F">
        <w:trPr>
          <w:trHeight w:val="70"/>
        </w:trPr>
        <w:tc>
          <w:tcPr>
            <w:tcW w:w="2220" w:type="pct"/>
          </w:tcPr>
          <w:p w14:paraId="5C87C868" w14:textId="77777777" w:rsidR="00C02C3D" w:rsidRPr="00F27A03" w:rsidRDefault="00C02C3D" w:rsidP="0065412F">
            <w:pPr>
              <w:rPr>
                <w:rFonts w:cstheme="minorHAnsi"/>
                <w:color w:val="002060"/>
                <w:sz w:val="18"/>
                <w:lang w:val="sr-Cyrl-CS"/>
              </w:rPr>
            </w:pPr>
            <w:r w:rsidRPr="00F27A03">
              <w:rPr>
                <w:rFonts w:cstheme="minorHAnsi"/>
                <w:color w:val="002060"/>
                <w:sz w:val="18"/>
                <w:lang w:val="sr-Cyrl-CS"/>
              </w:rPr>
              <w:t>Девизни курс, евро/долар, крај периода</w:t>
            </w:r>
          </w:p>
        </w:tc>
        <w:tc>
          <w:tcPr>
            <w:tcW w:w="556" w:type="pct"/>
            <w:vAlign w:val="center"/>
          </w:tcPr>
          <w:p w14:paraId="60202601"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1,2</w:t>
            </w:r>
          </w:p>
        </w:tc>
        <w:tc>
          <w:tcPr>
            <w:tcW w:w="556" w:type="pct"/>
            <w:vAlign w:val="center"/>
          </w:tcPr>
          <w:p w14:paraId="4C5EE79A"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1,1</w:t>
            </w:r>
          </w:p>
        </w:tc>
        <w:tc>
          <w:tcPr>
            <w:tcW w:w="556" w:type="pct"/>
            <w:vAlign w:val="center"/>
          </w:tcPr>
          <w:p w14:paraId="6FE7E6B8"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1,0</w:t>
            </w:r>
          </w:p>
        </w:tc>
        <w:tc>
          <w:tcPr>
            <w:tcW w:w="556" w:type="pct"/>
            <w:vAlign w:val="center"/>
          </w:tcPr>
          <w:p w14:paraId="2E8B10A3"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w:t>
            </w:r>
          </w:p>
        </w:tc>
        <w:tc>
          <w:tcPr>
            <w:tcW w:w="556" w:type="pct"/>
            <w:vAlign w:val="center"/>
          </w:tcPr>
          <w:p w14:paraId="280A175B" w14:textId="77777777" w:rsidR="00C02C3D" w:rsidRPr="00F27A03" w:rsidRDefault="00C02C3D" w:rsidP="0065412F">
            <w:pPr>
              <w:jc w:val="center"/>
              <w:rPr>
                <w:rFonts w:cstheme="minorHAnsi"/>
                <w:color w:val="002060"/>
                <w:sz w:val="18"/>
                <w:szCs w:val="18"/>
                <w:lang w:val="sr-Cyrl-CS"/>
              </w:rPr>
            </w:pPr>
            <w:r w:rsidRPr="00F27A03">
              <w:rPr>
                <w:rFonts w:eastAsia="Times New Roman" w:cstheme="minorHAnsi"/>
                <w:color w:val="002060"/>
                <w:sz w:val="18"/>
                <w:szCs w:val="18"/>
                <w:lang w:val="sr-Cyrl-CS" w:eastAsia="en-GB"/>
              </w:rPr>
              <w:t>-</w:t>
            </w:r>
          </w:p>
        </w:tc>
      </w:tr>
      <w:tr w:rsidR="00C02C3D" w:rsidRPr="00F27A03" w14:paraId="3728AB6C" w14:textId="77777777" w:rsidTr="0065412F">
        <w:trPr>
          <w:trHeight w:val="135"/>
        </w:trPr>
        <w:tc>
          <w:tcPr>
            <w:tcW w:w="2220" w:type="pct"/>
          </w:tcPr>
          <w:p w14:paraId="6B51A46D" w14:textId="77777777" w:rsidR="00C02C3D" w:rsidRPr="00F27A03" w:rsidRDefault="00C02C3D" w:rsidP="0065412F">
            <w:pPr>
              <w:rPr>
                <w:rFonts w:cstheme="minorHAnsi"/>
                <w:color w:val="002060"/>
                <w:sz w:val="18"/>
                <w:lang w:val="sr-Cyrl-CS"/>
              </w:rPr>
            </w:pPr>
            <w:r w:rsidRPr="00F27A03">
              <w:rPr>
                <w:rFonts w:cstheme="minorHAnsi"/>
                <w:color w:val="002060"/>
                <w:sz w:val="18"/>
                <w:lang w:val="sr-Cyrl-CS"/>
              </w:rPr>
              <w:t>Цене житарица, у доларима, годишње промене</w:t>
            </w:r>
            <w:r w:rsidRPr="00F27A03">
              <w:rPr>
                <w:rFonts w:cstheme="minorHAnsi"/>
                <w:color w:val="002060"/>
                <w:sz w:val="18"/>
                <w:vertAlign w:val="superscript"/>
                <w:lang w:val="sr-Cyrl-CS"/>
              </w:rPr>
              <w:t>2</w:t>
            </w:r>
          </w:p>
        </w:tc>
        <w:tc>
          <w:tcPr>
            <w:tcW w:w="556" w:type="pct"/>
            <w:vAlign w:val="center"/>
          </w:tcPr>
          <w:p w14:paraId="361DDFB0"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40,7</w:t>
            </w:r>
          </w:p>
        </w:tc>
        <w:tc>
          <w:tcPr>
            <w:tcW w:w="556" w:type="pct"/>
            <w:vAlign w:val="center"/>
          </w:tcPr>
          <w:p w14:paraId="331B209B"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22,8</w:t>
            </w:r>
          </w:p>
        </w:tc>
        <w:tc>
          <w:tcPr>
            <w:tcW w:w="556" w:type="pct"/>
            <w:vAlign w:val="center"/>
          </w:tcPr>
          <w:p w14:paraId="32BEA098"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-6,4</w:t>
            </w:r>
          </w:p>
        </w:tc>
        <w:tc>
          <w:tcPr>
            <w:tcW w:w="556" w:type="pct"/>
            <w:vAlign w:val="center"/>
          </w:tcPr>
          <w:p w14:paraId="5623A93B"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-2,9</w:t>
            </w:r>
          </w:p>
        </w:tc>
        <w:tc>
          <w:tcPr>
            <w:tcW w:w="556" w:type="pct"/>
            <w:vAlign w:val="center"/>
          </w:tcPr>
          <w:p w14:paraId="3120173F"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-5,4</w:t>
            </w:r>
          </w:p>
        </w:tc>
      </w:tr>
      <w:tr w:rsidR="00C02C3D" w:rsidRPr="00F27A03" w14:paraId="495ACB95" w14:textId="77777777" w:rsidTr="0065412F">
        <w:trPr>
          <w:trHeight w:val="167"/>
        </w:trPr>
        <w:tc>
          <w:tcPr>
            <w:tcW w:w="2220" w:type="pct"/>
          </w:tcPr>
          <w:p w14:paraId="2E45186A" w14:textId="77777777" w:rsidR="00C02C3D" w:rsidRPr="00F27A03" w:rsidRDefault="00C02C3D" w:rsidP="0065412F">
            <w:pPr>
              <w:rPr>
                <w:rFonts w:cstheme="minorHAnsi"/>
                <w:color w:val="002060"/>
                <w:sz w:val="18"/>
                <w:lang w:val="sr-Cyrl-CS"/>
              </w:rPr>
            </w:pPr>
            <w:r w:rsidRPr="00F27A03">
              <w:rPr>
                <w:rFonts w:cstheme="minorHAnsi"/>
                <w:color w:val="002060"/>
                <w:sz w:val="18"/>
                <w:lang w:val="sr-Cyrl-CS"/>
              </w:rPr>
              <w:t>Цене метала, у доларима, годишње промене</w:t>
            </w:r>
            <w:r w:rsidRPr="00F27A03">
              <w:rPr>
                <w:rFonts w:cstheme="minorHAnsi"/>
                <w:color w:val="002060"/>
                <w:sz w:val="18"/>
                <w:vertAlign w:val="superscript"/>
                <w:lang w:val="sr-Cyrl-CS"/>
              </w:rPr>
              <w:t>3</w:t>
            </w:r>
          </w:p>
        </w:tc>
        <w:tc>
          <w:tcPr>
            <w:tcW w:w="556" w:type="pct"/>
            <w:vAlign w:val="center"/>
          </w:tcPr>
          <w:p w14:paraId="2BC66D9B"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46,7</w:t>
            </w:r>
          </w:p>
        </w:tc>
        <w:tc>
          <w:tcPr>
            <w:tcW w:w="556" w:type="pct"/>
            <w:vAlign w:val="center"/>
          </w:tcPr>
          <w:p w14:paraId="766797A4"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-5,5</w:t>
            </w:r>
          </w:p>
        </w:tc>
        <w:tc>
          <w:tcPr>
            <w:tcW w:w="556" w:type="pct"/>
            <w:vAlign w:val="center"/>
          </w:tcPr>
          <w:p w14:paraId="7F316197"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-12,0</w:t>
            </w:r>
          </w:p>
        </w:tc>
        <w:tc>
          <w:tcPr>
            <w:tcW w:w="556" w:type="pct"/>
            <w:vAlign w:val="center"/>
          </w:tcPr>
          <w:p w14:paraId="2479D72B"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-0,2</w:t>
            </w:r>
          </w:p>
        </w:tc>
        <w:tc>
          <w:tcPr>
            <w:tcW w:w="556" w:type="pct"/>
            <w:vAlign w:val="center"/>
          </w:tcPr>
          <w:p w14:paraId="71404317"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-0,1</w:t>
            </w:r>
          </w:p>
        </w:tc>
      </w:tr>
      <w:tr w:rsidR="00C02C3D" w:rsidRPr="00F27A03" w14:paraId="71E69484" w14:textId="77777777" w:rsidTr="0065412F">
        <w:trPr>
          <w:trHeight w:val="70"/>
        </w:trPr>
        <w:tc>
          <w:tcPr>
            <w:tcW w:w="2220" w:type="pct"/>
          </w:tcPr>
          <w:p w14:paraId="3B40E148" w14:textId="77777777" w:rsidR="00C02C3D" w:rsidRPr="00F27A03" w:rsidRDefault="00C02C3D" w:rsidP="0065412F">
            <w:pPr>
              <w:rPr>
                <w:rFonts w:cstheme="minorHAnsi"/>
                <w:color w:val="002060"/>
                <w:sz w:val="18"/>
                <w:lang w:val="sr-Cyrl-CS"/>
              </w:rPr>
            </w:pPr>
            <w:r w:rsidRPr="00F27A03">
              <w:rPr>
                <w:rFonts w:cstheme="minorHAnsi"/>
                <w:color w:val="002060"/>
                <w:sz w:val="18"/>
                <w:lang w:val="sr-Cyrl-CS"/>
              </w:rPr>
              <w:t>Цена руде гвожђа, у доларима</w:t>
            </w:r>
            <w:r w:rsidRPr="00F27A03">
              <w:rPr>
                <w:rFonts w:cstheme="minorHAnsi"/>
                <w:color w:val="002060"/>
                <w:sz w:val="18"/>
                <w:vertAlign w:val="superscript"/>
                <w:lang w:val="sr-Cyrl-CS"/>
              </w:rPr>
              <w:t>4</w:t>
            </w:r>
          </w:p>
        </w:tc>
        <w:tc>
          <w:tcPr>
            <w:tcW w:w="556" w:type="pct"/>
            <w:vAlign w:val="center"/>
          </w:tcPr>
          <w:p w14:paraId="430F4BF1"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158,2</w:t>
            </w:r>
          </w:p>
        </w:tc>
        <w:tc>
          <w:tcPr>
            <w:tcW w:w="556" w:type="pct"/>
            <w:vAlign w:val="center"/>
          </w:tcPr>
          <w:p w14:paraId="3CE12CA6"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121,0</w:t>
            </w:r>
          </w:p>
        </w:tc>
        <w:tc>
          <w:tcPr>
            <w:tcW w:w="556" w:type="pct"/>
            <w:vAlign w:val="center"/>
          </w:tcPr>
          <w:p w14:paraId="257ABCD0"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101,5</w:t>
            </w:r>
          </w:p>
        </w:tc>
        <w:tc>
          <w:tcPr>
            <w:tcW w:w="556" w:type="pct"/>
            <w:vAlign w:val="center"/>
          </w:tcPr>
          <w:p w14:paraId="70AA4F9A"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101,5</w:t>
            </w:r>
          </w:p>
        </w:tc>
        <w:tc>
          <w:tcPr>
            <w:tcW w:w="556" w:type="pct"/>
            <w:vAlign w:val="center"/>
          </w:tcPr>
          <w:p w14:paraId="50BCB131"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101,5</w:t>
            </w:r>
          </w:p>
        </w:tc>
      </w:tr>
      <w:tr w:rsidR="00C02C3D" w:rsidRPr="00F27A03" w14:paraId="05E15A1D" w14:textId="77777777" w:rsidTr="0065412F">
        <w:trPr>
          <w:trHeight w:val="173"/>
        </w:trPr>
        <w:tc>
          <w:tcPr>
            <w:tcW w:w="2220" w:type="pct"/>
            <w:tcBorders>
              <w:bottom w:val="single" w:sz="4" w:space="0" w:color="002060"/>
            </w:tcBorders>
          </w:tcPr>
          <w:p w14:paraId="35DC857D" w14:textId="77777777" w:rsidR="00C02C3D" w:rsidRPr="00F27A03" w:rsidRDefault="00C02C3D" w:rsidP="0065412F">
            <w:pPr>
              <w:rPr>
                <w:rFonts w:cstheme="minorHAnsi"/>
                <w:color w:val="002060"/>
                <w:sz w:val="18"/>
                <w:lang w:val="sr-Cyrl-CS"/>
              </w:rPr>
            </w:pPr>
            <w:r w:rsidRPr="00F27A03">
              <w:rPr>
                <w:rFonts w:cstheme="minorHAnsi"/>
                <w:color w:val="002060"/>
                <w:sz w:val="18"/>
                <w:lang w:val="sr-Cyrl-CS"/>
              </w:rPr>
              <w:t>Цене нафте, у доларима, годишње промене, %</w:t>
            </w:r>
          </w:p>
        </w:tc>
        <w:tc>
          <w:tcPr>
            <w:tcW w:w="556" w:type="pct"/>
            <w:tcBorders>
              <w:bottom w:val="single" w:sz="4" w:space="0" w:color="002060"/>
            </w:tcBorders>
            <w:vAlign w:val="center"/>
          </w:tcPr>
          <w:p w14:paraId="67F9D7DC"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65,9</w:t>
            </w:r>
          </w:p>
        </w:tc>
        <w:tc>
          <w:tcPr>
            <w:tcW w:w="556" w:type="pct"/>
            <w:tcBorders>
              <w:bottom w:val="single" w:sz="4" w:space="0" w:color="002060"/>
            </w:tcBorders>
            <w:vAlign w:val="center"/>
          </w:tcPr>
          <w:p w14:paraId="76DB0FC0"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41,4</w:t>
            </w:r>
          </w:p>
        </w:tc>
        <w:tc>
          <w:tcPr>
            <w:tcW w:w="556" w:type="pct"/>
            <w:tcBorders>
              <w:bottom w:val="single" w:sz="4" w:space="0" w:color="002060"/>
            </w:tcBorders>
            <w:vAlign w:val="center"/>
          </w:tcPr>
          <w:p w14:paraId="4CF82A1E"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-12,9</w:t>
            </w:r>
          </w:p>
        </w:tc>
        <w:tc>
          <w:tcPr>
            <w:tcW w:w="556" w:type="pct"/>
            <w:tcBorders>
              <w:bottom w:val="single" w:sz="4" w:space="0" w:color="002060"/>
            </w:tcBorders>
            <w:vAlign w:val="center"/>
          </w:tcPr>
          <w:p w14:paraId="677493FE"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-6,2</w:t>
            </w:r>
          </w:p>
        </w:tc>
        <w:tc>
          <w:tcPr>
            <w:tcW w:w="556" w:type="pct"/>
            <w:tcBorders>
              <w:bottom w:val="single" w:sz="4" w:space="0" w:color="002060"/>
            </w:tcBorders>
            <w:vAlign w:val="center"/>
          </w:tcPr>
          <w:p w14:paraId="7E5E61F8" w14:textId="77777777" w:rsidR="00C02C3D" w:rsidRPr="00F27A03" w:rsidRDefault="00C02C3D" w:rsidP="0065412F">
            <w:pPr>
              <w:jc w:val="center"/>
              <w:rPr>
                <w:rFonts w:eastAsia="Times New Roman" w:cstheme="minorHAnsi"/>
                <w:color w:val="002060"/>
                <w:sz w:val="18"/>
                <w:szCs w:val="18"/>
                <w:lang w:val="sr-Cyrl-CS" w:eastAsia="en-GB"/>
              </w:rPr>
            </w:pPr>
            <w:r w:rsidRPr="00F27A03">
              <w:rPr>
                <w:rFonts w:eastAsia="Times New Roman" w:cstheme="minorHAnsi"/>
                <w:color w:val="002060"/>
                <w:sz w:val="18"/>
                <w:szCs w:val="18"/>
                <w:lang w:val="sr-Cyrl-CS" w:eastAsia="en-GB"/>
              </w:rPr>
              <w:t>-4,9</w:t>
            </w:r>
          </w:p>
        </w:tc>
      </w:tr>
      <w:tr w:rsidR="00C02C3D" w:rsidRPr="00F27A03" w14:paraId="1A5FD6AA" w14:textId="77777777" w:rsidTr="008E6687">
        <w:trPr>
          <w:trHeight w:val="159"/>
        </w:trPr>
        <w:tc>
          <w:tcPr>
            <w:tcW w:w="5000" w:type="pct"/>
            <w:gridSpan w:val="6"/>
            <w:tcBorders>
              <w:top w:val="single" w:sz="4" w:space="0" w:color="002060"/>
            </w:tcBorders>
          </w:tcPr>
          <w:p w14:paraId="314AB71E" w14:textId="77777777" w:rsidR="00C02C3D" w:rsidRPr="00F27A03" w:rsidRDefault="00C02C3D" w:rsidP="0065412F">
            <w:pPr>
              <w:rPr>
                <w:rFonts w:cstheme="minorHAnsi"/>
                <w:bCs/>
                <w:sz w:val="16"/>
                <w:szCs w:val="72"/>
                <w:lang w:val="sr-Cyrl-CS"/>
              </w:rPr>
            </w:pPr>
            <w:r w:rsidRPr="00F27A03">
              <w:rPr>
                <w:rFonts w:cstheme="minorHAnsi"/>
                <w:bCs/>
                <w:sz w:val="16"/>
                <w:szCs w:val="72"/>
                <w:lang w:val="sr-Cyrl-CS"/>
              </w:rPr>
              <w:t xml:space="preserve">Извор: ММФ, </w:t>
            </w:r>
            <w:r w:rsidRPr="00F27A03">
              <w:rPr>
                <w:rFonts w:cstheme="minorHAnsi"/>
                <w:bCs/>
                <w:i/>
                <w:sz w:val="16"/>
                <w:szCs w:val="72"/>
                <w:lang w:val="sr-Cyrl-CS"/>
              </w:rPr>
              <w:t>World Economic Outlook</w:t>
            </w:r>
            <w:r w:rsidRPr="00F27A03">
              <w:rPr>
                <w:rFonts w:cstheme="minorHAnsi"/>
                <w:bCs/>
                <w:sz w:val="16"/>
                <w:szCs w:val="72"/>
                <w:lang w:val="sr-Cyrl-CS"/>
              </w:rPr>
              <w:t>, октобар 2022.</w:t>
            </w:r>
          </w:p>
        </w:tc>
      </w:tr>
      <w:tr w:rsidR="00C02C3D" w:rsidRPr="00F27A03" w14:paraId="169BF855" w14:textId="77777777" w:rsidTr="002A5107">
        <w:trPr>
          <w:trHeight w:val="535"/>
        </w:trPr>
        <w:tc>
          <w:tcPr>
            <w:tcW w:w="5000" w:type="pct"/>
            <w:gridSpan w:val="6"/>
          </w:tcPr>
          <w:p w14:paraId="69BAE649" w14:textId="77777777" w:rsidR="00C02C3D" w:rsidRPr="00F27A03" w:rsidRDefault="00C02C3D" w:rsidP="00CE729E">
            <w:pPr>
              <w:rPr>
                <w:rFonts w:cstheme="minorHAnsi"/>
                <w:bCs/>
                <w:sz w:val="16"/>
                <w:szCs w:val="72"/>
                <w:lang w:val="sr-Cyrl-CS"/>
              </w:rPr>
            </w:pPr>
            <w:r w:rsidRPr="00F27A03">
              <w:rPr>
                <w:rFonts w:cstheme="minorHAnsi"/>
                <w:bCs/>
                <w:sz w:val="16"/>
                <w:szCs w:val="72"/>
                <w:vertAlign w:val="superscript"/>
                <w:lang w:val="sr-Cyrl-CS"/>
              </w:rPr>
              <w:t>1</w:t>
            </w:r>
            <w:r w:rsidRPr="00F27A03">
              <w:rPr>
                <w:rFonts w:cstheme="minorHAnsi"/>
                <w:bCs/>
                <w:sz w:val="16"/>
                <w:szCs w:val="72"/>
                <w:lang w:val="sr-Cyrl-CS"/>
              </w:rPr>
              <w:t xml:space="preserve"> Светски БДП израчунат је према паритету куповне моћи.</w:t>
            </w:r>
          </w:p>
          <w:p w14:paraId="42217701" w14:textId="77777777" w:rsidR="00C02C3D" w:rsidRPr="00F27A03" w:rsidRDefault="00C02C3D" w:rsidP="00CE729E">
            <w:pPr>
              <w:rPr>
                <w:rFonts w:cstheme="minorHAnsi"/>
                <w:bCs/>
                <w:sz w:val="16"/>
                <w:szCs w:val="72"/>
                <w:lang w:val="sr-Cyrl-CS"/>
              </w:rPr>
            </w:pPr>
            <w:r w:rsidRPr="00F27A03">
              <w:rPr>
                <w:rFonts w:cstheme="minorHAnsi"/>
                <w:bCs/>
                <w:sz w:val="16"/>
                <w:szCs w:val="72"/>
                <w:vertAlign w:val="superscript"/>
                <w:lang w:val="sr-Cyrl-CS"/>
              </w:rPr>
              <w:t>2</w:t>
            </w:r>
            <w:r w:rsidRPr="00F27A03">
              <w:rPr>
                <w:rFonts w:cstheme="minorHAnsi"/>
                <w:bCs/>
                <w:sz w:val="16"/>
                <w:szCs w:val="72"/>
                <w:lang w:val="sr-Cyrl-CS"/>
              </w:rPr>
              <w:t xml:space="preserve"> Цена житарица добијена као пондерисани просек цена пшенице, кукуруза, соје, пиринча и јечма.</w:t>
            </w:r>
          </w:p>
          <w:p w14:paraId="18DF3E34" w14:textId="77777777" w:rsidR="00C02C3D" w:rsidRPr="00F27A03" w:rsidRDefault="00C02C3D" w:rsidP="00CE729E">
            <w:pPr>
              <w:rPr>
                <w:rFonts w:cstheme="minorHAnsi"/>
                <w:bCs/>
                <w:sz w:val="16"/>
                <w:szCs w:val="72"/>
                <w:lang w:val="sr-Cyrl-CS"/>
              </w:rPr>
            </w:pPr>
            <w:r w:rsidRPr="00F27A03">
              <w:rPr>
                <w:rFonts w:cstheme="minorHAnsi"/>
                <w:bCs/>
                <w:sz w:val="16"/>
                <w:szCs w:val="72"/>
                <w:vertAlign w:val="superscript"/>
                <w:lang w:val="sr-Cyrl-CS"/>
              </w:rPr>
              <w:t>3</w:t>
            </w:r>
            <w:r w:rsidRPr="00F27A03">
              <w:rPr>
                <w:rFonts w:cstheme="minorHAnsi"/>
                <w:bCs/>
                <w:sz w:val="16"/>
                <w:szCs w:val="72"/>
                <w:lang w:val="sr-Cyrl-CS"/>
              </w:rPr>
              <w:t xml:space="preserve"> Цена метала добијена као пондерисани просек цена бакра, алуминијума, руде гвожђа, калаја, никла, цинка, олова и уранијума.</w:t>
            </w:r>
          </w:p>
          <w:p w14:paraId="47620664" w14:textId="77777777" w:rsidR="00C02C3D" w:rsidRPr="00F27A03" w:rsidRDefault="00C02C3D" w:rsidP="00CE729E">
            <w:pPr>
              <w:rPr>
                <w:rFonts w:cstheme="minorHAnsi"/>
                <w:bCs/>
                <w:sz w:val="16"/>
                <w:szCs w:val="72"/>
                <w:vertAlign w:val="superscript"/>
                <w:lang w:val="sr-Cyrl-CS"/>
              </w:rPr>
            </w:pPr>
            <w:r w:rsidRPr="00F27A03">
              <w:rPr>
                <w:rFonts w:cstheme="minorHAnsi"/>
                <w:bCs/>
                <w:sz w:val="16"/>
                <w:szCs w:val="72"/>
                <w:vertAlign w:val="superscript"/>
                <w:lang w:val="sr-Cyrl-CS"/>
              </w:rPr>
              <w:t>4</w:t>
            </w:r>
            <w:r w:rsidRPr="00F27A03">
              <w:rPr>
                <w:rFonts w:cstheme="minorHAnsi"/>
                <w:bCs/>
                <w:sz w:val="16"/>
                <w:szCs w:val="72"/>
                <w:lang w:val="sr-Cyrl-CS"/>
              </w:rPr>
              <w:t xml:space="preserve"> Цена руде гвожђа (садржај гвожђа од 62%) за увоз у Кини, лука Тиан Јан, у доларима по метричкој тони.</w:t>
            </w:r>
          </w:p>
        </w:tc>
      </w:tr>
    </w:tbl>
    <w:p w14:paraId="78928BB9" w14:textId="77777777" w:rsidR="00C02C3D" w:rsidRPr="00F27A03" w:rsidRDefault="00C02C3D" w:rsidP="00CE729E">
      <w:pPr>
        <w:rPr>
          <w:rFonts w:cstheme="minorHAnsi"/>
          <w:bCs/>
          <w:szCs w:val="72"/>
          <w:lang w:val="sr-Cyrl-CS"/>
        </w:rPr>
        <w:sectPr w:rsidR="00C02C3D" w:rsidRPr="00F27A03" w:rsidSect="008527D6">
          <w:type w:val="continuous"/>
          <w:pgSz w:w="12240" w:h="15840"/>
          <w:pgMar w:top="1440" w:right="1440" w:bottom="1440" w:left="1440" w:header="708" w:footer="708" w:gutter="0"/>
          <w:cols w:space="708"/>
          <w:docGrid w:linePitch="360"/>
        </w:sectPr>
      </w:pPr>
    </w:p>
    <w:p w14:paraId="290736EA" w14:textId="7481FD98" w:rsidR="00C02C3D" w:rsidRPr="00F27A03" w:rsidRDefault="00C02C3D" w:rsidP="0065412F">
      <w:pPr>
        <w:rPr>
          <w:rFonts w:cstheme="minorHAnsi"/>
          <w:bCs/>
          <w:szCs w:val="72"/>
          <w:lang w:val="sr-Cyrl-CS"/>
        </w:rPr>
      </w:pPr>
      <w:r w:rsidRPr="00F27A03">
        <w:rPr>
          <w:rFonts w:cstheme="minorHAnsi"/>
          <w:bCs/>
          <w:szCs w:val="72"/>
          <w:lang w:val="sr-Cyrl-CS"/>
        </w:rPr>
        <w:t>Према октобарским проценама ММФ, раст групе развијених земаља за 2022. и 2023. годину ревидиран је наниже на 2,4% и 1,1%, респективно. Пад реалног расположивог дохотка у САД наставља да утиче на нижу тражњу потрошача, док раст каматних стопа додатно ограничава потрошњу, нарочито у сектору некретнина. Иако је у 2022. години успоравање раста у еврозони мање изражено него у САД, због добрих резултата током прве половине године, у</w:t>
      </w:r>
      <w:r w:rsidR="00F27A03">
        <w:rPr>
          <w:rFonts w:cstheme="minorHAnsi"/>
          <w:bCs/>
          <w:szCs w:val="72"/>
          <w:lang w:val="sr-Cyrl-CS"/>
        </w:rPr>
        <w:t xml:space="preserve"> 2023. години очекује се значај</w:t>
      </w:r>
      <w:r w:rsidRPr="00F27A03">
        <w:rPr>
          <w:rFonts w:cstheme="minorHAnsi"/>
          <w:bCs/>
          <w:szCs w:val="72"/>
          <w:lang w:val="sr-Cyrl-CS"/>
        </w:rPr>
        <w:t>но смањење раста, на 0,5%. Такође, међу самим земљама чланицама постоје изражене разлике у економској активности,</w:t>
      </w:r>
      <w:r w:rsidRPr="00F27A03">
        <w:rPr>
          <w:lang w:val="sr-Cyrl-CS"/>
        </w:rPr>
        <w:t xml:space="preserve"> </w:t>
      </w:r>
      <w:r w:rsidRPr="00F27A03">
        <w:rPr>
          <w:rFonts w:cstheme="minorHAnsi"/>
          <w:bCs/>
          <w:szCs w:val="72"/>
          <w:lang w:val="sr-Cyrl-CS"/>
        </w:rPr>
        <w:t>а предвиђено успоравање ће посебно оштро погодити Немачку и Италију, које ће забележити пад од 0,3% и 0,2%, респективно.</w:t>
      </w:r>
    </w:p>
    <w:p w14:paraId="14D2687B" w14:textId="77777777" w:rsidR="00C02C3D" w:rsidRPr="00F27A03" w:rsidRDefault="00C02C3D" w:rsidP="0065412F">
      <w:pPr>
        <w:rPr>
          <w:lang w:val="sr-Cyrl-CS"/>
        </w:rPr>
      </w:pPr>
    </w:p>
    <w:p w14:paraId="66FEF65F" w14:textId="77777777" w:rsidR="00C02C3D" w:rsidRPr="00F27A03" w:rsidRDefault="00C02C3D" w:rsidP="0065412F">
      <w:pPr>
        <w:rPr>
          <w:lang w:val="sr-Cyrl-CS"/>
        </w:rPr>
      </w:pPr>
    </w:p>
    <w:p w14:paraId="5E3E837C" w14:textId="77777777" w:rsidR="00C02C3D" w:rsidRPr="00F27A03" w:rsidRDefault="00C02C3D" w:rsidP="0065412F">
      <w:pPr>
        <w:spacing w:after="80"/>
        <w:rPr>
          <w:rFonts w:cstheme="minorHAnsi"/>
          <w:bCs/>
          <w:color w:val="auto"/>
          <w:szCs w:val="72"/>
          <w:lang w:val="sr-Cyrl-CS"/>
        </w:rPr>
      </w:pPr>
      <w:r w:rsidRPr="00F27A03">
        <w:rPr>
          <w:noProof/>
          <w:lang w:val="sr-Cyrl-RS" w:eastAsia="sr-Cyrl-RS"/>
        </w:rPr>
        <w:drawing>
          <wp:inline distT="0" distB="0" distL="0" distR="0" wp14:anchorId="6E27B405" wp14:editId="043225E5">
            <wp:extent cx="2747010" cy="1720427"/>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F47183F" w14:textId="77777777" w:rsidR="00C02C3D" w:rsidRPr="00F27A03" w:rsidRDefault="00C02C3D" w:rsidP="0065412F">
      <w:pPr>
        <w:rPr>
          <w:rFonts w:cstheme="minorHAnsi"/>
          <w:bCs/>
          <w:color w:val="auto"/>
          <w:szCs w:val="72"/>
          <w:lang w:val="sr-Cyrl-CS"/>
        </w:rPr>
      </w:pPr>
      <w:r w:rsidRPr="00F27A03">
        <w:rPr>
          <w:noProof/>
          <w:lang w:val="sr-Cyrl-RS" w:eastAsia="sr-Cyrl-RS"/>
        </w:rPr>
        <w:drawing>
          <wp:inline distT="0" distB="0" distL="0" distR="0" wp14:anchorId="12E48242" wp14:editId="6365DD10">
            <wp:extent cx="2747010" cy="1557867"/>
            <wp:effectExtent l="0" t="0" r="0" b="444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579E775" w14:textId="77777777" w:rsidR="00C02C3D" w:rsidRPr="00F27A03" w:rsidRDefault="00C02C3D" w:rsidP="0065412F">
      <w:pPr>
        <w:spacing w:after="0"/>
        <w:rPr>
          <w:rFonts w:cstheme="minorHAnsi"/>
          <w:bCs/>
          <w:color w:val="auto"/>
          <w:szCs w:val="72"/>
          <w:lang w:val="sr-Cyrl-CS"/>
        </w:rPr>
      </w:pPr>
      <w:r w:rsidRPr="00F27A03">
        <w:rPr>
          <w:noProof/>
          <w:lang w:val="sr-Cyrl-RS" w:eastAsia="sr-Cyrl-RS"/>
        </w:rPr>
        <w:drawing>
          <wp:inline distT="0" distB="0" distL="0" distR="0" wp14:anchorId="55DEACC4" wp14:editId="5A96C201">
            <wp:extent cx="2747010" cy="204470"/>
            <wp:effectExtent l="0" t="0" r="0" b="508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2747010" cy="204470"/>
                    </a:xfrm>
                    <a:prstGeom prst="rect">
                      <a:avLst/>
                    </a:prstGeom>
                  </pic:spPr>
                </pic:pic>
              </a:graphicData>
            </a:graphic>
          </wp:inline>
        </w:drawing>
      </w:r>
    </w:p>
    <w:p w14:paraId="30B11A51" w14:textId="77777777" w:rsidR="00C02C3D" w:rsidRPr="00F27A03" w:rsidRDefault="00C02C3D" w:rsidP="0065412F">
      <w:pPr>
        <w:rPr>
          <w:rFonts w:cstheme="minorHAnsi"/>
          <w:bCs/>
          <w:sz w:val="16"/>
          <w:szCs w:val="72"/>
          <w:lang w:val="sr-Cyrl-CS"/>
        </w:rPr>
      </w:pPr>
      <w:r w:rsidRPr="00F27A03">
        <w:rPr>
          <w:rFonts w:cstheme="minorHAnsi"/>
          <w:bCs/>
          <w:sz w:val="16"/>
          <w:szCs w:val="72"/>
          <w:lang w:val="sr-Cyrl-CS"/>
        </w:rPr>
        <w:t xml:space="preserve">Извор: ММФ, </w:t>
      </w:r>
      <w:r w:rsidRPr="00F27A03">
        <w:rPr>
          <w:rFonts w:cstheme="minorHAnsi"/>
          <w:bCs/>
          <w:i/>
          <w:sz w:val="16"/>
          <w:szCs w:val="72"/>
          <w:lang w:val="sr-Cyrl-CS"/>
        </w:rPr>
        <w:t>World Economic Outlook</w:t>
      </w:r>
    </w:p>
    <w:p w14:paraId="154B72B7" w14:textId="6B2A903C" w:rsidR="00C02C3D" w:rsidRPr="00F27A03" w:rsidRDefault="00C02C3D" w:rsidP="0065412F">
      <w:pPr>
        <w:rPr>
          <w:rFonts w:cstheme="minorHAnsi"/>
          <w:bCs/>
          <w:szCs w:val="72"/>
          <w:lang w:val="sr-Cyrl-CS"/>
        </w:rPr>
      </w:pPr>
      <w:r w:rsidRPr="00F27A03">
        <w:rPr>
          <w:rFonts w:cstheme="minorHAnsi"/>
          <w:bCs/>
          <w:szCs w:val="72"/>
          <w:lang w:val="sr-Cyrl-CS"/>
        </w:rPr>
        <w:lastRenderedPageBreak/>
        <w:t xml:space="preserve">За разлику од све </w:t>
      </w:r>
      <w:r w:rsidR="006948A1" w:rsidRPr="00F27A03">
        <w:rPr>
          <w:rFonts w:cstheme="minorHAnsi"/>
          <w:bCs/>
          <w:szCs w:val="72"/>
          <w:lang w:val="sr-Cyrl-CS"/>
        </w:rPr>
        <w:t xml:space="preserve">већег </w:t>
      </w:r>
      <w:r w:rsidRPr="00F27A03">
        <w:rPr>
          <w:rFonts w:cstheme="minorHAnsi"/>
          <w:bCs/>
          <w:szCs w:val="72"/>
          <w:lang w:val="sr-Cyrl-CS"/>
        </w:rPr>
        <w:t>успоравања у развијеним економијама, очекује се да ће раст земаља у успону износити 3,7% у 2022. и да ће остати стабилан током 2023. године. Пад руске привреде је мање оштар од раније предвиђеног, услед преусмеравања извоза нафте на азијска тржишта и јачања домаће тражње која је подржана фискалном и монетарном политиком, као и враћања поверења у финансијски систем. Појава нових жаришта вируса и закључавање главних економских центара, као и криза тржишта некретнина, утицали су да Кина забележи најнижи раст у последње четири деценије (са изузетком у 2020. години због иницијалног шока изазваног пандемијом), док се за 2023. годину очекује убрзање раста. Предвиђа се да ће раст Блиског истока и централне Азије износити 5,0% у 2022. години, што у великој мери одражава повољне изгледе код извозника нафте и неочекивано благ утицај дешавања у Украјини, али ће следеће године доћи до успоравања због очекиваног пада цена нафте. Раст региона Латинске Америке је ревидиран благо навише у 2022. години због повољних цена добара и услова финансирања, али се због успоравања економија најважнијих спољнотрговинских партнера и пооштравања монетарне политике очекује слабљење раста у 2023. години.</w:t>
      </w:r>
    </w:p>
    <w:p w14:paraId="0A7C8F6E" w14:textId="77777777" w:rsidR="00C02C3D" w:rsidRPr="00F27A03" w:rsidRDefault="00C02C3D" w:rsidP="0065412F">
      <w:pPr>
        <w:pStyle w:val="Caption"/>
        <w:keepNext/>
        <w:rPr>
          <w:lang w:val="sr-Cyrl-CS"/>
        </w:rPr>
      </w:pPr>
      <w:r w:rsidRPr="00F27A03">
        <w:rPr>
          <w:lang w:val="sr-Cyrl-CS"/>
        </w:rPr>
        <w:t>Пројекција кретања цена нафте по барелу</w:t>
      </w:r>
    </w:p>
    <w:p w14:paraId="6797243C" w14:textId="77777777" w:rsidR="00C02C3D" w:rsidRPr="00F27A03" w:rsidRDefault="00C02C3D" w:rsidP="0065412F">
      <w:pPr>
        <w:rPr>
          <w:rFonts w:cstheme="minorHAnsi"/>
          <w:bCs/>
          <w:szCs w:val="72"/>
          <w:lang w:val="sr-Cyrl-CS"/>
        </w:rPr>
      </w:pPr>
      <w:r w:rsidRPr="00F27A03">
        <w:rPr>
          <w:noProof/>
          <w:lang w:val="sr-Cyrl-RS" w:eastAsia="sr-Cyrl-RS"/>
        </w:rPr>
        <w:drawing>
          <wp:inline distT="0" distB="0" distL="0" distR="0" wp14:anchorId="649D824B" wp14:editId="099C6099">
            <wp:extent cx="2747010" cy="1536192"/>
            <wp:effectExtent l="0" t="0" r="0" b="6985"/>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9"/>
                    <a:stretch>
                      <a:fillRect/>
                    </a:stretch>
                  </pic:blipFill>
                  <pic:spPr>
                    <a:xfrm>
                      <a:off x="0" y="0"/>
                      <a:ext cx="2765058" cy="1546285"/>
                    </a:xfrm>
                    <a:prstGeom prst="rect">
                      <a:avLst/>
                    </a:prstGeom>
                  </pic:spPr>
                </pic:pic>
              </a:graphicData>
            </a:graphic>
          </wp:inline>
        </w:drawing>
      </w:r>
    </w:p>
    <w:p w14:paraId="2C55F142" w14:textId="77777777" w:rsidR="00C02C3D" w:rsidRPr="00F27A03" w:rsidRDefault="00C02C3D" w:rsidP="0065412F">
      <w:pPr>
        <w:rPr>
          <w:rFonts w:cstheme="minorHAnsi"/>
          <w:bCs/>
          <w:szCs w:val="72"/>
          <w:lang w:val="sr-Cyrl-CS"/>
        </w:rPr>
      </w:pPr>
      <w:r w:rsidRPr="00F27A03">
        <w:rPr>
          <w:rFonts w:cstheme="minorHAnsi"/>
          <w:bCs/>
          <w:sz w:val="16"/>
          <w:szCs w:val="16"/>
          <w:lang w:val="sr-Cyrl-CS"/>
        </w:rPr>
        <w:t xml:space="preserve">Извор: ММФ, </w:t>
      </w:r>
      <w:r w:rsidRPr="00F27A03">
        <w:rPr>
          <w:rFonts w:cstheme="minorHAnsi"/>
          <w:bCs/>
          <w:i/>
          <w:sz w:val="16"/>
          <w:szCs w:val="16"/>
          <w:lang w:val="sr-Cyrl-CS"/>
        </w:rPr>
        <w:t>World Economic Outlook</w:t>
      </w:r>
      <w:r w:rsidRPr="00F27A03">
        <w:rPr>
          <w:rFonts w:cstheme="minorHAnsi"/>
          <w:bCs/>
          <w:sz w:val="16"/>
          <w:szCs w:val="16"/>
          <w:lang w:val="sr-Cyrl-CS"/>
        </w:rPr>
        <w:t>, октобар 2022</w:t>
      </w:r>
      <w:r w:rsidRPr="00F27A03">
        <w:rPr>
          <w:rFonts w:cstheme="minorHAnsi"/>
          <w:bCs/>
          <w:szCs w:val="72"/>
          <w:lang w:val="sr-Cyrl-CS"/>
        </w:rPr>
        <w:t>.</w:t>
      </w:r>
    </w:p>
    <w:p w14:paraId="7815342F" w14:textId="77777777" w:rsidR="00C02C3D" w:rsidRPr="00F27A03" w:rsidRDefault="00C02C3D" w:rsidP="00CE729E">
      <w:pPr>
        <w:rPr>
          <w:rFonts w:cstheme="minorHAnsi"/>
          <w:bCs/>
          <w:szCs w:val="72"/>
          <w:lang w:val="sr-Cyrl-CS"/>
        </w:rPr>
      </w:pPr>
      <w:r w:rsidRPr="00F27A03">
        <w:rPr>
          <w:rFonts w:cstheme="minorHAnsi"/>
          <w:bCs/>
          <w:szCs w:val="72"/>
          <w:lang w:val="sr-Cyrl-CS"/>
        </w:rPr>
        <w:t xml:space="preserve">Пројектује се да ће цене основних метала забележити пад од 5,5% у 2022. години, док се за наредни период предвиђа даље смањење цена, након чега ће уследити стабилизација. После наглог скока цене гвожђа од скоро 50% у 2021. години, очекује се смањење од 23,5% у 2022. години, уз даљи пад наредне године и стагнацију </w:t>
      </w:r>
      <w:r w:rsidRPr="00F27A03">
        <w:rPr>
          <w:rFonts w:cstheme="minorHAnsi"/>
          <w:bCs/>
          <w:szCs w:val="72"/>
          <w:lang w:val="sr-Cyrl-CS"/>
        </w:rPr>
        <w:t>у средњем року. За цене житарица предвиђа се снажан раст у 2022. години од 22,8%, а потом следи тренд опадања. Каматна стопа на тромесечне државне обвезнице у еврозони износиће -0,2% и 0,8% у 2022. и 2023. години, док ће стопа на тромесечне државне обвезнице у САД износити 1,8% и 4,0%, респективно за исти период.</w:t>
      </w:r>
    </w:p>
    <w:p w14:paraId="607FECA7" w14:textId="77777777" w:rsidR="00C02C3D" w:rsidRPr="00F27A03" w:rsidRDefault="00C02C3D" w:rsidP="00CE729E">
      <w:pPr>
        <w:pStyle w:val="Caption"/>
        <w:keepNext/>
        <w:rPr>
          <w:rFonts w:cstheme="minorHAnsi"/>
          <w:b w:val="0"/>
          <w:i/>
          <w:iCs w:val="0"/>
          <w:szCs w:val="22"/>
          <w:lang w:val="sr-Cyrl-CS"/>
        </w:rPr>
      </w:pPr>
      <w:r w:rsidRPr="00F27A03">
        <w:rPr>
          <w:rFonts w:cstheme="minorHAnsi"/>
          <w:iCs w:val="0"/>
          <w:szCs w:val="22"/>
          <w:lang w:val="sr-Cyrl-CS"/>
        </w:rPr>
        <w:t>Кретање цена, индекси, 2016=100</w:t>
      </w:r>
    </w:p>
    <w:p w14:paraId="26A6ACFE" w14:textId="77777777" w:rsidR="00C02C3D" w:rsidRPr="00F27A03" w:rsidRDefault="00C02C3D" w:rsidP="008527D6">
      <w:pPr>
        <w:spacing w:after="60"/>
        <w:rPr>
          <w:rFonts w:cstheme="minorHAnsi"/>
          <w:bCs/>
          <w:sz w:val="16"/>
          <w:szCs w:val="72"/>
          <w:lang w:val="sr-Cyrl-CS"/>
        </w:rPr>
      </w:pPr>
      <w:r w:rsidRPr="00F27A03">
        <w:rPr>
          <w:noProof/>
          <w:lang w:val="sr-Cyrl-RS" w:eastAsia="sr-Cyrl-RS"/>
        </w:rPr>
        <w:drawing>
          <wp:inline distT="0" distB="0" distL="0" distR="0" wp14:anchorId="4F328FE5" wp14:editId="61C71483">
            <wp:extent cx="2743200" cy="1998000"/>
            <wp:effectExtent l="0" t="0" r="0" b="2540"/>
            <wp:docPr id="2" name="Chart 2">
              <a:extLst xmlns:a="http://schemas.openxmlformats.org/drawingml/2006/main">
                <a:ext uri="{FF2B5EF4-FFF2-40B4-BE49-F238E27FC236}">
                  <a16:creationId xmlns:a16="http://schemas.microsoft.com/office/drawing/2014/main" id="{00000000-0008-0000-01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3475C72" w14:textId="77777777" w:rsidR="00C02C3D" w:rsidRPr="00F27A03" w:rsidRDefault="00C02C3D" w:rsidP="00CE729E">
      <w:pPr>
        <w:rPr>
          <w:lang w:val="sr-Cyrl-CS"/>
        </w:rPr>
      </w:pPr>
      <w:r w:rsidRPr="00F27A03">
        <w:rPr>
          <w:rFonts w:cstheme="minorHAnsi"/>
          <w:bCs/>
          <w:sz w:val="16"/>
          <w:szCs w:val="72"/>
          <w:lang w:val="sr-Cyrl-CS"/>
        </w:rPr>
        <w:t xml:space="preserve">Извор: ММФ, </w:t>
      </w:r>
      <w:r w:rsidRPr="00F27A03">
        <w:rPr>
          <w:rFonts w:cstheme="minorHAnsi"/>
          <w:bCs/>
          <w:i/>
          <w:sz w:val="16"/>
          <w:szCs w:val="72"/>
          <w:lang w:val="sr-Cyrl-CS"/>
        </w:rPr>
        <w:t>World Economic Outlook</w:t>
      </w:r>
      <w:r w:rsidRPr="00F27A03">
        <w:rPr>
          <w:rFonts w:cstheme="minorHAnsi"/>
          <w:bCs/>
          <w:sz w:val="16"/>
          <w:szCs w:val="72"/>
          <w:lang w:val="sr-Cyrl-CS"/>
        </w:rPr>
        <w:t>, октобар 2022.</w:t>
      </w:r>
    </w:p>
    <w:p w14:paraId="43B268E4" w14:textId="77777777" w:rsidR="00C02C3D" w:rsidRPr="00F27A03" w:rsidRDefault="00C02C3D" w:rsidP="00D520B2">
      <w:pPr>
        <w:pStyle w:val="Caption"/>
        <w:keepNext/>
        <w:spacing w:after="40"/>
        <w:rPr>
          <w:rFonts w:cstheme="minorHAnsi"/>
          <w:b w:val="0"/>
          <w:i/>
          <w:iCs w:val="0"/>
          <w:szCs w:val="22"/>
          <w:lang w:val="sr-Cyrl-CS"/>
        </w:rPr>
      </w:pPr>
      <w:r w:rsidRPr="00F27A03">
        <w:rPr>
          <w:rFonts w:cstheme="minorHAnsi"/>
          <w:iCs w:val="0"/>
          <w:szCs w:val="22"/>
          <w:lang w:val="sr-Cyrl-CS"/>
        </w:rPr>
        <w:t>Пројекција кретања цена, индекси, 2019=100</w:t>
      </w:r>
    </w:p>
    <w:p w14:paraId="2E6EC6C0" w14:textId="77777777" w:rsidR="00C02C3D" w:rsidRPr="00F27A03" w:rsidRDefault="00C02C3D" w:rsidP="008527D6">
      <w:pPr>
        <w:spacing w:after="60"/>
        <w:rPr>
          <w:lang w:val="sr-Cyrl-CS"/>
        </w:rPr>
      </w:pPr>
      <w:r w:rsidRPr="00F27A03">
        <w:rPr>
          <w:noProof/>
          <w:lang w:val="sr-Cyrl-RS" w:eastAsia="sr-Cyrl-RS"/>
        </w:rPr>
        <w:drawing>
          <wp:inline distT="0" distB="0" distL="0" distR="0" wp14:anchorId="2D6ADB01" wp14:editId="7760810A">
            <wp:extent cx="2743200" cy="2171700"/>
            <wp:effectExtent l="0" t="0" r="0" b="0"/>
            <wp:docPr id="6" name="Chart 6">
              <a:extLst xmlns:a="http://schemas.openxmlformats.org/drawingml/2006/main">
                <a:ext uri="{FF2B5EF4-FFF2-40B4-BE49-F238E27FC236}">
                  <a16:creationId xmlns:a16="http://schemas.microsoft.com/office/drawing/2014/main" id="{00000000-0008-0000-0200-00001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ACB7802" w14:textId="77777777" w:rsidR="00C02C3D" w:rsidRPr="00F27A03" w:rsidRDefault="00C02C3D" w:rsidP="00CE729E">
      <w:pPr>
        <w:rPr>
          <w:rFonts w:cstheme="minorHAnsi"/>
          <w:szCs w:val="72"/>
          <w:lang w:val="sr-Cyrl-CS"/>
        </w:rPr>
      </w:pPr>
      <w:r w:rsidRPr="00F27A03">
        <w:rPr>
          <w:rFonts w:cstheme="minorHAnsi"/>
          <w:bCs/>
          <w:sz w:val="16"/>
          <w:szCs w:val="72"/>
          <w:lang w:val="sr-Cyrl-CS"/>
        </w:rPr>
        <w:t xml:space="preserve">Извор: ММФ, </w:t>
      </w:r>
      <w:r w:rsidRPr="00F27A03">
        <w:rPr>
          <w:rFonts w:cstheme="minorHAnsi"/>
          <w:bCs/>
          <w:i/>
          <w:sz w:val="16"/>
          <w:szCs w:val="72"/>
          <w:lang w:val="sr-Cyrl-CS"/>
        </w:rPr>
        <w:t>World Economic Outlook</w:t>
      </w:r>
      <w:r w:rsidRPr="00F27A03">
        <w:rPr>
          <w:rFonts w:cstheme="minorHAnsi"/>
          <w:bCs/>
          <w:sz w:val="16"/>
          <w:szCs w:val="72"/>
          <w:lang w:val="sr-Cyrl-CS"/>
        </w:rPr>
        <w:t>, октобар 2022.</w:t>
      </w:r>
    </w:p>
    <w:p w14:paraId="1AC7D0C7" w14:textId="6D59C9A2" w:rsidR="00C02C3D" w:rsidRPr="00F27A03" w:rsidRDefault="00C02C3D" w:rsidP="00D520B2">
      <w:pPr>
        <w:spacing w:after="120"/>
        <w:rPr>
          <w:rFonts w:cstheme="minorHAnsi"/>
          <w:bCs/>
          <w:szCs w:val="72"/>
          <w:lang w:val="sr-Cyrl-CS"/>
        </w:rPr>
      </w:pPr>
      <w:r w:rsidRPr="00F27A03">
        <w:rPr>
          <w:rFonts w:cstheme="minorHAnsi"/>
          <w:bCs/>
          <w:szCs w:val="72"/>
          <w:lang w:val="sr-Cyrl-CS"/>
        </w:rPr>
        <w:t>Америчке федералне резерве (у даљем тексту: ФЕД) су од почетка године шест пута подизале каматне стопе, а најскорије повећање на распон од 3,75% до 4,00% извршено је у новембру. Ово пооштравање монетарне политике је у складу је са стратегијом циљања просечне инфлације од 2% у дугом року, уз индикације да ће током остатка 2022. и у 2023. години бити настављено са динамиком повећања каматне стопе, али у нешто мањим износим</w:t>
      </w:r>
      <w:r w:rsidR="00F43D4D" w:rsidRPr="00F27A03">
        <w:rPr>
          <w:rFonts w:cstheme="minorHAnsi"/>
          <w:bCs/>
          <w:szCs w:val="72"/>
          <w:lang w:val="sr-Cyrl-CS"/>
        </w:rPr>
        <w:t>а.</w:t>
      </w:r>
    </w:p>
    <w:p w14:paraId="28993820" w14:textId="77777777" w:rsidR="003C0D09" w:rsidRPr="00F27A03" w:rsidRDefault="003C0D09" w:rsidP="00D520B2">
      <w:pPr>
        <w:spacing w:after="120"/>
        <w:rPr>
          <w:rFonts w:cstheme="minorHAnsi"/>
          <w:bCs/>
          <w:szCs w:val="72"/>
          <w:lang w:val="sr-Cyrl-CS"/>
        </w:rPr>
        <w:sectPr w:rsidR="003C0D09" w:rsidRPr="00F27A03" w:rsidSect="00CE729E">
          <w:type w:val="continuous"/>
          <w:pgSz w:w="12240" w:h="15840"/>
          <w:pgMar w:top="1440" w:right="1440" w:bottom="1440" w:left="1440" w:header="708" w:footer="708" w:gutter="0"/>
          <w:cols w:num="2" w:space="708"/>
          <w:docGrid w:linePitch="360"/>
        </w:sectPr>
      </w:pPr>
    </w:p>
    <w:p w14:paraId="7EA11311" w14:textId="77777777" w:rsidR="00C02C3D" w:rsidRPr="00F27A03" w:rsidRDefault="00C02C3D" w:rsidP="0065412F">
      <w:pPr>
        <w:spacing w:after="0"/>
        <w:jc w:val="center"/>
        <w:rPr>
          <w:rFonts w:cstheme="minorHAnsi"/>
          <w:b/>
          <w:bCs/>
          <w:color w:val="002060"/>
          <w:szCs w:val="72"/>
          <w:lang w:val="sr-Cyrl-CS"/>
        </w:rPr>
      </w:pPr>
      <w:r w:rsidRPr="00F27A03">
        <w:rPr>
          <w:rFonts w:cstheme="minorHAnsi"/>
          <w:b/>
          <w:bCs/>
          <w:color w:val="002060"/>
          <w:szCs w:val="72"/>
          <w:lang w:val="sr-Cyrl-CS"/>
        </w:rPr>
        <w:lastRenderedPageBreak/>
        <w:t>Кретање референтне каматне стопе по изабраним земљама, %</w:t>
      </w:r>
    </w:p>
    <w:p w14:paraId="04657CE6" w14:textId="77777777" w:rsidR="00C02C3D" w:rsidRPr="00F27A03" w:rsidRDefault="00C02C3D" w:rsidP="0065412F">
      <w:pPr>
        <w:spacing w:after="40"/>
        <w:rPr>
          <w:rFonts w:cstheme="minorHAnsi"/>
          <w:bCs/>
          <w:szCs w:val="72"/>
          <w:lang w:val="sr-Cyrl-CS"/>
        </w:rPr>
      </w:pPr>
      <w:r w:rsidRPr="00F27A03">
        <w:rPr>
          <w:noProof/>
          <w:lang w:val="sr-Cyrl-RS" w:eastAsia="sr-Cyrl-RS"/>
        </w:rPr>
        <w:drawing>
          <wp:inline distT="0" distB="0" distL="0" distR="0" wp14:anchorId="4C434801" wp14:editId="4C2E3371">
            <wp:extent cx="2747010" cy="194564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47531A3" w14:textId="77777777" w:rsidR="00C02C3D" w:rsidRPr="00F27A03" w:rsidRDefault="00C02C3D" w:rsidP="00D520B2">
      <w:pPr>
        <w:spacing w:after="120"/>
        <w:rPr>
          <w:rFonts w:cstheme="minorHAnsi"/>
          <w:bCs/>
          <w:sz w:val="16"/>
          <w:szCs w:val="16"/>
          <w:lang w:val="sr-Cyrl-CS"/>
        </w:rPr>
      </w:pPr>
      <w:r w:rsidRPr="00F27A03">
        <w:rPr>
          <w:rFonts w:cstheme="minorHAnsi"/>
          <w:bCs/>
          <w:sz w:val="16"/>
          <w:szCs w:val="16"/>
          <w:lang w:val="sr-Cyrl-CS"/>
        </w:rPr>
        <w:t>Извор: Централне банке изабраних земаља</w:t>
      </w:r>
    </w:p>
    <w:p w14:paraId="5EFE08E3" w14:textId="77777777" w:rsidR="00C02C3D" w:rsidRPr="00F27A03" w:rsidRDefault="00C02C3D" w:rsidP="008527D6">
      <w:pPr>
        <w:rPr>
          <w:rFonts w:cstheme="minorHAnsi"/>
          <w:bCs/>
          <w:szCs w:val="72"/>
          <w:lang w:val="sr-Cyrl-CS"/>
        </w:rPr>
      </w:pPr>
      <w:r w:rsidRPr="00F27A03">
        <w:rPr>
          <w:rFonts w:cstheme="minorHAnsi"/>
          <w:bCs/>
          <w:szCs w:val="72"/>
          <w:lang w:val="sr-Cyrl-CS"/>
        </w:rPr>
        <w:t xml:space="preserve">Ризици пројекција су асиметрични и остају повишени као последица повећане неизвесности под утицајем конфликта у Украјини, опасности од </w:t>
      </w:r>
      <w:r w:rsidRPr="00F27A03">
        <w:rPr>
          <w:lang w:val="sr-Cyrl-CS"/>
        </w:rPr>
        <w:t>примене погрешних мера монетарне и фискалне политике</w:t>
      </w:r>
      <w:r w:rsidRPr="00F27A03">
        <w:rPr>
          <w:rFonts w:cstheme="minorHAnsi"/>
          <w:bCs/>
          <w:szCs w:val="72"/>
          <w:lang w:val="sr-Cyrl-CS"/>
        </w:rPr>
        <w:t xml:space="preserve"> </w:t>
      </w:r>
      <w:r w:rsidRPr="00F27A03">
        <w:rPr>
          <w:lang w:val="sr-Cyrl-CS"/>
        </w:rPr>
        <w:t>у борби против растуће инфлације</w:t>
      </w:r>
      <w:r w:rsidRPr="00F27A03">
        <w:rPr>
          <w:rFonts w:cstheme="minorHAnsi"/>
          <w:bCs/>
          <w:szCs w:val="72"/>
          <w:lang w:val="sr-Cyrl-CS"/>
        </w:rPr>
        <w:t>, уз и даље присутан ризик погоршања епидемиолошке ситуације.</w:t>
      </w:r>
      <w:r w:rsidRPr="00F27A03">
        <w:rPr>
          <w:lang w:val="sr-Cyrl-CS"/>
        </w:rPr>
        <w:t xml:space="preserve"> </w:t>
      </w:r>
      <w:r w:rsidRPr="00F27A03">
        <w:rPr>
          <w:rFonts w:cstheme="minorHAnsi"/>
          <w:bCs/>
          <w:szCs w:val="72"/>
          <w:lang w:val="sr-Cyrl-CS"/>
        </w:rPr>
        <w:t>Иако се предвиђа пад инфлације у средњем року, постоји ризик од њеног продуженог трајања изазваног ценовним шоковима на тржишту хране и енергената, а посебно услед могуће даље ескалације сукоба. Такође, поновна појава вируса и потенцијална „закључавања”, погоршавање кризе некретнина у Кини, престанак испоруке руског гаса у земље Европе, геополитичке тензије, као и учестале временске, климатске и природне непогоде, неки су од присутних ризика по глобални раст и стабилност.</w:t>
      </w:r>
    </w:p>
    <w:p w14:paraId="52A7E207" w14:textId="77777777" w:rsidR="00C02C3D" w:rsidRPr="00F27A03" w:rsidRDefault="00C02C3D" w:rsidP="00CE729E">
      <w:pPr>
        <w:rPr>
          <w:b/>
          <w:color w:val="2F5496" w:themeColor="accent1" w:themeShade="BF"/>
          <w:lang w:val="sr-Cyrl-CS"/>
        </w:rPr>
      </w:pPr>
      <w:r w:rsidRPr="00F27A03">
        <w:rPr>
          <w:b/>
          <w:color w:val="2F5496" w:themeColor="accent1" w:themeShade="BF"/>
          <w:lang w:val="sr-Cyrl-CS"/>
        </w:rPr>
        <w:t>Макроекономске процене ЕЦБ за подручје еврозоне</w:t>
      </w:r>
    </w:p>
    <w:p w14:paraId="0D970029" w14:textId="77777777" w:rsidR="00C02C3D" w:rsidRPr="00F27A03" w:rsidRDefault="00C02C3D" w:rsidP="008527D6">
      <w:pPr>
        <w:rPr>
          <w:rFonts w:cstheme="minorHAnsi"/>
          <w:bCs/>
          <w:szCs w:val="72"/>
          <w:lang w:val="sr-Cyrl-CS"/>
        </w:rPr>
      </w:pPr>
      <w:r w:rsidRPr="00F27A03">
        <w:rPr>
          <w:rFonts w:cstheme="minorHAnsi"/>
          <w:bCs/>
          <w:szCs w:val="72"/>
          <w:lang w:val="sr-Cyrl-CS"/>
        </w:rPr>
        <w:t xml:space="preserve">Економија еврозоне забележила је раст у првој половини 2022. године изнад очекиваног. Раст у првом тромесечју од 5,6% мг. био је подржан јаким доприносом нето извоза, делом везан и за активност мултинационалних компанија у Ирској. У другом кварталу забележено је повећање привреде од 4,2%, а активност у производном сектору имала је користи од постепеног решавања уских грла у ланцима снабдевања, док је сектор услуга био подстакнут укидањем ограничења везаних за пандемију. Међутим, дешавања у Украјини довела су до тешке енергетске кризе која </w:t>
      </w:r>
      <w:r w:rsidRPr="00F27A03">
        <w:rPr>
          <w:rFonts w:cstheme="minorHAnsi"/>
          <w:bCs/>
          <w:szCs w:val="72"/>
          <w:lang w:val="sr-Cyrl-CS"/>
        </w:rPr>
        <w:t>је нагло повећала трошкове живота и негативно утицала на економску активност. Прелиминарна флеш процена Евростата указује на значајно успоравање реалног раста БДП у трећем кварталу 2022. године (2,1%). Разлог томе је негативни утицај инфлације на реалне приходе, што уз неизвесност и растуће каматне стопе које успоравају инвестиције, дефинише и процену ЕЦБ за последњи квартал текуће године (благи пад БДП од 0,1%). То потврђује и динамика високофреквентних индикатора током летњих месеци. PMI индекс еврозоне од јула бележи вредности испод границе од 50, док процена за октобар указује на значајно смањење активности и у производном и у услужном сектору.</w:t>
      </w:r>
    </w:p>
    <w:p w14:paraId="74EDE1A9" w14:textId="77777777" w:rsidR="00C02C3D" w:rsidRPr="00F27A03" w:rsidRDefault="00C02C3D" w:rsidP="008527D6">
      <w:pPr>
        <w:rPr>
          <w:rFonts w:cstheme="minorHAnsi"/>
          <w:bCs/>
          <w:szCs w:val="72"/>
          <w:lang w:val="sr-Cyrl-CS"/>
        </w:rPr>
      </w:pPr>
      <w:r w:rsidRPr="00F27A03">
        <w:rPr>
          <w:rFonts w:cstheme="minorHAnsi"/>
          <w:bCs/>
          <w:szCs w:val="72"/>
          <w:lang w:val="sr-Cyrl-CS"/>
        </w:rPr>
        <w:t>Према септембарским пројекцијама ЕЦБ, привреда еврозоне ће забележити раст од 3,1% у 2022. години, док је за 2023. годину предвиђено повећање од 0,9% што је за 1,2 п.п. мање него у јунској пројекцији. Слабљење раста широм Европе у 2023. години одражава ефекте продубљивања енергетске кризе, пре свега код земаља које су највише изложене смањењу испоруке руског гаса. Истовремено, пооштравање монетарне политике ЕЦБ подизањем референтне стопе додатно ће утицати на динамику привредног раста. Према проценама ЕЦБ приватна потрошња ће ослабити у наредних неколико квартала, али ће остати кључни покретач раста у средњем року (3,6% и 0,7% у 2022. и 2023. години, респективно), док се за инвестициону активност предвиђа раст од 3,1% и 1,6% за исти период. Очекује се да ће отклањање уских грла у снабдевању и депрецијација евра подржати извоз ван подручја еврозоне у 2022. години, упркос нешто слабијој спољној тражњи, тако да је раст и увоза и извоза у овом периоду ревидиран навише. Међутим, успоравање глобалне економије ће негативно утицати на раст трговине у наредној години, што је условило ревизију наниже очекиваног раста извоза и увоза у 2023. години.</w:t>
      </w:r>
    </w:p>
    <w:p w14:paraId="64F6F625" w14:textId="77777777" w:rsidR="00C02C3D" w:rsidRPr="00F27A03" w:rsidRDefault="00C02C3D" w:rsidP="0065412F">
      <w:pPr>
        <w:spacing w:after="360"/>
        <w:rPr>
          <w:rFonts w:cstheme="minorHAnsi"/>
          <w:bCs/>
          <w:color w:val="auto"/>
          <w:szCs w:val="72"/>
          <w:lang w:val="sr-Cyrl-CS"/>
        </w:rPr>
      </w:pPr>
      <w:r w:rsidRPr="00F27A03">
        <w:rPr>
          <w:rFonts w:cstheme="minorHAnsi"/>
          <w:bCs/>
          <w:szCs w:val="72"/>
          <w:lang w:val="sr-Cyrl-CS"/>
        </w:rPr>
        <w:t xml:space="preserve">Инфлација наставља да расте због великих шокова на страни понуде, који се преносе на потрошачке цене бржим темпом него раније. Очекује се да ће међугодишња стопа инфлације остати изнад 9% до краја 2022. године због изузетно високих цена енергената и прехрамбених производа, постојаних инфлаторних притисака, као и </w:t>
      </w:r>
      <w:r w:rsidRPr="00F27A03">
        <w:rPr>
          <w:rFonts w:cstheme="minorHAnsi"/>
          <w:bCs/>
          <w:szCs w:val="72"/>
          <w:lang w:val="sr-Cyrl-CS"/>
        </w:rPr>
        <w:lastRenderedPageBreak/>
        <w:t xml:space="preserve">несташица на страни понуде. Пројектовано смањење инфлације са просечних 8,1% у 2022. на 5,5% у 2023. и 2,3% у 2024. углавном одражава очекивани пад цена енергије и хране као резултат негативних ефеката базе и претпостављеног смањења цена добара. Очекује се да ће базна </w:t>
      </w:r>
      <w:r w:rsidRPr="00F27A03">
        <w:rPr>
          <w:rFonts w:cstheme="minorHAnsi"/>
          <w:bCs/>
          <w:szCs w:val="72"/>
          <w:lang w:val="sr-Cyrl-CS"/>
        </w:rPr>
        <w:t>инфлација остати на високим нивоима до средине 2023. године, али да ће након тога опасти услед јењавања ефеката поновног отварања привреде, отклањања уских грла у снабдевању и попуштању инфлаторних притисака на енергенте.</w:t>
      </w:r>
    </w:p>
    <w:p w14:paraId="714DDD0E" w14:textId="77777777" w:rsidR="00C02C3D" w:rsidRPr="00F27A03" w:rsidRDefault="00C02C3D">
      <w:pPr>
        <w:rPr>
          <w:rFonts w:cstheme="minorHAnsi"/>
          <w:bCs/>
          <w:color w:val="auto"/>
          <w:szCs w:val="72"/>
          <w:lang w:val="sr-Cyrl-CS"/>
        </w:rPr>
        <w:sectPr w:rsidR="00C02C3D" w:rsidRPr="00F27A03" w:rsidSect="00CE729E">
          <w:type w:val="continuous"/>
          <w:pgSz w:w="12240" w:h="15840"/>
          <w:pgMar w:top="1440" w:right="1440" w:bottom="1440" w:left="1440" w:header="708" w:footer="708" w:gutter="0"/>
          <w:cols w:num="2" w:space="708"/>
          <w:docGrid w:linePitch="360"/>
        </w:sectPr>
      </w:pPr>
    </w:p>
    <w:tbl>
      <w:tblPr>
        <w:tblW w:w="5000" w:type="pct"/>
        <w:tblLook w:val="04A0" w:firstRow="1" w:lastRow="0" w:firstColumn="1" w:lastColumn="0" w:noHBand="0" w:noVBand="1"/>
      </w:tblPr>
      <w:tblGrid>
        <w:gridCol w:w="4448"/>
        <w:gridCol w:w="1228"/>
        <w:gridCol w:w="1228"/>
        <w:gridCol w:w="1228"/>
        <w:gridCol w:w="1228"/>
      </w:tblGrid>
      <w:tr w:rsidR="00C02C3D" w:rsidRPr="00F27A03" w14:paraId="7E6552F1" w14:textId="77777777" w:rsidTr="00CE729E">
        <w:trPr>
          <w:trHeight w:val="300"/>
        </w:trPr>
        <w:tc>
          <w:tcPr>
            <w:tcW w:w="5000" w:type="pct"/>
            <w:gridSpan w:val="5"/>
            <w:tcBorders>
              <w:bottom w:val="single" w:sz="4" w:space="0" w:color="002060"/>
            </w:tcBorders>
            <w:shd w:val="clear" w:color="auto" w:fill="auto"/>
            <w:noWrap/>
            <w:vAlign w:val="bottom"/>
            <w:hideMark/>
          </w:tcPr>
          <w:p w14:paraId="53264657" w14:textId="77777777" w:rsidR="00C02C3D" w:rsidRPr="00F27A03" w:rsidRDefault="00C02C3D" w:rsidP="00166653">
            <w:pPr>
              <w:spacing w:after="120" w:line="240" w:lineRule="auto"/>
              <w:ind w:left="255"/>
              <w:jc w:val="center"/>
              <w:rPr>
                <w:rFonts w:cstheme="minorHAnsi"/>
                <w:color w:val="002060"/>
                <w:sz w:val="18"/>
                <w:lang w:val="sr-Cyrl-CS"/>
              </w:rPr>
            </w:pPr>
            <w:r w:rsidRPr="00F27A03">
              <w:rPr>
                <w:b/>
                <w:color w:val="002060"/>
                <w:lang w:val="sr-Cyrl-CS"/>
              </w:rPr>
              <w:t>Табела 2. Макроекономске пројекције за подручје еврозоне, %</w:t>
            </w:r>
          </w:p>
        </w:tc>
      </w:tr>
      <w:tr w:rsidR="00C02C3D" w:rsidRPr="00F27A03" w14:paraId="058C21FE" w14:textId="77777777" w:rsidTr="00D0587E">
        <w:trPr>
          <w:trHeight w:val="227"/>
        </w:trPr>
        <w:tc>
          <w:tcPr>
            <w:tcW w:w="2376" w:type="pct"/>
            <w:tcBorders>
              <w:top w:val="single" w:sz="4" w:space="0" w:color="002060"/>
            </w:tcBorders>
            <w:shd w:val="clear" w:color="auto" w:fill="auto"/>
            <w:noWrap/>
            <w:vAlign w:val="center"/>
          </w:tcPr>
          <w:p w14:paraId="102BD181" w14:textId="77777777" w:rsidR="00C02C3D" w:rsidRPr="00F27A03" w:rsidRDefault="00C02C3D" w:rsidP="00CE729E">
            <w:pPr>
              <w:spacing w:after="0" w:line="240" w:lineRule="auto"/>
              <w:jc w:val="center"/>
              <w:rPr>
                <w:rFonts w:eastAsia="Times New Roman" w:cs="Times New Roman"/>
                <w:color w:val="002060"/>
                <w:sz w:val="18"/>
                <w:szCs w:val="18"/>
                <w:lang w:val="sr-Cyrl-CS"/>
              </w:rPr>
            </w:pPr>
          </w:p>
        </w:tc>
        <w:tc>
          <w:tcPr>
            <w:tcW w:w="656" w:type="pct"/>
            <w:tcBorders>
              <w:top w:val="single" w:sz="4" w:space="0" w:color="002060"/>
              <w:bottom w:val="single" w:sz="4" w:space="0" w:color="002060"/>
            </w:tcBorders>
            <w:shd w:val="clear" w:color="auto" w:fill="auto"/>
            <w:noWrap/>
            <w:vAlign w:val="center"/>
          </w:tcPr>
          <w:p w14:paraId="7C10EF57" w14:textId="77777777" w:rsidR="00C02C3D" w:rsidRPr="00F27A03" w:rsidRDefault="00C02C3D" w:rsidP="00CE729E">
            <w:pPr>
              <w:spacing w:after="0" w:line="240" w:lineRule="auto"/>
              <w:jc w:val="center"/>
              <w:rPr>
                <w:rFonts w:cstheme="minorHAnsi"/>
                <w:color w:val="002060"/>
                <w:sz w:val="18"/>
                <w:lang w:val="sr-Cyrl-CS"/>
              </w:rPr>
            </w:pPr>
            <w:r w:rsidRPr="00F27A03">
              <w:rPr>
                <w:rFonts w:cstheme="minorHAnsi"/>
                <w:color w:val="002060"/>
                <w:sz w:val="18"/>
                <w:lang w:val="sr-Cyrl-CS"/>
              </w:rPr>
              <w:t>2021</w:t>
            </w:r>
          </w:p>
        </w:tc>
        <w:tc>
          <w:tcPr>
            <w:tcW w:w="656" w:type="pct"/>
            <w:tcBorders>
              <w:top w:val="single" w:sz="4" w:space="0" w:color="002060"/>
              <w:bottom w:val="single" w:sz="4" w:space="0" w:color="002060"/>
            </w:tcBorders>
            <w:shd w:val="clear" w:color="auto" w:fill="auto"/>
            <w:noWrap/>
            <w:vAlign w:val="center"/>
          </w:tcPr>
          <w:p w14:paraId="30BAE6A0"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2022</w:t>
            </w:r>
          </w:p>
        </w:tc>
        <w:tc>
          <w:tcPr>
            <w:tcW w:w="656" w:type="pct"/>
            <w:tcBorders>
              <w:top w:val="single" w:sz="4" w:space="0" w:color="002060"/>
              <w:bottom w:val="single" w:sz="4" w:space="0" w:color="002060"/>
            </w:tcBorders>
            <w:shd w:val="clear" w:color="auto" w:fill="auto"/>
            <w:noWrap/>
            <w:vAlign w:val="center"/>
          </w:tcPr>
          <w:p w14:paraId="0D2E5215"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2023</w:t>
            </w:r>
          </w:p>
        </w:tc>
        <w:tc>
          <w:tcPr>
            <w:tcW w:w="656" w:type="pct"/>
            <w:tcBorders>
              <w:top w:val="single" w:sz="4" w:space="0" w:color="002060"/>
              <w:bottom w:val="single" w:sz="4" w:space="0" w:color="002060"/>
            </w:tcBorders>
            <w:shd w:val="clear" w:color="auto" w:fill="auto"/>
            <w:noWrap/>
            <w:vAlign w:val="center"/>
          </w:tcPr>
          <w:p w14:paraId="450FADD2"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2024</w:t>
            </w:r>
          </w:p>
        </w:tc>
      </w:tr>
      <w:tr w:rsidR="00C02C3D" w:rsidRPr="00F27A03" w14:paraId="176515AB" w14:textId="77777777" w:rsidTr="00D0587E">
        <w:trPr>
          <w:trHeight w:val="227"/>
        </w:trPr>
        <w:tc>
          <w:tcPr>
            <w:tcW w:w="2376" w:type="pct"/>
            <w:shd w:val="clear" w:color="auto" w:fill="auto"/>
            <w:noWrap/>
            <w:vAlign w:val="bottom"/>
            <w:hideMark/>
          </w:tcPr>
          <w:p w14:paraId="6C00B26F" w14:textId="77777777" w:rsidR="00C02C3D" w:rsidRPr="00F27A03" w:rsidRDefault="00C02C3D" w:rsidP="00CE729E">
            <w:pPr>
              <w:spacing w:after="0" w:line="240" w:lineRule="auto"/>
              <w:ind w:left="255" w:hanging="360"/>
              <w:rPr>
                <w:rFonts w:cstheme="minorHAnsi"/>
                <w:color w:val="002060"/>
                <w:sz w:val="18"/>
                <w:lang w:val="sr-Cyrl-CS"/>
              </w:rPr>
            </w:pPr>
            <w:r w:rsidRPr="00F27A03">
              <w:rPr>
                <w:rFonts w:cstheme="minorHAnsi"/>
                <w:color w:val="002060"/>
                <w:sz w:val="18"/>
                <w:lang w:val="sr-Cyrl-CS"/>
              </w:rPr>
              <w:t>БДП</w:t>
            </w:r>
          </w:p>
        </w:tc>
        <w:tc>
          <w:tcPr>
            <w:tcW w:w="656" w:type="pct"/>
            <w:tcBorders>
              <w:top w:val="single" w:sz="4" w:space="0" w:color="002060"/>
            </w:tcBorders>
            <w:shd w:val="clear" w:color="auto" w:fill="auto"/>
            <w:noWrap/>
            <w:vAlign w:val="center"/>
            <w:hideMark/>
          </w:tcPr>
          <w:p w14:paraId="71CA501F"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5,2</w:t>
            </w:r>
          </w:p>
        </w:tc>
        <w:tc>
          <w:tcPr>
            <w:tcW w:w="656" w:type="pct"/>
            <w:tcBorders>
              <w:top w:val="single" w:sz="4" w:space="0" w:color="002060"/>
            </w:tcBorders>
            <w:shd w:val="clear" w:color="auto" w:fill="FFFFFF" w:themeFill="background1"/>
            <w:noWrap/>
            <w:vAlign w:val="center"/>
            <w:hideMark/>
          </w:tcPr>
          <w:p w14:paraId="7970A294"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3,1</w:t>
            </w:r>
          </w:p>
        </w:tc>
        <w:tc>
          <w:tcPr>
            <w:tcW w:w="656" w:type="pct"/>
            <w:tcBorders>
              <w:top w:val="single" w:sz="4" w:space="0" w:color="002060"/>
            </w:tcBorders>
            <w:shd w:val="clear" w:color="auto" w:fill="auto"/>
            <w:noWrap/>
            <w:vAlign w:val="center"/>
            <w:hideMark/>
          </w:tcPr>
          <w:p w14:paraId="711A0891"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0,9</w:t>
            </w:r>
          </w:p>
        </w:tc>
        <w:tc>
          <w:tcPr>
            <w:tcW w:w="656" w:type="pct"/>
            <w:tcBorders>
              <w:top w:val="single" w:sz="4" w:space="0" w:color="002060"/>
            </w:tcBorders>
            <w:shd w:val="clear" w:color="auto" w:fill="auto"/>
            <w:noWrap/>
            <w:vAlign w:val="center"/>
            <w:hideMark/>
          </w:tcPr>
          <w:p w14:paraId="0EC785CF"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1,9</w:t>
            </w:r>
          </w:p>
        </w:tc>
      </w:tr>
      <w:tr w:rsidR="00C02C3D" w:rsidRPr="00F27A03" w14:paraId="5C66A2DA" w14:textId="77777777" w:rsidTr="00D0587E">
        <w:trPr>
          <w:trHeight w:val="227"/>
        </w:trPr>
        <w:tc>
          <w:tcPr>
            <w:tcW w:w="2376" w:type="pct"/>
            <w:shd w:val="clear" w:color="auto" w:fill="auto"/>
            <w:noWrap/>
            <w:vAlign w:val="bottom"/>
            <w:hideMark/>
          </w:tcPr>
          <w:p w14:paraId="1BFCEED4" w14:textId="77777777" w:rsidR="00C02C3D" w:rsidRPr="00F27A03" w:rsidRDefault="00C02C3D" w:rsidP="00CE729E">
            <w:pPr>
              <w:spacing w:after="0" w:line="240" w:lineRule="auto"/>
              <w:ind w:left="360" w:hanging="360"/>
              <w:rPr>
                <w:rFonts w:cstheme="minorHAnsi"/>
                <w:color w:val="002060"/>
                <w:sz w:val="18"/>
                <w:lang w:val="sr-Cyrl-CS"/>
              </w:rPr>
            </w:pPr>
            <w:r w:rsidRPr="00F27A03">
              <w:rPr>
                <w:rFonts w:cstheme="minorHAnsi"/>
                <w:color w:val="002060"/>
                <w:sz w:val="18"/>
                <w:lang w:val="sr-Cyrl-CS"/>
              </w:rPr>
              <w:t>Лична потрошња</w:t>
            </w:r>
          </w:p>
        </w:tc>
        <w:tc>
          <w:tcPr>
            <w:tcW w:w="656" w:type="pct"/>
            <w:shd w:val="clear" w:color="auto" w:fill="auto"/>
            <w:noWrap/>
            <w:vAlign w:val="center"/>
            <w:hideMark/>
          </w:tcPr>
          <w:p w14:paraId="51630D36"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3,7</w:t>
            </w:r>
          </w:p>
        </w:tc>
        <w:tc>
          <w:tcPr>
            <w:tcW w:w="656" w:type="pct"/>
            <w:shd w:val="clear" w:color="auto" w:fill="auto"/>
            <w:noWrap/>
            <w:vAlign w:val="center"/>
            <w:hideMark/>
          </w:tcPr>
          <w:p w14:paraId="5FFEB46C"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3,6</w:t>
            </w:r>
          </w:p>
        </w:tc>
        <w:tc>
          <w:tcPr>
            <w:tcW w:w="656" w:type="pct"/>
            <w:shd w:val="clear" w:color="auto" w:fill="auto"/>
            <w:noWrap/>
            <w:vAlign w:val="center"/>
            <w:hideMark/>
          </w:tcPr>
          <w:p w14:paraId="495C6AFA"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0,7</w:t>
            </w:r>
          </w:p>
        </w:tc>
        <w:tc>
          <w:tcPr>
            <w:tcW w:w="656" w:type="pct"/>
            <w:shd w:val="clear" w:color="auto" w:fill="auto"/>
            <w:noWrap/>
            <w:vAlign w:val="center"/>
            <w:hideMark/>
          </w:tcPr>
          <w:p w14:paraId="7980C731"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1,2</w:t>
            </w:r>
          </w:p>
        </w:tc>
      </w:tr>
      <w:tr w:rsidR="00C02C3D" w:rsidRPr="00F27A03" w14:paraId="5251EFD5" w14:textId="77777777" w:rsidTr="00D0587E">
        <w:trPr>
          <w:trHeight w:val="227"/>
        </w:trPr>
        <w:tc>
          <w:tcPr>
            <w:tcW w:w="2376" w:type="pct"/>
            <w:shd w:val="clear" w:color="auto" w:fill="auto"/>
            <w:noWrap/>
            <w:vAlign w:val="bottom"/>
            <w:hideMark/>
          </w:tcPr>
          <w:p w14:paraId="68826F5E" w14:textId="77777777" w:rsidR="00C02C3D" w:rsidRPr="00F27A03" w:rsidRDefault="00C02C3D" w:rsidP="00CE729E">
            <w:pPr>
              <w:spacing w:after="0" w:line="240" w:lineRule="auto"/>
              <w:ind w:left="360" w:hanging="360"/>
              <w:rPr>
                <w:rFonts w:cstheme="minorHAnsi"/>
                <w:color w:val="002060"/>
                <w:sz w:val="18"/>
                <w:lang w:val="sr-Cyrl-CS"/>
              </w:rPr>
            </w:pPr>
            <w:r w:rsidRPr="00F27A03">
              <w:rPr>
                <w:rFonts w:cstheme="minorHAnsi"/>
                <w:color w:val="002060"/>
                <w:sz w:val="18"/>
                <w:lang w:val="sr-Cyrl-CS"/>
              </w:rPr>
              <w:t>Државна потрошња</w:t>
            </w:r>
          </w:p>
        </w:tc>
        <w:tc>
          <w:tcPr>
            <w:tcW w:w="656" w:type="pct"/>
            <w:shd w:val="clear" w:color="auto" w:fill="auto"/>
            <w:noWrap/>
            <w:vAlign w:val="center"/>
            <w:hideMark/>
          </w:tcPr>
          <w:p w14:paraId="6EF751BF"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4,2</w:t>
            </w:r>
          </w:p>
        </w:tc>
        <w:tc>
          <w:tcPr>
            <w:tcW w:w="656" w:type="pct"/>
            <w:shd w:val="clear" w:color="auto" w:fill="auto"/>
            <w:noWrap/>
            <w:vAlign w:val="center"/>
            <w:hideMark/>
          </w:tcPr>
          <w:p w14:paraId="2107FC1B"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1,4</w:t>
            </w:r>
          </w:p>
        </w:tc>
        <w:tc>
          <w:tcPr>
            <w:tcW w:w="656" w:type="pct"/>
            <w:shd w:val="clear" w:color="auto" w:fill="auto"/>
            <w:noWrap/>
            <w:vAlign w:val="center"/>
            <w:hideMark/>
          </w:tcPr>
          <w:p w14:paraId="4A5F6B0E"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-1,3</w:t>
            </w:r>
          </w:p>
        </w:tc>
        <w:tc>
          <w:tcPr>
            <w:tcW w:w="656" w:type="pct"/>
            <w:shd w:val="clear" w:color="auto" w:fill="auto"/>
            <w:noWrap/>
            <w:vAlign w:val="center"/>
            <w:hideMark/>
          </w:tcPr>
          <w:p w14:paraId="499ACA5B"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1,0</w:t>
            </w:r>
          </w:p>
        </w:tc>
      </w:tr>
      <w:tr w:rsidR="00C02C3D" w:rsidRPr="00F27A03" w14:paraId="78BC4F9C" w14:textId="77777777" w:rsidTr="00D0587E">
        <w:trPr>
          <w:trHeight w:val="227"/>
        </w:trPr>
        <w:tc>
          <w:tcPr>
            <w:tcW w:w="2376" w:type="pct"/>
            <w:shd w:val="clear" w:color="auto" w:fill="auto"/>
            <w:noWrap/>
            <w:vAlign w:val="bottom"/>
            <w:hideMark/>
          </w:tcPr>
          <w:p w14:paraId="2C6A9200" w14:textId="77777777" w:rsidR="00C02C3D" w:rsidRPr="00F27A03" w:rsidRDefault="00C02C3D" w:rsidP="00CE729E">
            <w:pPr>
              <w:spacing w:after="0" w:line="240" w:lineRule="auto"/>
              <w:ind w:left="360" w:hanging="360"/>
              <w:rPr>
                <w:rFonts w:cstheme="minorHAnsi"/>
                <w:color w:val="002060"/>
                <w:sz w:val="18"/>
                <w:lang w:val="sr-Cyrl-CS"/>
              </w:rPr>
            </w:pPr>
            <w:r w:rsidRPr="00F27A03">
              <w:rPr>
                <w:rFonts w:cstheme="minorHAnsi"/>
                <w:color w:val="002060"/>
                <w:sz w:val="18"/>
                <w:lang w:val="sr-Cyrl-CS"/>
              </w:rPr>
              <w:t>Бруто инвестиције у основна средства</w:t>
            </w:r>
          </w:p>
        </w:tc>
        <w:tc>
          <w:tcPr>
            <w:tcW w:w="656" w:type="pct"/>
            <w:shd w:val="clear" w:color="auto" w:fill="auto"/>
            <w:noWrap/>
            <w:vAlign w:val="center"/>
            <w:hideMark/>
          </w:tcPr>
          <w:p w14:paraId="0F6FD8C1"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3,8</w:t>
            </w:r>
          </w:p>
        </w:tc>
        <w:tc>
          <w:tcPr>
            <w:tcW w:w="656" w:type="pct"/>
            <w:shd w:val="clear" w:color="auto" w:fill="auto"/>
            <w:noWrap/>
            <w:vAlign w:val="center"/>
            <w:hideMark/>
          </w:tcPr>
          <w:p w14:paraId="50DB13EB"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3,1</w:t>
            </w:r>
          </w:p>
        </w:tc>
        <w:tc>
          <w:tcPr>
            <w:tcW w:w="656" w:type="pct"/>
            <w:shd w:val="clear" w:color="auto" w:fill="auto"/>
            <w:noWrap/>
            <w:vAlign w:val="center"/>
            <w:hideMark/>
          </w:tcPr>
          <w:p w14:paraId="7F97F3DC"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1,6</w:t>
            </w:r>
          </w:p>
        </w:tc>
        <w:tc>
          <w:tcPr>
            <w:tcW w:w="656" w:type="pct"/>
            <w:shd w:val="clear" w:color="auto" w:fill="auto"/>
            <w:noWrap/>
            <w:vAlign w:val="center"/>
            <w:hideMark/>
          </w:tcPr>
          <w:p w14:paraId="037348CB"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3,0</w:t>
            </w:r>
          </w:p>
        </w:tc>
      </w:tr>
      <w:tr w:rsidR="00C02C3D" w:rsidRPr="00F27A03" w14:paraId="46535D0D" w14:textId="77777777" w:rsidTr="00D0587E">
        <w:trPr>
          <w:trHeight w:val="227"/>
        </w:trPr>
        <w:tc>
          <w:tcPr>
            <w:tcW w:w="2376" w:type="pct"/>
            <w:shd w:val="clear" w:color="auto" w:fill="auto"/>
            <w:noWrap/>
            <w:vAlign w:val="bottom"/>
            <w:hideMark/>
          </w:tcPr>
          <w:p w14:paraId="6B4718E4" w14:textId="77777777" w:rsidR="00C02C3D" w:rsidRPr="00F27A03" w:rsidRDefault="00C02C3D" w:rsidP="00CE729E">
            <w:pPr>
              <w:spacing w:after="0" w:line="240" w:lineRule="auto"/>
              <w:ind w:left="360" w:hanging="360"/>
              <w:rPr>
                <w:rFonts w:cstheme="minorHAnsi"/>
                <w:color w:val="002060"/>
                <w:sz w:val="18"/>
                <w:lang w:val="sr-Cyrl-CS"/>
              </w:rPr>
            </w:pPr>
            <w:r w:rsidRPr="00F27A03">
              <w:rPr>
                <w:rFonts w:cstheme="minorHAnsi"/>
                <w:color w:val="002060"/>
                <w:sz w:val="18"/>
                <w:lang w:val="sr-Cyrl-CS"/>
              </w:rPr>
              <w:t>Извоз</w:t>
            </w:r>
          </w:p>
        </w:tc>
        <w:tc>
          <w:tcPr>
            <w:tcW w:w="656" w:type="pct"/>
            <w:shd w:val="clear" w:color="auto" w:fill="auto"/>
            <w:noWrap/>
            <w:vAlign w:val="center"/>
            <w:hideMark/>
          </w:tcPr>
          <w:p w14:paraId="2192E189"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10,5</w:t>
            </w:r>
          </w:p>
        </w:tc>
        <w:tc>
          <w:tcPr>
            <w:tcW w:w="656" w:type="pct"/>
            <w:shd w:val="clear" w:color="auto" w:fill="auto"/>
            <w:noWrap/>
            <w:vAlign w:val="center"/>
            <w:hideMark/>
          </w:tcPr>
          <w:p w14:paraId="1AE2FE3E"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6,1</w:t>
            </w:r>
          </w:p>
        </w:tc>
        <w:tc>
          <w:tcPr>
            <w:tcW w:w="656" w:type="pct"/>
            <w:shd w:val="clear" w:color="auto" w:fill="auto"/>
            <w:noWrap/>
            <w:vAlign w:val="center"/>
            <w:hideMark/>
          </w:tcPr>
          <w:p w14:paraId="11405037"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3,8</w:t>
            </w:r>
          </w:p>
        </w:tc>
        <w:tc>
          <w:tcPr>
            <w:tcW w:w="656" w:type="pct"/>
            <w:shd w:val="clear" w:color="auto" w:fill="auto"/>
            <w:noWrap/>
            <w:vAlign w:val="center"/>
            <w:hideMark/>
          </w:tcPr>
          <w:p w14:paraId="6B521097"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3,8</w:t>
            </w:r>
          </w:p>
        </w:tc>
      </w:tr>
      <w:tr w:rsidR="00C02C3D" w:rsidRPr="00F27A03" w14:paraId="27FBD979" w14:textId="77777777" w:rsidTr="00D0587E">
        <w:trPr>
          <w:trHeight w:val="227"/>
        </w:trPr>
        <w:tc>
          <w:tcPr>
            <w:tcW w:w="2376" w:type="pct"/>
            <w:shd w:val="clear" w:color="auto" w:fill="auto"/>
            <w:noWrap/>
            <w:vAlign w:val="bottom"/>
            <w:hideMark/>
          </w:tcPr>
          <w:p w14:paraId="0725A0A8" w14:textId="77777777" w:rsidR="00C02C3D" w:rsidRPr="00F27A03" w:rsidRDefault="00C02C3D" w:rsidP="00CE729E">
            <w:pPr>
              <w:spacing w:after="0" w:line="240" w:lineRule="auto"/>
              <w:ind w:left="360" w:hanging="360"/>
              <w:rPr>
                <w:rFonts w:cstheme="minorHAnsi"/>
                <w:color w:val="002060"/>
                <w:sz w:val="18"/>
                <w:lang w:val="sr-Cyrl-CS"/>
              </w:rPr>
            </w:pPr>
            <w:r w:rsidRPr="00F27A03">
              <w:rPr>
                <w:rFonts w:cstheme="minorHAnsi"/>
                <w:color w:val="002060"/>
                <w:sz w:val="18"/>
                <w:lang w:val="sr-Cyrl-CS"/>
              </w:rPr>
              <w:t>Увоз</w:t>
            </w:r>
          </w:p>
        </w:tc>
        <w:tc>
          <w:tcPr>
            <w:tcW w:w="656" w:type="pct"/>
            <w:shd w:val="clear" w:color="auto" w:fill="auto"/>
            <w:noWrap/>
            <w:vAlign w:val="center"/>
            <w:hideMark/>
          </w:tcPr>
          <w:p w14:paraId="4990F3D8"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8,2</w:t>
            </w:r>
          </w:p>
        </w:tc>
        <w:tc>
          <w:tcPr>
            <w:tcW w:w="656" w:type="pct"/>
            <w:shd w:val="clear" w:color="auto" w:fill="auto"/>
            <w:noWrap/>
            <w:vAlign w:val="center"/>
            <w:hideMark/>
          </w:tcPr>
          <w:p w14:paraId="58E782C1"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6,5</w:t>
            </w:r>
          </w:p>
        </w:tc>
        <w:tc>
          <w:tcPr>
            <w:tcW w:w="656" w:type="pct"/>
            <w:shd w:val="clear" w:color="auto" w:fill="auto"/>
            <w:noWrap/>
            <w:vAlign w:val="center"/>
            <w:hideMark/>
          </w:tcPr>
          <w:p w14:paraId="4490056C"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3,1</w:t>
            </w:r>
          </w:p>
        </w:tc>
        <w:tc>
          <w:tcPr>
            <w:tcW w:w="656" w:type="pct"/>
            <w:shd w:val="clear" w:color="auto" w:fill="auto"/>
            <w:noWrap/>
            <w:vAlign w:val="center"/>
            <w:hideMark/>
          </w:tcPr>
          <w:p w14:paraId="642CDBDF"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3,3</w:t>
            </w:r>
          </w:p>
        </w:tc>
      </w:tr>
      <w:tr w:rsidR="00C02C3D" w:rsidRPr="00F27A03" w14:paraId="06E2241F" w14:textId="77777777" w:rsidTr="00D0587E">
        <w:trPr>
          <w:trHeight w:val="227"/>
        </w:trPr>
        <w:tc>
          <w:tcPr>
            <w:tcW w:w="2376" w:type="pct"/>
            <w:shd w:val="clear" w:color="auto" w:fill="auto"/>
            <w:noWrap/>
            <w:vAlign w:val="bottom"/>
            <w:hideMark/>
          </w:tcPr>
          <w:p w14:paraId="03D2BA2C" w14:textId="77777777" w:rsidR="00C02C3D" w:rsidRPr="00F27A03" w:rsidRDefault="00C02C3D" w:rsidP="00CE729E">
            <w:pPr>
              <w:spacing w:after="0" w:line="240" w:lineRule="auto"/>
              <w:ind w:left="255" w:hanging="360"/>
              <w:rPr>
                <w:rFonts w:cstheme="minorHAnsi"/>
                <w:color w:val="002060"/>
                <w:sz w:val="18"/>
                <w:lang w:val="sr-Cyrl-CS"/>
              </w:rPr>
            </w:pPr>
            <w:r w:rsidRPr="00F27A03">
              <w:rPr>
                <w:rFonts w:cstheme="minorHAnsi"/>
                <w:color w:val="002060"/>
                <w:sz w:val="18"/>
                <w:lang w:val="sr-Cyrl-CS"/>
              </w:rPr>
              <w:t>Запосленост</w:t>
            </w:r>
          </w:p>
        </w:tc>
        <w:tc>
          <w:tcPr>
            <w:tcW w:w="656" w:type="pct"/>
            <w:shd w:val="clear" w:color="auto" w:fill="auto"/>
            <w:noWrap/>
            <w:vAlign w:val="center"/>
            <w:hideMark/>
          </w:tcPr>
          <w:p w14:paraId="463CDAD6"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1,3</w:t>
            </w:r>
          </w:p>
        </w:tc>
        <w:tc>
          <w:tcPr>
            <w:tcW w:w="656" w:type="pct"/>
            <w:shd w:val="clear" w:color="auto" w:fill="auto"/>
            <w:noWrap/>
            <w:vAlign w:val="center"/>
            <w:hideMark/>
          </w:tcPr>
          <w:p w14:paraId="27A42E11"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2,0</w:t>
            </w:r>
          </w:p>
        </w:tc>
        <w:tc>
          <w:tcPr>
            <w:tcW w:w="656" w:type="pct"/>
            <w:shd w:val="clear" w:color="auto" w:fill="auto"/>
            <w:noWrap/>
            <w:vAlign w:val="center"/>
            <w:hideMark/>
          </w:tcPr>
          <w:p w14:paraId="60881259"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0,2</w:t>
            </w:r>
          </w:p>
        </w:tc>
        <w:tc>
          <w:tcPr>
            <w:tcW w:w="656" w:type="pct"/>
            <w:shd w:val="clear" w:color="auto" w:fill="auto"/>
            <w:noWrap/>
            <w:vAlign w:val="center"/>
            <w:hideMark/>
          </w:tcPr>
          <w:p w14:paraId="5F34C7CE"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0,2</w:t>
            </w:r>
          </w:p>
        </w:tc>
      </w:tr>
      <w:tr w:rsidR="00C02C3D" w:rsidRPr="00F27A03" w14:paraId="6DDBF704" w14:textId="77777777" w:rsidTr="00D0587E">
        <w:trPr>
          <w:trHeight w:val="227"/>
        </w:trPr>
        <w:tc>
          <w:tcPr>
            <w:tcW w:w="2376" w:type="pct"/>
            <w:shd w:val="clear" w:color="auto" w:fill="auto"/>
            <w:noWrap/>
            <w:vAlign w:val="bottom"/>
            <w:hideMark/>
          </w:tcPr>
          <w:p w14:paraId="2C907D86" w14:textId="77777777" w:rsidR="00C02C3D" w:rsidRPr="00F27A03" w:rsidRDefault="00C02C3D" w:rsidP="00CE729E">
            <w:pPr>
              <w:spacing w:after="0" w:line="240" w:lineRule="auto"/>
              <w:ind w:left="255" w:hanging="360"/>
              <w:rPr>
                <w:rFonts w:cstheme="minorHAnsi"/>
                <w:color w:val="002060"/>
                <w:sz w:val="18"/>
                <w:lang w:val="sr-Cyrl-CS"/>
              </w:rPr>
            </w:pPr>
            <w:r w:rsidRPr="00F27A03">
              <w:rPr>
                <w:rFonts w:cstheme="minorHAnsi"/>
                <w:color w:val="002060"/>
                <w:sz w:val="18"/>
                <w:lang w:val="sr-Cyrl-CS"/>
              </w:rPr>
              <w:t>Стопа незапослености</w:t>
            </w:r>
          </w:p>
        </w:tc>
        <w:tc>
          <w:tcPr>
            <w:tcW w:w="656" w:type="pct"/>
            <w:shd w:val="clear" w:color="auto" w:fill="auto"/>
            <w:noWrap/>
            <w:vAlign w:val="center"/>
            <w:hideMark/>
          </w:tcPr>
          <w:p w14:paraId="3E2C435D"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7,7</w:t>
            </w:r>
          </w:p>
        </w:tc>
        <w:tc>
          <w:tcPr>
            <w:tcW w:w="656" w:type="pct"/>
            <w:shd w:val="clear" w:color="auto" w:fill="auto"/>
            <w:noWrap/>
            <w:vAlign w:val="center"/>
            <w:hideMark/>
          </w:tcPr>
          <w:p w14:paraId="43211DC7"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6,7</w:t>
            </w:r>
          </w:p>
        </w:tc>
        <w:tc>
          <w:tcPr>
            <w:tcW w:w="656" w:type="pct"/>
            <w:shd w:val="clear" w:color="auto" w:fill="auto"/>
            <w:noWrap/>
            <w:vAlign w:val="center"/>
            <w:hideMark/>
          </w:tcPr>
          <w:p w14:paraId="688030B6"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6,9</w:t>
            </w:r>
          </w:p>
        </w:tc>
        <w:tc>
          <w:tcPr>
            <w:tcW w:w="656" w:type="pct"/>
            <w:shd w:val="clear" w:color="auto" w:fill="auto"/>
            <w:noWrap/>
            <w:vAlign w:val="center"/>
            <w:hideMark/>
          </w:tcPr>
          <w:p w14:paraId="18D992A8"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7,0</w:t>
            </w:r>
          </w:p>
        </w:tc>
      </w:tr>
      <w:tr w:rsidR="00C02C3D" w:rsidRPr="00F27A03" w14:paraId="538AC01A" w14:textId="77777777" w:rsidTr="00D0587E">
        <w:trPr>
          <w:trHeight w:val="227"/>
        </w:trPr>
        <w:tc>
          <w:tcPr>
            <w:tcW w:w="2376" w:type="pct"/>
            <w:shd w:val="clear" w:color="auto" w:fill="auto"/>
            <w:noWrap/>
            <w:vAlign w:val="bottom"/>
            <w:hideMark/>
          </w:tcPr>
          <w:p w14:paraId="2AA0594D" w14:textId="77777777" w:rsidR="00C02C3D" w:rsidRPr="00F27A03" w:rsidRDefault="00C02C3D" w:rsidP="00CE729E">
            <w:pPr>
              <w:spacing w:after="0" w:line="240" w:lineRule="auto"/>
              <w:ind w:left="255" w:hanging="360"/>
              <w:rPr>
                <w:rFonts w:cstheme="minorHAnsi"/>
                <w:color w:val="002060"/>
                <w:sz w:val="18"/>
                <w:lang w:val="sr-Cyrl-CS"/>
              </w:rPr>
            </w:pPr>
            <w:r w:rsidRPr="00F27A03">
              <w:rPr>
                <w:rFonts w:cstheme="minorHAnsi"/>
                <w:color w:val="002060"/>
                <w:sz w:val="18"/>
                <w:lang w:val="sr-Cyrl-CS"/>
              </w:rPr>
              <w:t>Инфлација, просек периода</w:t>
            </w:r>
          </w:p>
        </w:tc>
        <w:tc>
          <w:tcPr>
            <w:tcW w:w="656" w:type="pct"/>
            <w:shd w:val="clear" w:color="auto" w:fill="auto"/>
            <w:noWrap/>
            <w:vAlign w:val="center"/>
            <w:hideMark/>
          </w:tcPr>
          <w:p w14:paraId="648EBAC2"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2,6</w:t>
            </w:r>
          </w:p>
        </w:tc>
        <w:tc>
          <w:tcPr>
            <w:tcW w:w="656" w:type="pct"/>
            <w:shd w:val="clear" w:color="auto" w:fill="auto"/>
            <w:noWrap/>
            <w:vAlign w:val="center"/>
            <w:hideMark/>
          </w:tcPr>
          <w:p w14:paraId="529F91DF" w14:textId="77777777" w:rsidR="00C02C3D" w:rsidRPr="00F27A03" w:rsidRDefault="00C02C3D" w:rsidP="008527D6">
            <w:pPr>
              <w:spacing w:after="0" w:line="240" w:lineRule="auto"/>
              <w:jc w:val="center"/>
              <w:rPr>
                <w:rFonts w:cstheme="minorHAnsi"/>
                <w:color w:val="002060"/>
                <w:sz w:val="18"/>
                <w:lang w:val="sr-Cyrl-CS"/>
              </w:rPr>
            </w:pPr>
            <w:r w:rsidRPr="00F27A03">
              <w:rPr>
                <w:rFonts w:cstheme="minorHAnsi"/>
                <w:color w:val="002060"/>
                <w:sz w:val="18"/>
                <w:lang w:val="sr-Cyrl-CS"/>
              </w:rPr>
              <w:t>8,1</w:t>
            </w:r>
          </w:p>
        </w:tc>
        <w:tc>
          <w:tcPr>
            <w:tcW w:w="656" w:type="pct"/>
            <w:shd w:val="clear" w:color="auto" w:fill="auto"/>
            <w:noWrap/>
            <w:vAlign w:val="center"/>
            <w:hideMark/>
          </w:tcPr>
          <w:p w14:paraId="4EABF958"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5,5</w:t>
            </w:r>
          </w:p>
        </w:tc>
        <w:tc>
          <w:tcPr>
            <w:tcW w:w="656" w:type="pct"/>
            <w:shd w:val="clear" w:color="auto" w:fill="auto"/>
            <w:noWrap/>
            <w:vAlign w:val="center"/>
            <w:hideMark/>
          </w:tcPr>
          <w:p w14:paraId="36897CEF"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2,3</w:t>
            </w:r>
          </w:p>
        </w:tc>
      </w:tr>
      <w:tr w:rsidR="00C02C3D" w:rsidRPr="00F27A03" w14:paraId="7B54722D" w14:textId="77777777" w:rsidTr="00D0587E">
        <w:trPr>
          <w:trHeight w:val="227"/>
        </w:trPr>
        <w:tc>
          <w:tcPr>
            <w:tcW w:w="2376" w:type="pct"/>
            <w:shd w:val="clear" w:color="auto" w:fill="auto"/>
            <w:noWrap/>
            <w:vAlign w:val="bottom"/>
            <w:hideMark/>
          </w:tcPr>
          <w:p w14:paraId="0CF89923" w14:textId="77777777" w:rsidR="00C02C3D" w:rsidRPr="00F27A03" w:rsidRDefault="00C02C3D" w:rsidP="00CE729E">
            <w:pPr>
              <w:spacing w:after="0" w:line="240" w:lineRule="auto"/>
              <w:ind w:left="255" w:hanging="360"/>
              <w:rPr>
                <w:rFonts w:cstheme="minorHAnsi"/>
                <w:color w:val="002060"/>
                <w:sz w:val="18"/>
                <w:lang w:val="sr-Cyrl-CS"/>
              </w:rPr>
            </w:pPr>
            <w:r w:rsidRPr="00F27A03">
              <w:rPr>
                <w:rFonts w:cstheme="minorHAnsi"/>
                <w:color w:val="002060"/>
                <w:sz w:val="18"/>
                <w:lang w:val="sr-Cyrl-CS"/>
              </w:rPr>
              <w:t>Јединични трошкови рада</w:t>
            </w:r>
          </w:p>
        </w:tc>
        <w:tc>
          <w:tcPr>
            <w:tcW w:w="656" w:type="pct"/>
            <w:shd w:val="clear" w:color="auto" w:fill="auto"/>
            <w:noWrap/>
            <w:vAlign w:val="center"/>
            <w:hideMark/>
          </w:tcPr>
          <w:p w14:paraId="38179893"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0,1</w:t>
            </w:r>
          </w:p>
        </w:tc>
        <w:tc>
          <w:tcPr>
            <w:tcW w:w="656" w:type="pct"/>
            <w:shd w:val="clear" w:color="auto" w:fill="auto"/>
            <w:noWrap/>
            <w:vAlign w:val="center"/>
            <w:hideMark/>
          </w:tcPr>
          <w:p w14:paraId="7C451677"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2,8</w:t>
            </w:r>
          </w:p>
        </w:tc>
        <w:tc>
          <w:tcPr>
            <w:tcW w:w="656" w:type="pct"/>
            <w:shd w:val="clear" w:color="auto" w:fill="auto"/>
            <w:noWrap/>
            <w:vAlign w:val="center"/>
            <w:hideMark/>
          </w:tcPr>
          <w:p w14:paraId="017BD5FC"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4,1</w:t>
            </w:r>
          </w:p>
        </w:tc>
        <w:tc>
          <w:tcPr>
            <w:tcW w:w="656" w:type="pct"/>
            <w:shd w:val="clear" w:color="auto" w:fill="auto"/>
            <w:noWrap/>
            <w:vAlign w:val="center"/>
            <w:hideMark/>
          </w:tcPr>
          <w:p w14:paraId="06CCD6AD"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2,2</w:t>
            </w:r>
          </w:p>
        </w:tc>
      </w:tr>
      <w:tr w:rsidR="00C02C3D" w:rsidRPr="00F27A03" w14:paraId="47DC48AD" w14:textId="77777777" w:rsidTr="00D0587E">
        <w:trPr>
          <w:trHeight w:val="227"/>
        </w:trPr>
        <w:tc>
          <w:tcPr>
            <w:tcW w:w="2376" w:type="pct"/>
            <w:shd w:val="clear" w:color="auto" w:fill="auto"/>
            <w:noWrap/>
            <w:vAlign w:val="bottom"/>
            <w:hideMark/>
          </w:tcPr>
          <w:p w14:paraId="71AD310D" w14:textId="77777777" w:rsidR="00C02C3D" w:rsidRPr="00F27A03" w:rsidRDefault="00C02C3D" w:rsidP="00CE729E">
            <w:pPr>
              <w:spacing w:after="0" w:line="240" w:lineRule="auto"/>
              <w:ind w:left="255" w:hanging="360"/>
              <w:rPr>
                <w:rFonts w:cstheme="minorHAnsi"/>
                <w:color w:val="002060"/>
                <w:sz w:val="18"/>
                <w:lang w:val="sr-Cyrl-CS"/>
              </w:rPr>
            </w:pPr>
            <w:r w:rsidRPr="00F27A03">
              <w:rPr>
                <w:rFonts w:cstheme="minorHAnsi"/>
                <w:color w:val="002060"/>
                <w:sz w:val="18"/>
                <w:lang w:val="sr-Cyrl-CS"/>
              </w:rPr>
              <w:t>Фискални резултат опште државе, % БДП</w:t>
            </w:r>
          </w:p>
        </w:tc>
        <w:tc>
          <w:tcPr>
            <w:tcW w:w="656" w:type="pct"/>
            <w:shd w:val="clear" w:color="auto" w:fill="auto"/>
            <w:noWrap/>
            <w:vAlign w:val="center"/>
            <w:hideMark/>
          </w:tcPr>
          <w:p w14:paraId="1C3FBC55"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-5,1</w:t>
            </w:r>
          </w:p>
        </w:tc>
        <w:tc>
          <w:tcPr>
            <w:tcW w:w="656" w:type="pct"/>
            <w:shd w:val="clear" w:color="auto" w:fill="auto"/>
            <w:noWrap/>
            <w:vAlign w:val="center"/>
            <w:hideMark/>
          </w:tcPr>
          <w:p w14:paraId="5428BF0D"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-3,8</w:t>
            </w:r>
          </w:p>
        </w:tc>
        <w:tc>
          <w:tcPr>
            <w:tcW w:w="656" w:type="pct"/>
            <w:shd w:val="clear" w:color="auto" w:fill="auto"/>
            <w:noWrap/>
            <w:vAlign w:val="center"/>
            <w:hideMark/>
          </w:tcPr>
          <w:p w14:paraId="3A363C13"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-2,9</w:t>
            </w:r>
          </w:p>
        </w:tc>
        <w:tc>
          <w:tcPr>
            <w:tcW w:w="656" w:type="pct"/>
            <w:shd w:val="clear" w:color="auto" w:fill="auto"/>
            <w:noWrap/>
            <w:vAlign w:val="center"/>
            <w:hideMark/>
          </w:tcPr>
          <w:p w14:paraId="4DAB8363"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-2,7</w:t>
            </w:r>
          </w:p>
        </w:tc>
      </w:tr>
      <w:tr w:rsidR="00C02C3D" w:rsidRPr="00F27A03" w14:paraId="21A35260" w14:textId="77777777" w:rsidTr="00D0587E">
        <w:trPr>
          <w:trHeight w:val="227"/>
        </w:trPr>
        <w:tc>
          <w:tcPr>
            <w:tcW w:w="2376" w:type="pct"/>
            <w:shd w:val="clear" w:color="auto" w:fill="auto"/>
            <w:noWrap/>
            <w:vAlign w:val="bottom"/>
            <w:hideMark/>
          </w:tcPr>
          <w:p w14:paraId="68DCFB46" w14:textId="77777777" w:rsidR="00C02C3D" w:rsidRPr="00F27A03" w:rsidRDefault="00C02C3D" w:rsidP="00CE729E">
            <w:pPr>
              <w:spacing w:after="0" w:line="240" w:lineRule="auto"/>
              <w:ind w:left="255" w:hanging="360"/>
              <w:rPr>
                <w:rFonts w:cstheme="minorHAnsi"/>
                <w:color w:val="002060"/>
                <w:sz w:val="18"/>
                <w:lang w:val="sr-Cyrl-CS"/>
              </w:rPr>
            </w:pPr>
            <w:r w:rsidRPr="00F27A03">
              <w:rPr>
                <w:rFonts w:cstheme="minorHAnsi"/>
                <w:color w:val="002060"/>
                <w:sz w:val="18"/>
                <w:lang w:val="sr-Cyrl-CS"/>
              </w:rPr>
              <w:t>Бруто дуг опште државе, % БДП</w:t>
            </w:r>
          </w:p>
        </w:tc>
        <w:tc>
          <w:tcPr>
            <w:tcW w:w="656" w:type="pct"/>
            <w:shd w:val="clear" w:color="auto" w:fill="auto"/>
            <w:noWrap/>
            <w:vAlign w:val="center"/>
            <w:hideMark/>
          </w:tcPr>
          <w:p w14:paraId="00A091E3"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95,6</w:t>
            </w:r>
          </w:p>
        </w:tc>
        <w:tc>
          <w:tcPr>
            <w:tcW w:w="656" w:type="pct"/>
            <w:shd w:val="clear" w:color="auto" w:fill="auto"/>
            <w:noWrap/>
            <w:vAlign w:val="center"/>
            <w:hideMark/>
          </w:tcPr>
          <w:p w14:paraId="2B0962B2"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92,3</w:t>
            </w:r>
          </w:p>
        </w:tc>
        <w:tc>
          <w:tcPr>
            <w:tcW w:w="656" w:type="pct"/>
            <w:shd w:val="clear" w:color="auto" w:fill="auto"/>
            <w:noWrap/>
            <w:vAlign w:val="center"/>
            <w:hideMark/>
          </w:tcPr>
          <w:p w14:paraId="221C071B"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90,7</w:t>
            </w:r>
          </w:p>
        </w:tc>
        <w:tc>
          <w:tcPr>
            <w:tcW w:w="656" w:type="pct"/>
            <w:shd w:val="clear" w:color="auto" w:fill="auto"/>
            <w:noWrap/>
            <w:vAlign w:val="center"/>
            <w:hideMark/>
          </w:tcPr>
          <w:p w14:paraId="28495DE1"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89,9</w:t>
            </w:r>
          </w:p>
        </w:tc>
      </w:tr>
      <w:tr w:rsidR="00C02C3D" w:rsidRPr="00F27A03" w14:paraId="07E2EFE7" w14:textId="77777777" w:rsidTr="00D0587E">
        <w:trPr>
          <w:trHeight w:val="227"/>
        </w:trPr>
        <w:tc>
          <w:tcPr>
            <w:tcW w:w="2376" w:type="pct"/>
            <w:tcBorders>
              <w:bottom w:val="single" w:sz="4" w:space="0" w:color="002060"/>
            </w:tcBorders>
            <w:shd w:val="clear" w:color="auto" w:fill="auto"/>
            <w:noWrap/>
            <w:vAlign w:val="bottom"/>
            <w:hideMark/>
          </w:tcPr>
          <w:p w14:paraId="119BEF9A" w14:textId="77777777" w:rsidR="00C02C3D" w:rsidRPr="00F27A03" w:rsidRDefault="00C02C3D" w:rsidP="00CE729E">
            <w:pPr>
              <w:spacing w:after="0" w:line="240" w:lineRule="auto"/>
              <w:ind w:left="255" w:hanging="360"/>
              <w:rPr>
                <w:rFonts w:cstheme="minorHAnsi"/>
                <w:color w:val="002060"/>
                <w:sz w:val="18"/>
                <w:lang w:val="sr-Cyrl-CS"/>
              </w:rPr>
            </w:pPr>
            <w:r w:rsidRPr="00F27A03">
              <w:rPr>
                <w:rFonts w:cstheme="minorHAnsi"/>
                <w:color w:val="002060"/>
                <w:sz w:val="18"/>
                <w:lang w:val="sr-Cyrl-CS"/>
              </w:rPr>
              <w:t>Салдо текућег рачуна, % БДП</w:t>
            </w:r>
          </w:p>
        </w:tc>
        <w:tc>
          <w:tcPr>
            <w:tcW w:w="656" w:type="pct"/>
            <w:tcBorders>
              <w:bottom w:val="single" w:sz="4" w:space="0" w:color="002060"/>
            </w:tcBorders>
            <w:shd w:val="clear" w:color="auto" w:fill="auto"/>
            <w:noWrap/>
            <w:vAlign w:val="center"/>
            <w:hideMark/>
          </w:tcPr>
          <w:p w14:paraId="2643A40D"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2,4</w:t>
            </w:r>
          </w:p>
        </w:tc>
        <w:tc>
          <w:tcPr>
            <w:tcW w:w="656" w:type="pct"/>
            <w:tcBorders>
              <w:bottom w:val="single" w:sz="4" w:space="0" w:color="002060"/>
            </w:tcBorders>
            <w:shd w:val="clear" w:color="auto" w:fill="auto"/>
            <w:noWrap/>
            <w:vAlign w:val="center"/>
            <w:hideMark/>
          </w:tcPr>
          <w:p w14:paraId="0BF9524B"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-0,3</w:t>
            </w:r>
          </w:p>
        </w:tc>
        <w:tc>
          <w:tcPr>
            <w:tcW w:w="656" w:type="pct"/>
            <w:tcBorders>
              <w:bottom w:val="single" w:sz="4" w:space="0" w:color="002060"/>
            </w:tcBorders>
            <w:shd w:val="clear" w:color="auto" w:fill="auto"/>
            <w:noWrap/>
            <w:vAlign w:val="center"/>
            <w:hideMark/>
          </w:tcPr>
          <w:p w14:paraId="76D6AE9E"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-0,5</w:t>
            </w:r>
          </w:p>
        </w:tc>
        <w:tc>
          <w:tcPr>
            <w:tcW w:w="656" w:type="pct"/>
            <w:tcBorders>
              <w:bottom w:val="single" w:sz="4" w:space="0" w:color="002060"/>
            </w:tcBorders>
            <w:shd w:val="clear" w:color="auto" w:fill="auto"/>
            <w:noWrap/>
            <w:vAlign w:val="center"/>
            <w:hideMark/>
          </w:tcPr>
          <w:p w14:paraId="24F5E1C4" w14:textId="77777777" w:rsidR="00C02C3D" w:rsidRPr="00F27A03" w:rsidRDefault="00C02C3D" w:rsidP="0065412F">
            <w:pPr>
              <w:spacing w:after="0" w:line="240" w:lineRule="auto"/>
              <w:jc w:val="center"/>
              <w:rPr>
                <w:rFonts w:cstheme="minorHAnsi"/>
                <w:color w:val="002060"/>
                <w:sz w:val="18"/>
                <w:lang w:val="sr-Cyrl-CS"/>
              </w:rPr>
            </w:pPr>
            <w:r w:rsidRPr="00F27A03">
              <w:rPr>
                <w:rFonts w:cstheme="minorHAnsi"/>
                <w:color w:val="002060"/>
                <w:sz w:val="18"/>
                <w:lang w:val="sr-Cyrl-CS"/>
              </w:rPr>
              <w:t>0,1</w:t>
            </w:r>
          </w:p>
        </w:tc>
      </w:tr>
    </w:tbl>
    <w:p w14:paraId="281A2046" w14:textId="77777777" w:rsidR="00C02C3D" w:rsidRPr="00F27A03" w:rsidRDefault="00C02C3D" w:rsidP="0065412F">
      <w:pPr>
        <w:spacing w:before="40" w:after="0"/>
        <w:rPr>
          <w:sz w:val="16"/>
          <w:lang w:val="sr-Cyrl-CS"/>
        </w:rPr>
      </w:pPr>
      <w:r w:rsidRPr="00F27A03">
        <w:rPr>
          <w:sz w:val="16"/>
          <w:lang w:val="sr-Cyrl-CS"/>
        </w:rPr>
        <w:t>Извор: Макроекономске пројекције стручњака ЕЦБ за подручје еврозоне, септембар 2022.</w:t>
      </w:r>
    </w:p>
    <w:p w14:paraId="0D54EF7B" w14:textId="77777777" w:rsidR="00C02C3D" w:rsidRPr="00F27A03" w:rsidRDefault="00C02C3D" w:rsidP="0065412F">
      <w:pPr>
        <w:spacing w:after="0"/>
        <w:rPr>
          <w:sz w:val="16"/>
          <w:lang w:val="sr-Cyrl-CS"/>
        </w:rPr>
      </w:pPr>
    </w:p>
    <w:p w14:paraId="0E73F131" w14:textId="77777777" w:rsidR="00C02C3D" w:rsidRPr="00F27A03" w:rsidRDefault="00C02C3D" w:rsidP="0065412F">
      <w:pPr>
        <w:spacing w:after="0"/>
        <w:rPr>
          <w:rFonts w:cstheme="minorHAnsi"/>
          <w:bCs/>
          <w:color w:val="auto"/>
          <w:szCs w:val="72"/>
          <w:lang w:val="sr-Cyrl-CS"/>
        </w:rPr>
        <w:sectPr w:rsidR="00C02C3D" w:rsidRPr="00F27A03" w:rsidSect="0065412F">
          <w:footerReference w:type="default" r:id="rId33"/>
          <w:type w:val="continuous"/>
          <w:pgSz w:w="12240" w:h="15840" w:code="1"/>
          <w:pgMar w:top="1440" w:right="1440" w:bottom="1440" w:left="1440" w:header="720" w:footer="720" w:gutter="0"/>
          <w:cols w:space="720"/>
          <w:docGrid w:linePitch="360"/>
        </w:sectPr>
      </w:pPr>
    </w:p>
    <w:p w14:paraId="10F89E6D" w14:textId="77777777" w:rsidR="00C02C3D" w:rsidRPr="00F27A03" w:rsidRDefault="00C02C3D" w:rsidP="0065412F">
      <w:pPr>
        <w:rPr>
          <w:rFonts w:cstheme="minorHAnsi"/>
          <w:bCs/>
          <w:szCs w:val="72"/>
          <w:lang w:val="sr-Cyrl-CS"/>
        </w:rPr>
      </w:pPr>
      <w:r w:rsidRPr="00F27A03">
        <w:rPr>
          <w:rFonts w:cstheme="minorHAnsi"/>
          <w:bCs/>
          <w:szCs w:val="72"/>
          <w:lang w:val="sr-Cyrl-CS"/>
        </w:rPr>
        <w:t xml:space="preserve">Пројекције ЕЦБ заснивају се на претпоставкама да ће потражња за гасом бити умањена због мера предострожности за уштеду енергије и високих цена, као и да неће бити потребна већа рационализација гаса од очекиване. Међутим, </w:t>
      </w:r>
      <w:r w:rsidRPr="00F27A03">
        <w:rPr>
          <w:rStyle w:val="rynqvb"/>
          <w:lang w:val="sr-Cyrl-CS"/>
        </w:rPr>
        <w:t>неизвесност</w:t>
      </w:r>
      <w:r w:rsidRPr="00F27A03">
        <w:rPr>
          <w:lang w:val="sr-Cyrl-CS"/>
        </w:rPr>
        <w:t xml:space="preserve"> у погледу остваривања пројекција је </w:t>
      </w:r>
      <w:r w:rsidRPr="00F27A03">
        <w:rPr>
          <w:rStyle w:val="rynqvb"/>
          <w:lang w:val="sr-Cyrl-CS"/>
        </w:rPr>
        <w:t>врло изражена, а</w:t>
      </w:r>
      <w:r w:rsidRPr="00F27A03">
        <w:rPr>
          <w:rStyle w:val="hwtze"/>
          <w:lang w:val="sr-Cyrl-CS"/>
        </w:rPr>
        <w:t xml:space="preserve"> н</w:t>
      </w:r>
      <w:r w:rsidRPr="00F27A03">
        <w:rPr>
          <w:rStyle w:val="rynqvb"/>
          <w:lang w:val="sr-Cyrl-CS"/>
        </w:rPr>
        <w:t>арочито краткорочно гледано, будући да инфлациона кретања снажно зависе од цена енергената које су у последње време биле веома променљиве.</w:t>
      </w:r>
      <w:r w:rsidRPr="00F27A03">
        <w:rPr>
          <w:rStyle w:val="hwtze"/>
          <w:lang w:val="sr-Cyrl-CS"/>
        </w:rPr>
        <w:t xml:space="preserve"> </w:t>
      </w:r>
      <w:r w:rsidRPr="00F27A03">
        <w:rPr>
          <w:rStyle w:val="rynqvb"/>
          <w:lang w:val="sr-Cyrl-CS"/>
        </w:rPr>
        <w:t>Кључни ризик по изгледе еврозоне односи се на могућност озбиљнијих поремећаја у снабдевању енергијом, што би у комбинацији са хладном зимом, могло довести до даљих скокова цена енергената и озбиљнијег смањења производње.</w:t>
      </w:r>
    </w:p>
    <w:p w14:paraId="2CE262DD" w14:textId="77777777" w:rsidR="00C02C3D" w:rsidRPr="00F27A03" w:rsidRDefault="00C02C3D" w:rsidP="0065412F">
      <w:pPr>
        <w:rPr>
          <w:rStyle w:val="jlqj4b"/>
          <w:rFonts w:cstheme="minorHAnsi"/>
          <w:bCs/>
          <w:spacing w:val="-2"/>
          <w:szCs w:val="72"/>
          <w:lang w:val="sr-Cyrl-CS"/>
        </w:rPr>
      </w:pPr>
      <w:r w:rsidRPr="00F27A03">
        <w:rPr>
          <w:rFonts w:cstheme="minorHAnsi"/>
          <w:bCs/>
          <w:spacing w:val="-2"/>
          <w:szCs w:val="72"/>
          <w:lang w:val="sr-Cyrl-CS"/>
        </w:rPr>
        <w:t>У целини посматрано не очекује се значајнија погоршања на тржишту рада, али се претпоставља да ће доћи до извесних прилагођавања, попут смањења броја радних сати и благог повећања стопе незапослености.</w:t>
      </w:r>
    </w:p>
    <w:p w14:paraId="03F772A9" w14:textId="77777777" w:rsidR="00C02C3D" w:rsidRPr="00F27A03" w:rsidRDefault="00C02C3D" w:rsidP="0065412F">
      <w:pPr>
        <w:rPr>
          <w:lang w:val="sr-Cyrl-CS"/>
        </w:rPr>
      </w:pPr>
      <w:r w:rsidRPr="00F27A03">
        <w:rPr>
          <w:rStyle w:val="jlqj4b"/>
          <w:lang w:val="sr-Cyrl-CS"/>
        </w:rPr>
        <w:t xml:space="preserve">Након изразито експанзивне фискалне политике током 2020. године и смањења подршке у 2021. </w:t>
      </w:r>
      <w:r w:rsidRPr="00F27A03">
        <w:rPr>
          <w:rStyle w:val="jlqj4b"/>
          <w:lang w:val="sr-Cyrl-CS"/>
        </w:rPr>
        <w:t>години очекује се даље пооштравање фискалне политике у наредном периоду. Заокрет у фискалној политици наступиће због укидања мера помоћи уведених као подршка у борби против пандемије и смањењу мера подршке због високих цена енергената. Након значајног фискалног дефицита у 2020. и 2021. години од 7,1% и 5,1% БДП, респективно, предвиђа се постепено побољшање фискалног биланса еврозоне на -3,8% БДП у 2022. години, односно -2,9% БДП у 2023. години. Удео дуга у БДП у еврозони је, након раста у 2020. години, смањен на 95,6% БДП у 2021. години, уз очекивану силазну путању у средњорочном периоду.</w:t>
      </w:r>
    </w:p>
    <w:p w14:paraId="46F65D9D" w14:textId="77777777" w:rsidR="00C02C3D" w:rsidRPr="00F27A03" w:rsidRDefault="00C02C3D" w:rsidP="0065412F">
      <w:pPr>
        <w:spacing w:after="360"/>
        <w:rPr>
          <w:rStyle w:val="jlqj4b"/>
          <w:lang w:val="sr-Cyrl-CS"/>
        </w:rPr>
      </w:pPr>
      <w:r w:rsidRPr="00F27A03">
        <w:rPr>
          <w:rStyle w:val="jlqj4b"/>
          <w:lang w:val="sr-Cyrl-CS"/>
        </w:rPr>
        <w:t>ЕЦБ је на састанку у октобру 2022. године подигла референтну каматну стопу на ниво од 2,00%, док је каматну стопу на кредитне и депозитне олакшице подигла на 2,25% и 1,50%, респективно. Очекује се да ће савет гувернера ЕЦБ у наредним месецима подизати референтне каматне стопе, како би се инфлација нормализовала на циљаних 2,0% у средњорочном периоду.</w:t>
      </w:r>
    </w:p>
    <w:p w14:paraId="74722DEB" w14:textId="77777777" w:rsidR="00C02C3D" w:rsidRPr="00F27A03" w:rsidRDefault="00C02C3D" w:rsidP="0065412F">
      <w:pPr>
        <w:rPr>
          <w:sz w:val="16"/>
          <w:lang w:val="sr-Cyrl-CS"/>
        </w:rPr>
        <w:sectPr w:rsidR="00C02C3D" w:rsidRPr="00F27A03" w:rsidSect="0065412F">
          <w:type w:val="continuous"/>
          <w:pgSz w:w="12240" w:h="15840" w:code="1"/>
          <w:pgMar w:top="1440" w:right="1440" w:bottom="1440" w:left="1440" w:header="720" w:footer="720" w:gutter="0"/>
          <w:cols w:num="2" w:space="720"/>
          <w:docGrid w:linePitch="360"/>
        </w:sectPr>
      </w:pPr>
    </w:p>
    <w:p w14:paraId="6D5C23D8" w14:textId="77777777" w:rsidR="00C02C3D" w:rsidRPr="00F27A03" w:rsidRDefault="00C02C3D">
      <w:pPr>
        <w:jc w:val="left"/>
        <w:rPr>
          <w:lang w:val="sr-Cyrl-CS"/>
        </w:rPr>
      </w:pPr>
      <w:r w:rsidRPr="00F27A03">
        <w:rPr>
          <w:lang w:val="sr-Cyrl-CS"/>
        </w:rPr>
        <w:br w:type="page"/>
      </w:r>
    </w:p>
    <w:p w14:paraId="02D7F7EE" w14:textId="77777777" w:rsidR="00C02C3D" w:rsidRPr="00F27A03" w:rsidRDefault="00C02C3D" w:rsidP="001476C8">
      <w:pPr>
        <w:pStyle w:val="Heading2"/>
        <w:jc w:val="center"/>
        <w:rPr>
          <w:rFonts w:asciiTheme="minorHAnsi" w:hAnsiTheme="minorHAnsi" w:cstheme="minorHAnsi"/>
          <w:b/>
          <w:sz w:val="24"/>
          <w:lang w:val="sr-Cyrl-CS"/>
        </w:rPr>
      </w:pPr>
      <w:bookmarkStart w:id="4" w:name="_Toc530041994"/>
      <w:bookmarkStart w:id="5" w:name="_Toc23342462"/>
      <w:bookmarkStart w:id="6" w:name="_Toc119326591"/>
      <w:r w:rsidRPr="00F27A03">
        <w:rPr>
          <w:rFonts w:asciiTheme="minorHAnsi" w:hAnsiTheme="minorHAnsi" w:cstheme="minorHAnsi"/>
          <w:b/>
          <w:sz w:val="24"/>
          <w:lang w:val="sr-Cyrl-CS"/>
        </w:rPr>
        <w:lastRenderedPageBreak/>
        <w:t>3. Текућа макроекономска кретања у Републици Србији и изгледи</w:t>
      </w:r>
      <w:r w:rsidRPr="00F27A03">
        <w:rPr>
          <w:rFonts w:asciiTheme="minorHAnsi" w:hAnsiTheme="minorHAnsi" w:cstheme="minorHAnsi"/>
          <w:b/>
          <w:sz w:val="24"/>
          <w:lang w:val="sr-Cyrl-CS"/>
        </w:rPr>
        <w:br w:type="textWrapping" w:clear="all"/>
        <w:t>за период 2023–2025. године</w:t>
      </w:r>
      <w:bookmarkEnd w:id="4"/>
      <w:bookmarkEnd w:id="5"/>
      <w:bookmarkEnd w:id="6"/>
    </w:p>
    <w:p w14:paraId="324F0CA6" w14:textId="77777777" w:rsidR="00C02C3D" w:rsidRPr="00F27A03" w:rsidRDefault="00C02C3D" w:rsidP="00B435B3">
      <w:pPr>
        <w:rPr>
          <w:lang w:val="sr-Cyrl-CS"/>
        </w:rPr>
      </w:pPr>
      <w:r w:rsidRPr="00F27A03">
        <w:rPr>
          <w:rFonts w:cstheme="minorHAnsi"/>
          <w:noProof/>
          <w:color w:val="FF0000"/>
          <w:lang w:val="sr-Cyrl-RS" w:eastAsia="sr-Cyrl-RS"/>
        </w:rPr>
        <mc:AlternateContent>
          <mc:Choice Requires="wps">
            <w:drawing>
              <wp:anchor distT="0" distB="0" distL="114300" distR="114300" simplePos="0" relativeHeight="251673088" behindDoc="1" locked="0" layoutInCell="1" allowOverlap="1" wp14:anchorId="2378512A" wp14:editId="59CE8D4D">
                <wp:simplePos x="0" y="0"/>
                <wp:positionH relativeFrom="margin">
                  <wp:align>center</wp:align>
                </wp:positionH>
                <wp:positionV relativeFrom="paragraph">
                  <wp:posOffset>158496</wp:posOffset>
                </wp:positionV>
                <wp:extent cx="6334760" cy="7585862"/>
                <wp:effectExtent l="0" t="0" r="8890" b="0"/>
                <wp:wrapNone/>
                <wp:docPr id="65" name="Rectangle 65"/>
                <wp:cNvGraphicFramePr/>
                <a:graphic xmlns:a="http://schemas.openxmlformats.org/drawingml/2006/main">
                  <a:graphicData uri="http://schemas.microsoft.com/office/word/2010/wordprocessingShape">
                    <wps:wsp>
                      <wps:cNvSpPr/>
                      <wps:spPr>
                        <a:xfrm>
                          <a:off x="0" y="0"/>
                          <a:ext cx="6334760" cy="7585862"/>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D5A50A" id="Rectangle 65" o:spid="_x0000_s1026" style="position:absolute;margin-left:0;margin-top:12.5pt;width:498.8pt;height:597.3pt;z-index:-2516433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" fillcolor="#d8d8d8 [2732]" stroked="f" strokeweight="1pt">
                <v:fill r:id="rId21" o:title="" color2="white [3212]" type="pattern"/>
                <w10:wrap anchorx="margin"/>
              </v:rect>
            </w:pict>
          </mc:Fallback>
        </mc:AlternateContent>
      </w:r>
    </w:p>
    <w:p w14:paraId="1DA51613" w14:textId="77777777" w:rsidR="00C02C3D" w:rsidRPr="00F27A03" w:rsidRDefault="00C02C3D" w:rsidP="00B435B3">
      <w:pPr>
        <w:rPr>
          <w:lang w:val="sr-Cyrl-CS"/>
        </w:rPr>
        <w:sectPr w:rsidR="00C02C3D" w:rsidRPr="00F27A03" w:rsidSect="008527D6">
          <w:headerReference w:type="even" r:id="rId34"/>
          <w:headerReference w:type="default" r:id="rId35"/>
          <w:footerReference w:type="even" r:id="rId36"/>
          <w:footerReference w:type="default" r:id="rId37"/>
          <w:type w:val="continuous"/>
          <w:pgSz w:w="12240" w:h="15840" w:code="1"/>
          <w:pgMar w:top="1440" w:right="1440" w:bottom="1440" w:left="1440" w:header="720" w:footer="720" w:gutter="0"/>
          <w:cols w:space="720"/>
          <w:docGrid w:linePitch="360"/>
        </w:sectPr>
      </w:pPr>
    </w:p>
    <w:p w14:paraId="614C923E" w14:textId="77777777" w:rsidR="00C02C3D" w:rsidRPr="00F27A03" w:rsidRDefault="00C02C3D" w:rsidP="008527D6">
      <w:pPr>
        <w:rPr>
          <w:rFonts w:cstheme="minorHAnsi"/>
          <w:bCs/>
          <w:color w:val="0070C0"/>
          <w:spacing w:val="-2"/>
          <w:szCs w:val="72"/>
          <w:lang w:val="sr-Cyrl-CS"/>
        </w:rPr>
      </w:pPr>
      <w:r w:rsidRPr="00F27A03">
        <w:rPr>
          <w:rFonts w:cstheme="minorHAnsi"/>
          <w:bCs/>
          <w:color w:val="0070C0"/>
          <w:spacing w:val="-2"/>
          <w:szCs w:val="72"/>
          <w:lang w:val="sr-Cyrl-CS"/>
        </w:rPr>
        <w:t>Србија се као и друге земље суочава се негативним економским последицама конфликта у Украјини. Иако су макроекономска кретања почетком 2022. године била на нивоу очекиваних, заоштравање међународних економских и политичких односа, праћени наглим скоком цена енергената и последично смањеној глобалној трговини и спољној тражњи почела су да се преливају и на домаћу економију. Материјализација ризика датих у јунској Фискалној стратегији у погледу дуготрајнијих геополитичких напетости, додатних финансијских поремећаја и трајније неизвесности утицала је на слабије економске изгледе.</w:t>
      </w:r>
    </w:p>
    <w:p w14:paraId="51934F55" w14:textId="77777777" w:rsidR="00C02C3D" w:rsidRPr="00F27A03" w:rsidRDefault="00C02C3D" w:rsidP="008527D6">
      <w:pPr>
        <w:rPr>
          <w:rFonts w:cstheme="minorHAnsi"/>
          <w:bCs/>
          <w:color w:val="0070C0"/>
          <w:szCs w:val="72"/>
          <w:lang w:val="sr-Cyrl-CS"/>
        </w:rPr>
      </w:pPr>
      <w:r w:rsidRPr="00F27A03">
        <w:rPr>
          <w:rFonts w:cstheme="minorHAnsi"/>
          <w:bCs/>
          <w:color w:val="0070C0"/>
          <w:szCs w:val="72"/>
          <w:lang w:val="sr-Cyrl-CS"/>
        </w:rPr>
        <w:t>Економска активност је почетком 2022. године бележила солидну динамику, али је под утицајем дешавања у међународном окружењу почела значајно да успорава током трећег квартала у коме је остварен међугодишњи раст БДП од 1,1%, што представља најнижу стопу у постпандемијском периоду. Успорена динамика инвестиција и растућа инфлација, уз повећану неизвесност и смањену спољну тражњу као последица економског утицаја сукоба у Украјини главни су фактори који утичу на успоравање домаће привредне динамике. У складу са тим раст БДП у 2022. години ревидиран је наниже у односу на претходна очекивања, и то на по 2,5% у 2022. и 2023. години.</w:t>
      </w:r>
    </w:p>
    <w:p w14:paraId="1B573E8E" w14:textId="77777777" w:rsidR="00C02C3D" w:rsidRPr="00F27A03" w:rsidRDefault="00C02C3D" w:rsidP="008527D6">
      <w:pPr>
        <w:rPr>
          <w:rFonts w:cstheme="minorHAnsi"/>
          <w:bCs/>
          <w:color w:val="0070C0"/>
          <w:szCs w:val="72"/>
          <w:lang w:val="sr-Cyrl-CS"/>
        </w:rPr>
      </w:pPr>
      <w:r w:rsidRPr="00F27A03">
        <w:rPr>
          <w:rFonts w:cstheme="minorHAnsi"/>
          <w:bCs/>
          <w:color w:val="0070C0"/>
          <w:szCs w:val="72"/>
          <w:lang w:val="sr-Cyrl-CS"/>
        </w:rPr>
        <w:t>Раст инфлације за који се првобитно очекивало да ће бити привременог карактера као последица постепеног ишчезавања ефеката пандемије, додатно је убрзан, пре свега услед раста глобалних цена хране и енергената изазваних сукобом у Украјини. Под утицајем ових фактора, према актуелној процени очекује се већи раст потрошачких цена и у Србији у поређењу са претходном проценом, који би требао да износи 11,6% у 2022. години, односно 11,1% у 2023. години.</w:t>
      </w:r>
    </w:p>
    <w:p w14:paraId="7D079CC8" w14:textId="030319FD" w:rsidR="00C02C3D" w:rsidRPr="00F27A03" w:rsidRDefault="00C02C3D" w:rsidP="0065412F">
      <w:pPr>
        <w:rPr>
          <w:rFonts w:cstheme="minorHAnsi"/>
          <w:bCs/>
          <w:color w:val="0070C0"/>
          <w:szCs w:val="72"/>
          <w:lang w:val="sr-Cyrl-CS"/>
        </w:rPr>
      </w:pPr>
      <w:r w:rsidRPr="00F27A03">
        <w:rPr>
          <w:rFonts w:cstheme="minorHAnsi"/>
          <w:bCs/>
          <w:color w:val="0070C0"/>
          <w:szCs w:val="72"/>
          <w:lang w:val="sr-Cyrl-CS"/>
        </w:rPr>
        <w:t xml:space="preserve">Рекордне цена енергената уз раст увезених количина у циљу очувања сигурности снабдевања </w:t>
      </w:r>
      <w:r w:rsidRPr="00F27A03">
        <w:rPr>
          <w:rFonts w:cstheme="minorHAnsi"/>
          <w:bCs/>
          <w:color w:val="0070C0"/>
          <w:szCs w:val="72"/>
          <w:lang w:val="sr-Cyrl-CS"/>
        </w:rPr>
        <w:t>домаће привреде и становништва, одразила су се и на платнобилансна кретања. Само у првих девет месеци 2022. године увоз ене</w:t>
      </w:r>
      <w:r w:rsidR="006B75EF" w:rsidRPr="00F27A03">
        <w:rPr>
          <w:rFonts w:cstheme="minorHAnsi"/>
          <w:bCs/>
          <w:color w:val="0070C0"/>
          <w:szCs w:val="72"/>
          <w:lang w:val="sr-Cyrl-CS"/>
        </w:rPr>
        <w:t>ргената био је већи за 2,5 млрд</w:t>
      </w:r>
      <w:r w:rsidRPr="00F27A03">
        <w:rPr>
          <w:rFonts w:cstheme="minorHAnsi"/>
          <w:bCs/>
          <w:color w:val="0070C0"/>
          <w:szCs w:val="72"/>
          <w:lang w:val="sr-Cyrl-CS"/>
        </w:rPr>
        <w:t xml:space="preserve"> евра него у истом периоду претходне године. Очекује се да ће дефицит текућег рачуна платног биланса достићи ниво од 9% БДП у 2022. години, да би потом са опоравком спољне тражње и падом цена енергената дошло до његовог постепеног смањења.</w:t>
      </w:r>
    </w:p>
    <w:p w14:paraId="2816A4A3" w14:textId="77777777" w:rsidR="00C02C3D" w:rsidRPr="00F27A03" w:rsidRDefault="00C02C3D" w:rsidP="008527D6">
      <w:pPr>
        <w:rPr>
          <w:rFonts w:cstheme="minorHAnsi"/>
          <w:bCs/>
          <w:color w:val="0070C0"/>
          <w:szCs w:val="72"/>
          <w:lang w:val="sr-Cyrl-CS"/>
        </w:rPr>
      </w:pPr>
      <w:r w:rsidRPr="00F27A03">
        <w:rPr>
          <w:rFonts w:cstheme="minorHAnsi"/>
          <w:bCs/>
          <w:color w:val="0070C0"/>
          <w:szCs w:val="72"/>
          <w:lang w:val="sr-Cyrl-CS"/>
        </w:rPr>
        <w:t>Фискална интервенција, односно буџетска подршка пре свега енергетском сектору, није угрозила одрживост јавних финансија. Боља наплата прихода, пре свега пореских, одразила се на очување фискалне стабилности.</w:t>
      </w:r>
    </w:p>
    <w:p w14:paraId="07B6BDFC" w14:textId="77777777" w:rsidR="00C02C3D" w:rsidRPr="00F27A03" w:rsidRDefault="00C02C3D" w:rsidP="008527D6">
      <w:pPr>
        <w:rPr>
          <w:rFonts w:cstheme="minorHAnsi"/>
          <w:bCs/>
          <w:color w:val="0070C0"/>
          <w:szCs w:val="72"/>
          <w:lang w:val="sr-Cyrl-CS"/>
        </w:rPr>
      </w:pPr>
      <w:r w:rsidRPr="00F27A03">
        <w:rPr>
          <w:rFonts w:cstheme="minorHAnsi"/>
          <w:bCs/>
          <w:color w:val="0070C0"/>
          <w:szCs w:val="72"/>
          <w:lang w:val="sr-Cyrl-CS"/>
        </w:rPr>
        <w:t>Неизвесност присутна код пројекција датих у овом документу остаје далеко већа од уобичајене због природе и обима шокова на глобалном нивоу.</w:t>
      </w:r>
      <w:r w:rsidRPr="00F27A03">
        <w:rPr>
          <w:color w:val="0070C0"/>
          <w:lang w:val="sr-Cyrl-CS"/>
        </w:rPr>
        <w:t xml:space="preserve"> </w:t>
      </w:r>
      <w:r w:rsidRPr="00F27A03">
        <w:rPr>
          <w:rFonts w:cstheme="minorHAnsi"/>
          <w:bCs/>
          <w:color w:val="0070C0"/>
          <w:szCs w:val="72"/>
          <w:lang w:val="sr-Cyrl-CS"/>
        </w:rPr>
        <w:t>Ризици макроекономског оквира у највећој мери потичу од неизвесности у погледу развоја ситуације у Украјини и утицаја нових међународних економских и политичких односа.</w:t>
      </w:r>
      <w:r w:rsidRPr="00F27A03">
        <w:rPr>
          <w:color w:val="0070C0"/>
          <w:lang w:val="sr-Cyrl-CS"/>
        </w:rPr>
        <w:t xml:space="preserve"> </w:t>
      </w:r>
      <w:r w:rsidRPr="00F27A03">
        <w:rPr>
          <w:rFonts w:cstheme="minorHAnsi"/>
          <w:bCs/>
          <w:color w:val="0070C0"/>
          <w:szCs w:val="72"/>
          <w:lang w:val="sr-Cyrl-CS"/>
        </w:rPr>
        <w:t>Кретања цена енергената, глобална ограничења трговине, као и већа неизвесност у односу на тренутна очекивања могу имати и већи утицај на домаћу економију.</w:t>
      </w:r>
    </w:p>
    <w:p w14:paraId="08A32BF1" w14:textId="77777777" w:rsidR="00C02C3D" w:rsidRPr="00F27A03" w:rsidRDefault="00C02C3D" w:rsidP="008527D6">
      <w:pPr>
        <w:rPr>
          <w:rFonts w:cstheme="minorHAnsi"/>
          <w:bCs/>
          <w:color w:val="0070C0"/>
          <w:szCs w:val="72"/>
          <w:lang w:val="sr-Cyrl-CS"/>
        </w:rPr>
      </w:pPr>
      <w:r w:rsidRPr="00F27A03">
        <w:rPr>
          <w:rFonts w:cstheme="minorHAnsi"/>
          <w:bCs/>
          <w:color w:val="0070C0"/>
          <w:szCs w:val="72"/>
          <w:lang w:val="sr-Cyrl-CS"/>
        </w:rPr>
        <w:t>Влада континуирано доноси мере које имају за циљ ублажавање последица изузетно неповољног утицаја међународног окружења на привреду и становништво и очување енергетске стабилности. Оваква оријентација остаће у фокусу креатора економске политике и у наредном периоду, а задржавање јавног дуга испод 60% биће и даље основно сидро за вођење фискалне политике. Планирана значајна улагања у енергетску инфраструктуру у великој мери ће допринети стабилности, а препозната је неопходност проналажења нових извора раста, па су иновације, истраживање и развој и креативне индустрије у сталном фокусу приликом дефинисања будућих политика.</w:t>
      </w:r>
    </w:p>
    <w:p w14:paraId="76D96349" w14:textId="77777777" w:rsidR="00C02C3D" w:rsidRPr="00F27A03" w:rsidRDefault="00C02C3D" w:rsidP="008527D6">
      <w:pPr>
        <w:rPr>
          <w:rFonts w:cstheme="minorHAnsi"/>
          <w:bCs/>
          <w:szCs w:val="72"/>
          <w:lang w:val="sr-Cyrl-CS"/>
        </w:rPr>
        <w:sectPr w:rsidR="00C02C3D" w:rsidRPr="00F27A03" w:rsidSect="00CE5657">
          <w:type w:val="continuous"/>
          <w:pgSz w:w="12240" w:h="15840"/>
          <w:pgMar w:top="1440" w:right="1440" w:bottom="1440" w:left="1440" w:header="720" w:footer="720" w:gutter="0"/>
          <w:cols w:num="2" w:space="720"/>
          <w:docGrid w:linePitch="360"/>
          <w15:footnoteColumns w:val="1"/>
        </w:sectPr>
      </w:pPr>
    </w:p>
    <w:p w14:paraId="0CC2E434" w14:textId="77777777" w:rsidR="00C02C3D" w:rsidRPr="00F27A03" w:rsidRDefault="00C02C3D" w:rsidP="0065412F">
      <w:pPr>
        <w:rPr>
          <w:lang w:val="sr-Cyrl-CS"/>
        </w:rPr>
      </w:pPr>
    </w:p>
    <w:p w14:paraId="2BB95BF5" w14:textId="77777777" w:rsidR="00C02C3D" w:rsidRPr="00F27A03" w:rsidRDefault="00C02C3D" w:rsidP="0065412F">
      <w:pPr>
        <w:rPr>
          <w:lang w:val="sr-Cyrl-CS"/>
        </w:rPr>
      </w:pPr>
    </w:p>
    <w:p w14:paraId="0109A145" w14:textId="77777777" w:rsidR="00C02C3D" w:rsidRPr="00F27A03" w:rsidRDefault="00C02C3D" w:rsidP="00B435B3">
      <w:pPr>
        <w:pStyle w:val="NoSpacing"/>
        <w:jc w:val="center"/>
        <w:rPr>
          <w:rFonts w:cstheme="minorHAnsi"/>
          <w:color w:val="002060"/>
          <w:spacing w:val="-6"/>
          <w:lang w:val="sr-Cyrl-CS"/>
        </w:rPr>
      </w:pPr>
      <w:r w:rsidRPr="00F27A03">
        <w:rPr>
          <w:rFonts w:cstheme="minorHAnsi"/>
          <w:color w:val="002060"/>
          <w:spacing w:val="-6"/>
          <w:lang w:val="sr-Cyrl-CS"/>
        </w:rPr>
        <w:lastRenderedPageBreak/>
        <w:t>Ревизија кретања основних макроекономских агрегата у односу на претходну Фискалну стратегију</w:t>
      </w:r>
    </w:p>
    <w:p w14:paraId="697C90AE" w14:textId="77777777" w:rsidR="00C02C3D" w:rsidRPr="00F27A03" w:rsidRDefault="00C02C3D" w:rsidP="00B435B3">
      <w:pPr>
        <w:spacing w:after="0"/>
        <w:rPr>
          <w:color w:val="002060"/>
          <w:sz w:val="10"/>
          <w:lang w:val="sr-Cyrl-CS"/>
        </w:rPr>
      </w:pPr>
    </w:p>
    <w:p w14:paraId="6AC76164" w14:textId="77777777" w:rsidR="00C02C3D" w:rsidRPr="00F27A03" w:rsidRDefault="00C02C3D" w:rsidP="00B435B3">
      <w:pPr>
        <w:jc w:val="center"/>
        <w:rPr>
          <w:b/>
          <w:color w:val="002060"/>
          <w:szCs w:val="21"/>
          <w:lang w:val="sr-Cyrl-CS"/>
        </w:rPr>
      </w:pPr>
      <w:r w:rsidRPr="00F27A03">
        <w:rPr>
          <w:b/>
          <w:color w:val="002060"/>
          <w:szCs w:val="21"/>
          <w:lang w:val="sr-Cyrl-CS"/>
        </w:rPr>
        <w:t>Реални раст БДП, %</w:t>
      </w:r>
    </w:p>
    <w:p w14:paraId="7DF01A22" w14:textId="77777777" w:rsidR="00C02C3D" w:rsidRPr="00F27A03" w:rsidRDefault="00C02C3D" w:rsidP="00B435B3">
      <w:pPr>
        <w:spacing w:after="0"/>
        <w:rPr>
          <w:lang w:val="sr-Cyrl-CS"/>
        </w:rPr>
      </w:pPr>
      <w:r w:rsidRPr="00F27A03">
        <w:rPr>
          <w:noProof/>
          <w:lang w:val="sr-Cyrl-RS" w:eastAsia="sr-Cyrl-RS"/>
        </w:rPr>
        <w:drawing>
          <wp:inline distT="0" distB="0" distL="0" distR="0" wp14:anchorId="640FA307" wp14:editId="46EE3E80">
            <wp:extent cx="1332000" cy="1224000"/>
            <wp:effectExtent l="0" t="0" r="0" b="0"/>
            <wp:docPr id="9" name="Chart 9">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F27A03">
        <w:rPr>
          <w:lang w:val="sr-Cyrl-CS"/>
        </w:rPr>
        <w:t xml:space="preserve">  </w:t>
      </w:r>
      <w:r w:rsidRPr="00F27A03">
        <w:rPr>
          <w:noProof/>
          <w:lang w:val="sr-Cyrl-RS" w:eastAsia="sr-Cyrl-RS"/>
        </w:rPr>
        <w:drawing>
          <wp:inline distT="0" distB="0" distL="0" distR="0" wp14:anchorId="3CE0911D" wp14:editId="0E2BCC7F">
            <wp:extent cx="1332000" cy="1224000"/>
            <wp:effectExtent l="0" t="0" r="0" b="0"/>
            <wp:docPr id="16" name="Chart 16">
              <a:extLst xmlns:a="http://schemas.openxmlformats.org/drawingml/2006/main">
                <a:ext uri="{FF2B5EF4-FFF2-40B4-BE49-F238E27FC236}">
                  <a16:creationId xmlns:a16="http://schemas.microsoft.com/office/drawing/2014/main" id="{00000000-0008-0000-0900-00002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F277E43" w14:textId="77777777" w:rsidR="00C02C3D" w:rsidRPr="00F27A03" w:rsidRDefault="00C02C3D" w:rsidP="00B435B3">
      <w:pPr>
        <w:spacing w:after="0"/>
        <w:rPr>
          <w:lang w:val="sr-Cyrl-CS"/>
        </w:rPr>
      </w:pPr>
    </w:p>
    <w:p w14:paraId="2923D08B" w14:textId="77777777" w:rsidR="00C02C3D" w:rsidRPr="00F27A03" w:rsidRDefault="00C02C3D" w:rsidP="008527D6">
      <w:pPr>
        <w:jc w:val="center"/>
        <w:rPr>
          <w:b/>
          <w:color w:val="002060"/>
          <w:szCs w:val="21"/>
          <w:lang w:val="sr-Cyrl-CS"/>
        </w:rPr>
      </w:pPr>
      <w:r w:rsidRPr="00F27A03">
        <w:rPr>
          <w:b/>
          <w:color w:val="002060"/>
          <w:szCs w:val="21"/>
          <w:lang w:val="sr-Cyrl-CS"/>
        </w:rPr>
        <w:t>Салдо текућег рачуна, % БДП</w:t>
      </w:r>
    </w:p>
    <w:p w14:paraId="5E04363E" w14:textId="77777777" w:rsidR="00C02C3D" w:rsidRPr="00F27A03" w:rsidRDefault="00C02C3D" w:rsidP="00B435B3">
      <w:pPr>
        <w:spacing w:after="0"/>
        <w:jc w:val="left"/>
        <w:rPr>
          <w:lang w:val="sr-Cyrl-CS"/>
        </w:rPr>
      </w:pPr>
      <w:r w:rsidRPr="00F27A03">
        <w:rPr>
          <w:noProof/>
          <w:lang w:val="sr-Cyrl-RS" w:eastAsia="sr-Cyrl-RS"/>
        </w:rPr>
        <w:drawing>
          <wp:inline distT="0" distB="0" distL="0" distR="0" wp14:anchorId="4150D823" wp14:editId="558092CD">
            <wp:extent cx="1332000" cy="1224000"/>
            <wp:effectExtent l="0" t="0" r="1905" b="0"/>
            <wp:docPr id="13" name="Chart 13">
              <a:extLst xmlns:a="http://schemas.openxmlformats.org/drawingml/2006/main">
                <a:ext uri="{FF2B5EF4-FFF2-40B4-BE49-F238E27FC236}">
                  <a16:creationId xmlns:a16="http://schemas.microsoft.com/office/drawing/2014/main" id="{00000000-0008-0000-0900-00002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F27A03">
        <w:rPr>
          <w:lang w:val="sr-Cyrl-CS"/>
        </w:rPr>
        <w:t xml:space="preserve">  </w:t>
      </w:r>
      <w:r w:rsidRPr="00F27A03">
        <w:rPr>
          <w:noProof/>
          <w:lang w:val="sr-Cyrl-RS" w:eastAsia="sr-Cyrl-RS"/>
        </w:rPr>
        <w:drawing>
          <wp:inline distT="0" distB="0" distL="0" distR="0" wp14:anchorId="408CA561" wp14:editId="6EB14B15">
            <wp:extent cx="1332000" cy="1224000"/>
            <wp:effectExtent l="0" t="0" r="1905" b="0"/>
            <wp:docPr id="17" name="Chart 17">
              <a:extLst xmlns:a="http://schemas.openxmlformats.org/drawingml/2006/main">
                <a:ext uri="{FF2B5EF4-FFF2-40B4-BE49-F238E27FC236}">
                  <a16:creationId xmlns:a16="http://schemas.microsoft.com/office/drawing/2014/main" id="{00000000-0008-0000-09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2A1C8E1" w14:textId="77777777" w:rsidR="00C02C3D" w:rsidRPr="00F27A03" w:rsidRDefault="00C02C3D" w:rsidP="00B435B3">
      <w:pPr>
        <w:spacing w:after="0"/>
        <w:rPr>
          <w:lang w:val="sr-Cyrl-CS"/>
        </w:rPr>
      </w:pPr>
    </w:p>
    <w:p w14:paraId="73A45034" w14:textId="77777777" w:rsidR="00C02C3D" w:rsidRPr="00F27A03" w:rsidRDefault="00C02C3D" w:rsidP="00B435B3">
      <w:pPr>
        <w:spacing w:after="0"/>
        <w:jc w:val="center"/>
        <w:rPr>
          <w:b/>
          <w:color w:val="002060"/>
          <w:szCs w:val="21"/>
          <w:lang w:val="sr-Cyrl-CS"/>
        </w:rPr>
      </w:pPr>
      <w:r w:rsidRPr="00F27A03">
        <w:rPr>
          <w:b/>
          <w:color w:val="002060"/>
          <w:szCs w:val="21"/>
          <w:lang w:val="sr-Cyrl-CS"/>
        </w:rPr>
        <w:t>Инфлација, просек периода, %</w:t>
      </w:r>
    </w:p>
    <w:p w14:paraId="01A5CD63" w14:textId="77777777" w:rsidR="00C02C3D" w:rsidRPr="00F27A03" w:rsidRDefault="00C02C3D" w:rsidP="00B435B3">
      <w:pPr>
        <w:spacing w:after="0"/>
        <w:rPr>
          <w:lang w:val="sr-Cyrl-CS"/>
        </w:rPr>
      </w:pPr>
      <w:r w:rsidRPr="00F27A03">
        <w:rPr>
          <w:noProof/>
          <w:lang w:val="sr-Cyrl-RS" w:eastAsia="sr-Cyrl-RS"/>
        </w:rPr>
        <w:drawing>
          <wp:inline distT="0" distB="0" distL="0" distR="0" wp14:anchorId="229A6475" wp14:editId="180CB1DA">
            <wp:extent cx="1332000" cy="1008000"/>
            <wp:effectExtent l="0" t="0" r="0" b="0"/>
            <wp:docPr id="14" name="Chart 14">
              <a:extLst xmlns:a="http://schemas.openxmlformats.org/drawingml/2006/main">
                <a:ext uri="{FF2B5EF4-FFF2-40B4-BE49-F238E27FC236}">
                  <a16:creationId xmlns:a16="http://schemas.microsoft.com/office/drawing/2014/main" id="{00000000-0008-0000-0900-00003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F27A03">
        <w:rPr>
          <w:lang w:val="sr-Cyrl-CS"/>
        </w:rPr>
        <w:t xml:space="preserve">  </w:t>
      </w:r>
      <w:r w:rsidRPr="00F27A03">
        <w:rPr>
          <w:noProof/>
          <w:lang w:val="sr-Cyrl-RS" w:eastAsia="sr-Cyrl-RS"/>
        </w:rPr>
        <w:drawing>
          <wp:inline distT="0" distB="0" distL="0" distR="0" wp14:anchorId="3A0FA767" wp14:editId="0595DE88">
            <wp:extent cx="1332000" cy="1008000"/>
            <wp:effectExtent l="0" t="0" r="0" b="0"/>
            <wp:docPr id="19" name="Chart 19">
              <a:extLst xmlns:a="http://schemas.openxmlformats.org/drawingml/2006/main">
                <a:ext uri="{FF2B5EF4-FFF2-40B4-BE49-F238E27FC236}">
                  <a16:creationId xmlns:a16="http://schemas.microsoft.com/office/drawing/2014/main" id="{00000000-0008-0000-0900-00003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0C4F10E" w14:textId="77777777" w:rsidR="00C02C3D" w:rsidRPr="00F27A03" w:rsidRDefault="00C02C3D" w:rsidP="008527D6">
      <w:pPr>
        <w:spacing w:after="120"/>
        <w:rPr>
          <w:rFonts w:cstheme="minorHAnsi"/>
          <w:szCs w:val="72"/>
          <w:lang w:val="sr-Cyrl-CS"/>
        </w:rPr>
      </w:pPr>
    </w:p>
    <w:p w14:paraId="2E6098BB" w14:textId="77777777" w:rsidR="00C02C3D" w:rsidRPr="00F27A03" w:rsidRDefault="00C02C3D" w:rsidP="008527D6">
      <w:pPr>
        <w:spacing w:after="0"/>
        <w:jc w:val="center"/>
        <w:rPr>
          <w:b/>
          <w:color w:val="002060"/>
          <w:szCs w:val="21"/>
          <w:lang w:val="sr-Cyrl-CS"/>
        </w:rPr>
      </w:pPr>
      <w:r w:rsidRPr="00F27A03">
        <w:rPr>
          <w:b/>
          <w:color w:val="002060"/>
          <w:szCs w:val="21"/>
          <w:lang w:val="sr-Cyrl-CS"/>
        </w:rPr>
        <w:t>Фискални резултат, % БДП</w:t>
      </w:r>
    </w:p>
    <w:p w14:paraId="4ACFF96D" w14:textId="77777777" w:rsidR="00C02C3D" w:rsidRPr="00F27A03" w:rsidRDefault="00C02C3D" w:rsidP="00B435B3">
      <w:pPr>
        <w:spacing w:after="0"/>
        <w:rPr>
          <w:lang w:val="sr-Cyrl-CS"/>
        </w:rPr>
      </w:pPr>
      <w:r w:rsidRPr="00F27A03">
        <w:rPr>
          <w:noProof/>
          <w:lang w:val="sr-Cyrl-RS" w:eastAsia="sr-Cyrl-RS"/>
        </w:rPr>
        <w:drawing>
          <wp:inline distT="0" distB="0" distL="0" distR="0" wp14:anchorId="6186BF27" wp14:editId="09601A68">
            <wp:extent cx="1332000" cy="1224000"/>
            <wp:effectExtent l="0" t="0" r="1905" b="0"/>
            <wp:docPr id="25" name="Chart 25">
              <a:extLst xmlns:a="http://schemas.openxmlformats.org/drawingml/2006/main">
                <a:ext uri="{FF2B5EF4-FFF2-40B4-BE49-F238E27FC236}">
                  <a16:creationId xmlns:a16="http://schemas.microsoft.com/office/drawing/2014/main" id="{00000000-0008-0000-0900-00003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F27A03">
        <w:rPr>
          <w:lang w:val="sr-Cyrl-CS" w:eastAsia="en-GB"/>
        </w:rPr>
        <w:t xml:space="preserve">  </w:t>
      </w:r>
      <w:r w:rsidRPr="00F27A03">
        <w:rPr>
          <w:noProof/>
          <w:lang w:val="sr-Cyrl-RS" w:eastAsia="sr-Cyrl-RS"/>
        </w:rPr>
        <w:drawing>
          <wp:inline distT="0" distB="0" distL="0" distR="0" wp14:anchorId="46E1B616" wp14:editId="5C134D92">
            <wp:extent cx="1332000" cy="1224000"/>
            <wp:effectExtent l="0" t="0" r="1905" b="0"/>
            <wp:docPr id="26" name="Chart 26">
              <a:extLst xmlns:a="http://schemas.openxmlformats.org/drawingml/2006/main">
                <a:ext uri="{FF2B5EF4-FFF2-40B4-BE49-F238E27FC236}">
                  <a16:creationId xmlns:a16="http://schemas.microsoft.com/office/drawing/2014/main" id="{00000000-0008-0000-0900-00004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7A0ACFB" w14:textId="77777777" w:rsidR="00C02C3D" w:rsidRPr="00F27A03" w:rsidRDefault="00C02C3D" w:rsidP="008527D6">
      <w:pPr>
        <w:spacing w:after="0"/>
        <w:jc w:val="center"/>
        <w:rPr>
          <w:b/>
          <w:color w:val="002060"/>
          <w:szCs w:val="21"/>
          <w:lang w:val="sr-Cyrl-CS"/>
        </w:rPr>
      </w:pPr>
      <w:r w:rsidRPr="00F27A03">
        <w:rPr>
          <w:b/>
          <w:color w:val="002060"/>
          <w:szCs w:val="21"/>
          <w:lang w:val="sr-Cyrl-CS"/>
        </w:rPr>
        <w:t>Јавни дуг опште државе, % БДП</w:t>
      </w:r>
    </w:p>
    <w:p w14:paraId="5A18DF9D" w14:textId="77777777" w:rsidR="00C02C3D" w:rsidRPr="00F27A03" w:rsidRDefault="00C02C3D" w:rsidP="008527D6">
      <w:pPr>
        <w:spacing w:after="0"/>
        <w:jc w:val="center"/>
        <w:rPr>
          <w:lang w:val="sr-Cyrl-CS"/>
        </w:rPr>
      </w:pPr>
      <w:r w:rsidRPr="00F27A03">
        <w:rPr>
          <w:noProof/>
          <w:lang w:val="sr-Cyrl-RS" w:eastAsia="sr-Cyrl-RS"/>
        </w:rPr>
        <w:drawing>
          <wp:inline distT="0" distB="0" distL="0" distR="0" wp14:anchorId="6B93C33C" wp14:editId="1EB5D5E7">
            <wp:extent cx="1332000" cy="1224000"/>
            <wp:effectExtent l="0" t="0" r="0" b="0"/>
            <wp:docPr id="27" name="Chart 27">
              <a:extLst xmlns:a="http://schemas.openxmlformats.org/drawingml/2006/main">
                <a:ext uri="{FF2B5EF4-FFF2-40B4-BE49-F238E27FC236}">
                  <a16:creationId xmlns:a16="http://schemas.microsoft.com/office/drawing/2014/main" id="{00000000-0008-0000-0900-00004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Pr="00F27A03">
        <w:rPr>
          <w:lang w:val="sr-Cyrl-CS"/>
        </w:rPr>
        <w:t xml:space="preserve">  </w:t>
      </w:r>
      <w:r w:rsidRPr="00F27A03">
        <w:rPr>
          <w:noProof/>
          <w:lang w:val="sr-Cyrl-RS" w:eastAsia="sr-Cyrl-RS"/>
        </w:rPr>
        <w:drawing>
          <wp:inline distT="0" distB="0" distL="0" distR="0" wp14:anchorId="40DBB132" wp14:editId="4729A06F">
            <wp:extent cx="1332000" cy="1224000"/>
            <wp:effectExtent l="0" t="0" r="0" b="0"/>
            <wp:docPr id="28" name="Chart 28">
              <a:extLst xmlns:a="http://schemas.openxmlformats.org/drawingml/2006/main">
                <a:ext uri="{FF2B5EF4-FFF2-40B4-BE49-F238E27FC236}">
                  <a16:creationId xmlns:a16="http://schemas.microsoft.com/office/drawing/2014/main" id="{00000000-0008-0000-0900-00004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747805A" w14:textId="77777777" w:rsidR="00C02C3D" w:rsidRPr="00F27A03" w:rsidRDefault="00C02C3D" w:rsidP="008527D6">
      <w:pPr>
        <w:spacing w:before="240"/>
        <w:jc w:val="left"/>
        <w:rPr>
          <w:rFonts w:cstheme="minorHAnsi"/>
          <w:b/>
          <w:color w:val="2F5496" w:themeColor="accent1" w:themeShade="BF"/>
          <w:sz w:val="22"/>
          <w:lang w:val="sr-Cyrl-CS"/>
        </w:rPr>
      </w:pPr>
      <w:r w:rsidRPr="00F27A03">
        <w:rPr>
          <w:rFonts w:cstheme="minorHAnsi"/>
          <w:b/>
          <w:color w:val="2F5496" w:themeColor="accent1" w:themeShade="BF"/>
          <w:sz w:val="22"/>
          <w:lang w:val="sr-Cyrl-CS"/>
        </w:rPr>
        <w:t>Текућа кретања реалног сектора</w:t>
      </w:r>
    </w:p>
    <w:p w14:paraId="5D13A8E7" w14:textId="77777777" w:rsidR="00C02C3D" w:rsidRPr="00F27A03" w:rsidRDefault="00C02C3D" w:rsidP="008527D6">
      <w:pPr>
        <w:rPr>
          <w:rFonts w:cstheme="minorHAnsi"/>
          <w:bCs/>
          <w:szCs w:val="72"/>
          <w:lang w:val="sr-Cyrl-CS"/>
        </w:rPr>
      </w:pPr>
      <w:r w:rsidRPr="00F27A03">
        <w:rPr>
          <w:rFonts w:cstheme="minorHAnsi"/>
          <w:bCs/>
          <w:szCs w:val="72"/>
          <w:lang w:val="sr-Cyrl-CS"/>
        </w:rPr>
        <w:t>Макроекономска кретања почетком 2022. године била су генерално на нивоу пројектованих, али су се изгледи погоршали као последица новог глобалног шока изазваног сукобом у Украјини и додатне ескалације протеклих месеци. Иако је у прва два квартала 2022. године остварен солидан раст привреде у овом периоду изостали су значајнији негативни ефекти геополитичких дешавања на динамику домаће привредне активности. Међутим, додатна ескалација сукоба и заоштравање међународних економских и политичких односа, праћени рекордним ценама енергената и последично смањеној глобалној трговини и спољној тражњи почела су временом да се одражавају и на домаћу привредну активност.</w:t>
      </w:r>
    </w:p>
    <w:p w14:paraId="56438633" w14:textId="77777777" w:rsidR="00C02C3D" w:rsidRPr="00F27A03" w:rsidRDefault="00C02C3D" w:rsidP="0065412F">
      <w:pPr>
        <w:rPr>
          <w:rFonts w:cstheme="minorHAnsi"/>
          <w:bCs/>
          <w:szCs w:val="72"/>
          <w:lang w:val="sr-Cyrl-CS"/>
        </w:rPr>
      </w:pPr>
      <w:r w:rsidRPr="00F27A03">
        <w:rPr>
          <w:rFonts w:cstheme="minorHAnsi"/>
          <w:bCs/>
          <w:szCs w:val="72"/>
          <w:lang w:val="sr-Cyrl-CS"/>
        </w:rPr>
        <w:t>Према подацима РЗС, раст БДП у првом кварталу 2022. године износио је 4,3% мг. док је у другом тромесечју забележено повећање од 3,9% мг., што је резултирало просечним растом БДП у првој половини године од 4,1%.</w:t>
      </w:r>
    </w:p>
    <w:p w14:paraId="77803C06" w14:textId="77777777" w:rsidR="00C02C3D" w:rsidRPr="00F27A03" w:rsidRDefault="00C02C3D" w:rsidP="0065412F">
      <w:pPr>
        <w:rPr>
          <w:rFonts w:cstheme="minorHAnsi"/>
          <w:bCs/>
          <w:szCs w:val="72"/>
          <w:lang w:val="sr-Cyrl-CS"/>
        </w:rPr>
      </w:pPr>
      <w:r w:rsidRPr="00F27A03">
        <w:rPr>
          <w:rFonts w:cstheme="minorHAnsi"/>
          <w:bCs/>
          <w:szCs w:val="72"/>
          <w:lang w:val="sr-Cyrl-CS"/>
        </w:rPr>
        <w:t>Посматрано са производне стране, економски раст у првој половини 2022. године био је вођен услужним сектором. Повећање економске активности забележено је код свих услужних делатности, а најзначајнији допринос дошао је од трговине, саобраћаја, туризма и ИКТ услуга, који опредељују око половине укупног раста БДП у овом периоду. Упркос значајно мањем обиму производње електричне енергије, позитиван допринос забележила је и укупна индустријска производња, забележивши повећање од 3,3% мг., као резултат добрих кретања прерађивачког сектора и рударства услед ефектуирања инвестиција из претходног периода. Благ негативан допринос привредном расту потекао је од грађевинарства делом и због високе базе из истог периода претходне године, али и услед снажног повећања цена грађевинског материјала. Неповољни агрометеоролошки услови одразили су се на испод просечну пољопривредну сезону па је у овом сектору у прва два квартала забележен пад од 5,3%.</w:t>
      </w:r>
    </w:p>
    <w:p w14:paraId="0D8BA8CB" w14:textId="77777777" w:rsidR="00C02C3D" w:rsidRPr="00F27A03" w:rsidRDefault="00C02C3D" w:rsidP="0065412F">
      <w:pPr>
        <w:rPr>
          <w:lang w:val="sr-Cyrl-CS"/>
        </w:rPr>
      </w:pPr>
    </w:p>
    <w:p w14:paraId="41D73BE7" w14:textId="77777777" w:rsidR="00C02C3D" w:rsidRPr="00F27A03" w:rsidRDefault="00C02C3D" w:rsidP="0065412F">
      <w:pPr>
        <w:rPr>
          <w:lang w:val="sr-Cyrl-CS"/>
        </w:rPr>
      </w:pPr>
    </w:p>
    <w:p w14:paraId="7921E3AF" w14:textId="77777777" w:rsidR="00C02C3D" w:rsidRPr="00F27A03" w:rsidRDefault="00C02C3D" w:rsidP="008527D6">
      <w:pPr>
        <w:jc w:val="center"/>
        <w:rPr>
          <w:rFonts w:cstheme="minorHAnsi"/>
          <w:b/>
          <w:bCs/>
          <w:color w:val="002060"/>
          <w:szCs w:val="72"/>
          <w:lang w:val="sr-Cyrl-CS"/>
        </w:rPr>
      </w:pPr>
      <w:r w:rsidRPr="00F27A03">
        <w:rPr>
          <w:rFonts w:cstheme="minorHAnsi"/>
          <w:b/>
          <w:bCs/>
          <w:color w:val="002060"/>
          <w:szCs w:val="72"/>
          <w:lang w:val="sr-Cyrl-CS"/>
        </w:rPr>
        <w:lastRenderedPageBreak/>
        <w:t>Доприноси стопи реалног раста БДП, производни приступ, п.п.</w:t>
      </w:r>
    </w:p>
    <w:p w14:paraId="24289774" w14:textId="77777777" w:rsidR="00C02C3D" w:rsidRPr="00F27A03" w:rsidRDefault="00C02C3D" w:rsidP="0065412F">
      <w:pPr>
        <w:spacing w:after="40"/>
        <w:rPr>
          <w:rFonts w:cstheme="minorHAnsi"/>
          <w:bCs/>
          <w:szCs w:val="72"/>
          <w:lang w:val="sr-Cyrl-CS"/>
        </w:rPr>
      </w:pPr>
      <w:r w:rsidRPr="00F27A03">
        <w:rPr>
          <w:noProof/>
          <w:lang w:val="sr-Cyrl-RS" w:eastAsia="sr-Cyrl-RS"/>
        </w:rPr>
        <w:drawing>
          <wp:inline distT="0" distB="0" distL="0" distR="0" wp14:anchorId="22FC90ED" wp14:editId="4E509C54">
            <wp:extent cx="2743200" cy="2399386"/>
            <wp:effectExtent l="0" t="0" r="0" b="1270"/>
            <wp:docPr id="11" name="Chart 11">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446FFC0" w14:textId="77777777" w:rsidR="00C02C3D" w:rsidRPr="00F27A03" w:rsidRDefault="00C02C3D" w:rsidP="008527D6">
      <w:pPr>
        <w:rPr>
          <w:rFonts w:cstheme="minorHAnsi"/>
          <w:bCs/>
          <w:sz w:val="14"/>
          <w:szCs w:val="72"/>
          <w:lang w:val="sr-Cyrl-CS"/>
        </w:rPr>
      </w:pPr>
      <w:r w:rsidRPr="00F27A03">
        <w:rPr>
          <w:rFonts w:cstheme="minorHAnsi"/>
          <w:bCs/>
          <w:sz w:val="14"/>
          <w:szCs w:val="72"/>
          <w:lang w:val="sr-Cyrl-CS"/>
        </w:rPr>
        <w:t>* Флеш процена РЗС, прерачун Министарство финансија</w:t>
      </w:r>
    </w:p>
    <w:p w14:paraId="72CE54F2" w14:textId="77777777" w:rsidR="00C02C3D" w:rsidRPr="00F27A03" w:rsidRDefault="00C02C3D" w:rsidP="0065412F">
      <w:pPr>
        <w:jc w:val="center"/>
        <w:rPr>
          <w:rFonts w:cstheme="minorHAnsi"/>
          <w:b/>
          <w:bCs/>
          <w:color w:val="002060"/>
          <w:szCs w:val="72"/>
          <w:lang w:val="sr-Cyrl-CS"/>
        </w:rPr>
      </w:pPr>
      <w:r w:rsidRPr="00F27A03">
        <w:rPr>
          <w:rFonts w:cstheme="minorHAnsi"/>
          <w:b/>
          <w:bCs/>
          <w:color w:val="002060"/>
          <w:szCs w:val="72"/>
          <w:lang w:val="sr-Cyrl-CS"/>
        </w:rPr>
        <w:t xml:space="preserve">Доприноси стопи реалног раста БДП, </w:t>
      </w:r>
      <w:r w:rsidRPr="00F27A03">
        <w:rPr>
          <w:rFonts w:cstheme="minorHAnsi"/>
          <w:b/>
          <w:bCs/>
          <w:color w:val="002060"/>
          <w:szCs w:val="72"/>
          <w:lang w:val="sr-Cyrl-CS"/>
        </w:rPr>
        <w:br w:type="textWrapping" w:clear="all"/>
        <w:t>расходни приступ, п.п.</w:t>
      </w:r>
    </w:p>
    <w:p w14:paraId="709DACD7" w14:textId="77777777" w:rsidR="00C02C3D" w:rsidRPr="00F27A03" w:rsidRDefault="00C02C3D" w:rsidP="0065412F">
      <w:pPr>
        <w:spacing w:after="40"/>
        <w:rPr>
          <w:rFonts w:cstheme="minorHAnsi"/>
          <w:bCs/>
          <w:szCs w:val="72"/>
          <w:lang w:val="sr-Cyrl-CS"/>
        </w:rPr>
      </w:pPr>
      <w:r w:rsidRPr="00F27A03">
        <w:rPr>
          <w:noProof/>
          <w:lang w:val="sr-Cyrl-RS" w:eastAsia="sr-Cyrl-RS"/>
        </w:rPr>
        <w:drawing>
          <wp:inline distT="0" distB="0" distL="0" distR="0" wp14:anchorId="058A2041" wp14:editId="1F041A02">
            <wp:extent cx="2743200" cy="2157663"/>
            <wp:effectExtent l="0" t="0" r="0" b="0"/>
            <wp:docPr id="12" name="Chart 12">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BFCA7B8" w14:textId="77777777" w:rsidR="00C02C3D" w:rsidRPr="00F27A03" w:rsidRDefault="00C02C3D" w:rsidP="0065412F">
      <w:pPr>
        <w:rPr>
          <w:rFonts w:cstheme="minorHAnsi"/>
          <w:bCs/>
          <w:sz w:val="14"/>
          <w:szCs w:val="72"/>
          <w:lang w:val="sr-Cyrl-CS"/>
        </w:rPr>
      </w:pPr>
      <w:r w:rsidRPr="00F27A03">
        <w:rPr>
          <w:rFonts w:cstheme="minorHAnsi"/>
          <w:bCs/>
          <w:sz w:val="14"/>
          <w:szCs w:val="72"/>
          <w:lang w:val="sr-Cyrl-CS"/>
        </w:rPr>
        <w:t>* Флеш процена РЗС, прерачун Министарство финансија</w:t>
      </w:r>
    </w:p>
    <w:p w14:paraId="56BB222C" w14:textId="77777777" w:rsidR="00C02C3D" w:rsidRPr="00F27A03" w:rsidRDefault="00C02C3D" w:rsidP="008527D6">
      <w:pPr>
        <w:rPr>
          <w:rFonts w:cstheme="minorHAnsi"/>
          <w:bCs/>
          <w:szCs w:val="72"/>
          <w:lang w:val="sr-Cyrl-CS"/>
        </w:rPr>
      </w:pPr>
      <w:r w:rsidRPr="00F27A03">
        <w:rPr>
          <w:rFonts w:cstheme="minorHAnsi"/>
          <w:bCs/>
          <w:szCs w:val="72"/>
          <w:lang w:val="sr-Cyrl-CS"/>
        </w:rPr>
        <w:t xml:space="preserve">Посматрано по агрегатима употребе, раст БДП у првој половини 2022. године био је у потпуности вођен домаћом тражњом, док је допринос нето извоза био негативан. Повећање расположивог дохотка становништва пре свега као резултат повољних кретања на тржишту рада, уз знатно боље епидемиолошке услове, одразио се на снажан раст приватне потрошње, који је износио 5,3% мг. Упркос неповољним дешавањима у међународном окружењу позитиван допринос </w:t>
      </w:r>
      <w:r w:rsidRPr="00F27A03">
        <w:rPr>
          <w:rFonts w:cstheme="minorHAnsi"/>
          <w:bCs/>
          <w:szCs w:val="72"/>
          <w:lang w:val="sr-Cyrl-CS"/>
        </w:rPr>
        <w:t>забележиле су и инвестиције са растом од 1,4%. Ефекат на страни понуде уз солидну спољну тражњу у овом периоду, резултирао је растом реалног извоза од 19,9% мг. Истовремено, увозна активност забележила је снажан раст од око 22,3% услед повећаног увоза репроматеријала за потребе привреде, али и енергената како би се осигурала сигурност снабдевања домаћих потрошача и обезбедио одређен ниво залиха за зимски период. То се истовремено одразило и на значајан позитиван допринос залиха расту БДП.</w:t>
      </w:r>
    </w:p>
    <w:p w14:paraId="641AD437" w14:textId="77777777" w:rsidR="00C02C3D" w:rsidRPr="00F27A03" w:rsidRDefault="00C02C3D" w:rsidP="008527D6">
      <w:pPr>
        <w:rPr>
          <w:rFonts w:cstheme="minorHAnsi"/>
          <w:bCs/>
          <w:szCs w:val="72"/>
          <w:lang w:val="sr-Cyrl-CS"/>
        </w:rPr>
      </w:pPr>
      <w:r w:rsidRPr="00F27A03">
        <w:rPr>
          <w:rFonts w:cstheme="minorHAnsi"/>
          <w:bCs/>
          <w:szCs w:val="72"/>
          <w:lang w:val="sr-Cyrl-CS"/>
        </w:rPr>
        <w:t>Месечна динамика привредне активности наставила је са растом међугодишње посматрано и током летњих месеци, али као што је било и очекивано, услед негативног утицаја конфликта у Украјини, по нижим стопама него у првој половини године.</w:t>
      </w:r>
    </w:p>
    <w:p w14:paraId="744C20D6" w14:textId="02DBA301" w:rsidR="00C02C3D" w:rsidRPr="00F27A03" w:rsidRDefault="00C02C3D" w:rsidP="008527D6">
      <w:pPr>
        <w:rPr>
          <w:rFonts w:cstheme="minorHAnsi"/>
          <w:bCs/>
          <w:spacing w:val="-2"/>
          <w:szCs w:val="72"/>
          <w:lang w:val="sr-Cyrl-CS"/>
        </w:rPr>
      </w:pPr>
      <w:r w:rsidRPr="00F27A03">
        <w:rPr>
          <w:rFonts w:cstheme="minorHAnsi"/>
          <w:bCs/>
          <w:szCs w:val="72"/>
          <w:lang w:val="sr-Cyrl-CS"/>
        </w:rPr>
        <w:t xml:space="preserve">То потврђује и Индикатор привредне активности (ИПАС) који Министарство финансија израђује за потребе сагледавања месечне динамике укупне економске активности, према коме је раст БДП у јулу, августу и септембру износио 1,1% мг., 2,1% мг. </w:t>
      </w:r>
      <w:r w:rsidR="00E4192A" w:rsidRPr="00F27A03">
        <w:rPr>
          <w:rFonts w:cstheme="minorHAnsi"/>
          <w:bCs/>
          <w:szCs w:val="72"/>
          <w:lang w:val="sr-Cyrl-CS"/>
        </w:rPr>
        <w:t xml:space="preserve">и </w:t>
      </w:r>
      <w:r w:rsidRPr="00F27A03">
        <w:rPr>
          <w:rFonts w:cstheme="minorHAnsi"/>
          <w:bCs/>
          <w:szCs w:val="72"/>
          <w:lang w:val="sr-Cyrl-CS"/>
        </w:rPr>
        <w:t xml:space="preserve">0,8% мг., респективно. Спорија динамика привреде у овом периоду последица је мањег обима индустријске производње која је забележила пад од 1,6% мг. у јулу и скроман раст од 0,3% у августу, да би у септембру опет ушла у негативну зону (0,3%), али и мањег позитивног доприноса услужног сектора услед споријег раста појединих услужних делатности у поређењу са њиховом динамиком током прве половине године. Грађевинска активност је и у овом периоду наставила са успореном динамиком започетом почетком 2022. године, док су лоши агрометеоролошки услови током лета додатно утицали на још већи пад пољопривреде од </w:t>
      </w:r>
      <w:r w:rsidRPr="00F27A03">
        <w:rPr>
          <w:rFonts w:cstheme="minorHAnsi"/>
          <w:bCs/>
          <w:spacing w:val="-2"/>
          <w:szCs w:val="72"/>
          <w:lang w:val="sr-Cyrl-CS"/>
        </w:rPr>
        <w:t>првобитно процењеног. Значајно спорија привредна динамика у трећем кварталу 2022. године потврђена је и флеш проценом БДП Републичког завода за статистику, према којој је раст привреде процењен на 1,1% мг. Тиме је у првих девет месеци, према процени Министарства финансија раст привреде износио 3,0%.</w:t>
      </w:r>
    </w:p>
    <w:p w14:paraId="2794B04C" w14:textId="77777777" w:rsidR="00C02C3D" w:rsidRPr="00F27A03" w:rsidRDefault="00C02C3D" w:rsidP="008527D6">
      <w:pPr>
        <w:rPr>
          <w:rFonts w:cstheme="minorHAnsi"/>
          <w:bCs/>
          <w:szCs w:val="72"/>
          <w:lang w:val="sr-Cyrl-CS"/>
        </w:rPr>
        <w:sectPr w:rsidR="00C02C3D" w:rsidRPr="00F27A03" w:rsidSect="00CE5657">
          <w:type w:val="continuous"/>
          <w:pgSz w:w="12240" w:h="15840"/>
          <w:pgMar w:top="1440" w:right="1440" w:bottom="1440" w:left="1440" w:header="720" w:footer="720" w:gutter="0"/>
          <w:cols w:num="2" w:space="720"/>
          <w:docGrid w:linePitch="360"/>
          <w15:footnoteColumns w:val="1"/>
        </w:sectPr>
      </w:pPr>
    </w:p>
    <w:p w14:paraId="0E3C2582" w14:textId="77777777" w:rsidR="00C02C3D" w:rsidRPr="00F27A03" w:rsidRDefault="00C02C3D" w:rsidP="008527D6">
      <w:pPr>
        <w:rPr>
          <w:rFonts w:cstheme="minorHAnsi"/>
          <w:bCs/>
          <w:szCs w:val="72"/>
          <w:lang w:val="sr-Cyrl-CS"/>
        </w:rPr>
      </w:pPr>
    </w:p>
    <w:p w14:paraId="3477B429" w14:textId="77777777" w:rsidR="00C02C3D" w:rsidRPr="00F27A03" w:rsidRDefault="00C02C3D" w:rsidP="008527D6">
      <w:pPr>
        <w:rPr>
          <w:rFonts w:cstheme="minorHAnsi"/>
          <w:bCs/>
          <w:szCs w:val="72"/>
          <w:lang w:val="sr-Cyrl-CS"/>
        </w:rPr>
      </w:pPr>
    </w:p>
    <w:p w14:paraId="6F474AC1" w14:textId="77777777" w:rsidR="00C02C3D" w:rsidRPr="00F27A03" w:rsidRDefault="00C02C3D" w:rsidP="0065412F">
      <w:pPr>
        <w:rPr>
          <w:lang w:val="sr-Cyrl-CS"/>
        </w:rPr>
      </w:pPr>
    </w:p>
    <w:p w14:paraId="1D0BC15B" w14:textId="77777777" w:rsidR="00C02C3D" w:rsidRPr="00F27A03" w:rsidRDefault="00C02C3D" w:rsidP="0065412F">
      <w:pPr>
        <w:rPr>
          <w:lang w:val="sr-Cyrl-CS"/>
        </w:rPr>
      </w:pPr>
    </w:p>
    <w:p w14:paraId="6705819E" w14:textId="77777777" w:rsidR="00C02C3D" w:rsidRPr="00F27A03" w:rsidRDefault="00C02C3D" w:rsidP="0065412F">
      <w:pPr>
        <w:spacing w:after="40"/>
        <w:jc w:val="center"/>
        <w:rPr>
          <w:rFonts w:cstheme="minorHAnsi"/>
          <w:b/>
          <w:bCs/>
          <w:color w:val="002060"/>
          <w:szCs w:val="72"/>
          <w:lang w:val="sr-Cyrl-CS"/>
        </w:rPr>
      </w:pPr>
      <w:r w:rsidRPr="00F27A03">
        <w:rPr>
          <w:rFonts w:cstheme="minorHAnsi"/>
          <w:b/>
          <w:bCs/>
          <w:color w:val="002060"/>
          <w:szCs w:val="72"/>
          <w:lang w:val="sr-Cyrl-CS"/>
        </w:rPr>
        <w:lastRenderedPageBreak/>
        <w:t>Индикатор привредне активности Србије (ИПАС) по секторима (доприноси расту, п.п.)</w:t>
      </w:r>
    </w:p>
    <w:p w14:paraId="594A8820" w14:textId="77777777" w:rsidR="00C02C3D" w:rsidRPr="00F27A03" w:rsidRDefault="00C02C3D" w:rsidP="00352961">
      <w:pPr>
        <w:rPr>
          <w:rFonts w:cstheme="minorHAnsi"/>
          <w:bCs/>
          <w:szCs w:val="72"/>
          <w:lang w:val="sr-Cyrl-CS"/>
        </w:rPr>
      </w:pPr>
      <w:r w:rsidRPr="00F27A03">
        <w:rPr>
          <w:noProof/>
          <w:lang w:val="sr-Cyrl-RS" w:eastAsia="sr-Cyrl-RS"/>
        </w:rPr>
        <w:drawing>
          <wp:inline distT="0" distB="0" distL="0" distR="0" wp14:anchorId="7B6681A2" wp14:editId="26882BEC">
            <wp:extent cx="2743200" cy="2468245"/>
            <wp:effectExtent l="0" t="0" r="0" b="8255"/>
            <wp:docPr id="7" name="Chart 7">
              <a:extLst xmlns:a="http://schemas.openxmlformats.org/drawingml/2006/main">
                <a:ext uri="{FF2B5EF4-FFF2-40B4-BE49-F238E27FC236}">
                  <a16:creationId xmlns:a16="http://schemas.microsoft.com/office/drawing/2014/main" id="{00000000-0008-0000-0C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B552BE3" w14:textId="77777777" w:rsidR="00C02C3D" w:rsidRPr="00F27A03" w:rsidRDefault="00C02C3D" w:rsidP="0065412F">
      <w:pPr>
        <w:spacing w:after="80"/>
        <w:jc w:val="center"/>
        <w:rPr>
          <w:rFonts w:cstheme="minorHAnsi"/>
          <w:b/>
          <w:bCs/>
          <w:color w:val="002060"/>
          <w:szCs w:val="72"/>
          <w:lang w:val="sr-Cyrl-CS"/>
        </w:rPr>
      </w:pPr>
      <w:r w:rsidRPr="00F27A03">
        <w:rPr>
          <w:rFonts w:cstheme="minorHAnsi"/>
          <w:b/>
          <w:bCs/>
          <w:color w:val="002060"/>
          <w:szCs w:val="72"/>
          <w:lang w:val="sr-Cyrl-CS"/>
        </w:rPr>
        <w:t>Индикатор привредне активности Србије (ИПАС), мил. РСД, уланчане мере обима</w:t>
      </w:r>
    </w:p>
    <w:p w14:paraId="2D816B66" w14:textId="77777777" w:rsidR="00C02C3D" w:rsidRPr="00F27A03" w:rsidRDefault="00C02C3D" w:rsidP="00352961">
      <w:pPr>
        <w:rPr>
          <w:rFonts w:cstheme="minorHAnsi"/>
          <w:bCs/>
          <w:szCs w:val="72"/>
          <w:lang w:val="sr-Cyrl-CS"/>
        </w:rPr>
      </w:pPr>
      <w:r w:rsidRPr="00F27A03">
        <w:rPr>
          <w:noProof/>
          <w:lang w:val="sr-Cyrl-RS" w:eastAsia="sr-Cyrl-RS"/>
        </w:rPr>
        <w:drawing>
          <wp:inline distT="0" distB="0" distL="0" distR="0" wp14:anchorId="5109D12E" wp14:editId="00AAA064">
            <wp:extent cx="2743200" cy="2189747"/>
            <wp:effectExtent l="0" t="0" r="0" b="1270"/>
            <wp:docPr id="18" name="Chart 18">
              <a:extLst xmlns:a="http://schemas.openxmlformats.org/drawingml/2006/main">
                <a:ext uri="{FF2B5EF4-FFF2-40B4-BE49-F238E27FC236}">
                  <a16:creationId xmlns:a16="http://schemas.microsoft.com/office/drawing/2014/main" id="{00000000-0008-0000-0C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901E9EA" w14:textId="77777777" w:rsidR="00C02C3D" w:rsidRPr="00F27A03" w:rsidRDefault="00C02C3D" w:rsidP="00084E65">
      <w:pPr>
        <w:spacing w:line="240" w:lineRule="auto"/>
        <w:jc w:val="left"/>
        <w:rPr>
          <w:rFonts w:cstheme="minorHAnsi"/>
          <w:bCs/>
          <w:sz w:val="16"/>
          <w:szCs w:val="72"/>
          <w:lang w:val="sr-Cyrl-CS"/>
        </w:rPr>
      </w:pPr>
      <w:r w:rsidRPr="00F27A03">
        <w:rPr>
          <w:rFonts w:cstheme="minorHAnsi"/>
          <w:bCs/>
          <w:sz w:val="16"/>
          <w:szCs w:val="72"/>
          <w:lang w:val="sr-Cyrl-CS"/>
        </w:rPr>
        <w:t>Извор: Министарство финансија</w:t>
      </w:r>
    </w:p>
    <w:p w14:paraId="3EA4BDAA" w14:textId="20E1383D" w:rsidR="00C02C3D" w:rsidRPr="00F27A03" w:rsidRDefault="00C02C3D" w:rsidP="0065412F">
      <w:pPr>
        <w:rPr>
          <w:rFonts w:cstheme="minorHAnsi"/>
          <w:bCs/>
          <w:iCs/>
          <w:szCs w:val="72"/>
          <w:lang w:val="sr-Cyrl-CS"/>
        </w:rPr>
      </w:pPr>
      <w:r w:rsidRPr="00F27A03">
        <w:rPr>
          <w:rFonts w:cstheme="minorHAnsi"/>
          <w:bCs/>
          <w:iCs/>
          <w:szCs w:val="72"/>
          <w:lang w:val="sr-Cyrl-CS"/>
        </w:rPr>
        <w:t>Солидна динамика индустријске производње настављена је и током текуће године,</w:t>
      </w:r>
      <w:r w:rsidR="00EE71CA" w:rsidRPr="00F27A03">
        <w:rPr>
          <w:rFonts w:cstheme="minorHAnsi"/>
          <w:bCs/>
          <w:iCs/>
          <w:szCs w:val="72"/>
          <w:lang w:val="sr-Cyrl-CS"/>
        </w:rPr>
        <w:t xml:space="preserve"> али уз осетно успоравање у трећем кварталу</w:t>
      </w:r>
      <w:r w:rsidRPr="00F27A03">
        <w:rPr>
          <w:rFonts w:cstheme="minorHAnsi"/>
          <w:bCs/>
          <w:iCs/>
          <w:szCs w:val="72"/>
          <w:lang w:val="sr-Cyrl-CS"/>
        </w:rPr>
        <w:t xml:space="preserve">. У првих девет месеци укупна индустријска производња већа је за 1,9% мг. упркос смањеном обиму производње електричне енергије од 11,5% мг. Томе је у значајној мери допринео солидан раст прерађивачке индустрије од 2,7%, као и повећање производње рударства од 25,0%. У ова два сектора присутни су значајни ефекти на страни понуде услед реализација </w:t>
      </w:r>
      <w:r w:rsidR="00845050" w:rsidRPr="00F27A03">
        <w:rPr>
          <w:rFonts w:cstheme="minorHAnsi"/>
          <w:bCs/>
          <w:iCs/>
          <w:szCs w:val="72"/>
          <w:lang w:val="sr-Cyrl-CS"/>
        </w:rPr>
        <w:t xml:space="preserve">страних директних инвестиција (у даљем тексту: </w:t>
      </w:r>
      <w:r w:rsidRPr="00F27A03">
        <w:rPr>
          <w:rFonts w:cstheme="minorHAnsi"/>
          <w:bCs/>
          <w:iCs/>
          <w:szCs w:val="72"/>
          <w:lang w:val="sr-Cyrl-CS"/>
        </w:rPr>
        <w:t>СДИ</w:t>
      </w:r>
      <w:r w:rsidR="00845050" w:rsidRPr="00F27A03">
        <w:rPr>
          <w:rFonts w:cstheme="minorHAnsi"/>
          <w:bCs/>
          <w:iCs/>
          <w:szCs w:val="72"/>
          <w:lang w:val="sr-Cyrl-CS"/>
        </w:rPr>
        <w:t>)</w:t>
      </w:r>
      <w:r w:rsidRPr="00F27A03">
        <w:rPr>
          <w:rFonts w:cstheme="minorHAnsi"/>
          <w:bCs/>
          <w:iCs/>
          <w:szCs w:val="72"/>
          <w:lang w:val="sr-Cyrl-CS"/>
        </w:rPr>
        <w:t xml:space="preserve"> из претходног периода и активирања нових производних капацитета. Међутим, са заоштравањем геополитичких односа </w:t>
      </w:r>
      <w:r w:rsidRPr="00F27A03">
        <w:rPr>
          <w:rFonts w:cstheme="minorHAnsi"/>
          <w:bCs/>
          <w:iCs/>
          <w:szCs w:val="72"/>
          <w:lang w:val="sr-Cyrl-CS"/>
        </w:rPr>
        <w:t xml:space="preserve">и материјализацијом негативних ризика из међународног окружења, током трећег квартала индустријска активност је ушла у негативну зону остваривши пад од 0,5% мг., праћена падом у прерађивачкој индустрији од око 1%, али и мањим позитивним доприносом рударства услед исцрпљивања утицаја ниске базе из истог периода претходне године. Производња електричне енергије је и даље међугодишње нижа али се стабилизовала и током </w:t>
      </w:r>
      <w:r w:rsidR="00240195" w:rsidRPr="00F27A03">
        <w:rPr>
          <w:rFonts w:cstheme="minorHAnsi"/>
          <w:bCs/>
          <w:iCs/>
          <w:szCs w:val="72"/>
          <w:lang w:val="sr-Cyrl-CS"/>
        </w:rPr>
        <w:t>септембра</w:t>
      </w:r>
      <w:r w:rsidRPr="00F27A03">
        <w:rPr>
          <w:rFonts w:cstheme="minorHAnsi"/>
          <w:bCs/>
          <w:iCs/>
          <w:szCs w:val="72"/>
          <w:lang w:val="sr-Cyrl-CS"/>
        </w:rPr>
        <w:t xml:space="preserve"> је била на непромењеном нивоу у односу на исти месец претходне године.</w:t>
      </w:r>
    </w:p>
    <w:p w14:paraId="510CEC30" w14:textId="13F68EBF" w:rsidR="00C02C3D" w:rsidRPr="00F27A03" w:rsidRDefault="00C02C3D" w:rsidP="0065412F">
      <w:pPr>
        <w:rPr>
          <w:rFonts w:cstheme="minorHAnsi"/>
          <w:bCs/>
          <w:iCs/>
          <w:szCs w:val="72"/>
          <w:lang w:val="sr-Cyrl-CS"/>
        </w:rPr>
      </w:pPr>
      <w:r w:rsidRPr="00F27A03">
        <w:rPr>
          <w:rFonts w:cstheme="minorHAnsi"/>
          <w:bCs/>
          <w:iCs/>
          <w:szCs w:val="72"/>
          <w:lang w:val="sr-Cyrl-CS"/>
        </w:rPr>
        <w:t xml:space="preserve">Посматрано по областима прерађивачке индустрије, у првих девет месеци остварен је раст у 14 од 24 делатности. Најзначајнији позитиван допринос међугодишњем расту овог сектора потекао је од нафтне индустрије (раст од 16,6% мг.) опредељујући три петине укупног раста. Делатност осталих саобраћајних средстава остварује раст, при чему је обим производње у првих девет месеци био већи за 47,4% мг. У истом периоду машинска индустрија бележи раст од 8,6% мг., док је производња папира увећана за 9,8%. Поред тога, физички обим фармацеутске индустрије је већи за 6,4% мг., уз знатно спорији раст током трећег квартала. Ове четири делатности пружиле су приближно подједнак позитиван допринос кретању прерађивачке индустрије опредељујући нешто више од половине укупног раста овог сектора. С друге стране, делатности које су оствариле пад производње збирно су имале негативан утицај на кретање прерађивачке индустрије од око 1,6 п.п. У првих девет месеци најзначајнији негативан допринос је имала металска индустрија са падом од 12,2% мг. По избијању кризе у Украјини, металска индустрија се суочила са проблемима у ланцима снабдевања сировинама, што је захтевало преоријентацију ка новим тржиштима за допрему сировина. Дошло је до гашења Високе пећи број 1 у смедеревској железари, те </w:t>
      </w:r>
      <w:r w:rsidR="00346D2C" w:rsidRPr="00F27A03">
        <w:rPr>
          <w:rFonts w:cstheme="minorHAnsi"/>
          <w:bCs/>
          <w:iCs/>
          <w:szCs w:val="72"/>
          <w:lang w:val="sr-Cyrl-CS"/>
        </w:rPr>
        <w:t xml:space="preserve">је </w:t>
      </w:r>
      <w:r w:rsidRPr="00F27A03">
        <w:rPr>
          <w:rFonts w:cstheme="minorHAnsi"/>
          <w:bCs/>
          <w:iCs/>
          <w:szCs w:val="72"/>
          <w:lang w:val="sr-Cyrl-CS"/>
        </w:rPr>
        <w:t xml:space="preserve">производња металске индустрије од јуна до септембра за око трећину нижа, међугодишње посматрано. Остале делатности које су оствариле пад производње имале су блажи негативан утицај на кретање прерађивачке индустрије, при чему је активност гумарске индустрије и прераде дрвета, </w:t>
      </w:r>
      <w:r w:rsidRPr="00F27A03">
        <w:rPr>
          <w:rFonts w:cstheme="minorHAnsi"/>
          <w:bCs/>
          <w:iCs/>
          <w:szCs w:val="72"/>
          <w:lang w:val="sr-Cyrl-CS"/>
        </w:rPr>
        <w:lastRenderedPageBreak/>
        <w:t>пре свега услед смањене спољне тражње мања за 3,3% и 15,5% мг., респективно.</w:t>
      </w:r>
    </w:p>
    <w:p w14:paraId="77CDC793" w14:textId="77777777" w:rsidR="00C02C3D" w:rsidRPr="00F27A03" w:rsidRDefault="00C02C3D" w:rsidP="0065412F">
      <w:pPr>
        <w:spacing w:after="240"/>
        <w:rPr>
          <w:rFonts w:cstheme="minorHAnsi"/>
          <w:bCs/>
          <w:iCs/>
          <w:spacing w:val="-2"/>
          <w:szCs w:val="72"/>
          <w:lang w:val="sr-Cyrl-CS"/>
        </w:rPr>
      </w:pPr>
      <w:r w:rsidRPr="00F27A03">
        <w:rPr>
          <w:rFonts w:cstheme="minorHAnsi"/>
          <w:bCs/>
          <w:iCs/>
          <w:spacing w:val="-2"/>
          <w:szCs w:val="72"/>
          <w:lang w:val="sr-Cyrl-CS"/>
        </w:rPr>
        <w:t xml:space="preserve">Повишена неизвесност у међународном окружењу услед геополитичких тензија опредељује значајне негативне ризике, што ће уз смањену спољну тражњу наших најзначајнијих спољнотрговинских партнера, као и застоје у глобалним ланцима </w:t>
      </w:r>
      <w:r w:rsidRPr="00F27A03">
        <w:rPr>
          <w:rFonts w:cstheme="minorHAnsi"/>
          <w:bCs/>
          <w:iCs/>
          <w:spacing w:val="-2"/>
          <w:szCs w:val="72"/>
          <w:lang w:val="sr-Cyrl-CS"/>
        </w:rPr>
        <w:t>снабдевања имати негативан утицај на динамику прерађивачке индустрије и у наредном периоду. Поред тога раст цена енергената и сировина повећавају трошковне притиске, а због војног сукоба Русије и Украјине јавља се потреба за проналажењем нових тржишта, што у кратком року може да буде отежавајуће.</w:t>
      </w:r>
    </w:p>
    <w:p w14:paraId="2C6E3FF3" w14:textId="77777777" w:rsidR="00C02C3D" w:rsidRPr="00F27A03" w:rsidRDefault="00C02C3D" w:rsidP="00352961">
      <w:pPr>
        <w:rPr>
          <w:rFonts w:cstheme="minorHAnsi"/>
          <w:bCs/>
          <w:szCs w:val="72"/>
          <w:lang w:val="sr-Cyrl-CS"/>
        </w:rPr>
        <w:sectPr w:rsidR="00C02C3D" w:rsidRPr="00F27A03" w:rsidSect="00CE5657">
          <w:type w:val="continuous"/>
          <w:pgSz w:w="12240" w:h="15840"/>
          <w:pgMar w:top="1440" w:right="1440" w:bottom="1440" w:left="1440" w:header="720" w:footer="720" w:gutter="0"/>
          <w:cols w:num="2" w:space="720"/>
          <w:docGrid w:linePitch="360"/>
          <w15:footnoteColumns w:val="1"/>
        </w:sectPr>
      </w:pPr>
    </w:p>
    <w:p w14:paraId="1C981656" w14:textId="77777777" w:rsidR="00C02C3D" w:rsidRPr="00F27A03" w:rsidRDefault="00C02C3D" w:rsidP="008527D6">
      <w:pPr>
        <w:spacing w:after="60" w:line="240" w:lineRule="auto"/>
        <w:jc w:val="center"/>
        <w:rPr>
          <w:rFonts w:cstheme="minorHAnsi"/>
          <w:b/>
          <w:color w:val="002060"/>
          <w:lang w:val="sr-Cyrl-CS"/>
        </w:rPr>
      </w:pPr>
      <w:r w:rsidRPr="00F27A03">
        <w:rPr>
          <w:rFonts w:cstheme="minorHAnsi"/>
          <w:b/>
          <w:color w:val="002060"/>
          <w:lang w:val="sr-Cyrl-CS"/>
        </w:rPr>
        <w:t>Индекси физичког обима водећих делатности индустријске производње, 2021=100</w:t>
      </w:r>
    </w:p>
    <w:tbl>
      <w:tblPr>
        <w:tblStyle w:val="TableGrid5"/>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1"/>
        <w:gridCol w:w="4679"/>
      </w:tblGrid>
      <w:tr w:rsidR="00C02C3D" w:rsidRPr="00F27A03" w14:paraId="6DDBA8BC" w14:textId="77777777" w:rsidTr="0065412F">
        <w:tc>
          <w:tcPr>
            <w:tcW w:w="4681" w:type="dxa"/>
          </w:tcPr>
          <w:p w14:paraId="119D988B" w14:textId="77777777" w:rsidR="00C02C3D" w:rsidRPr="00F27A03" w:rsidRDefault="00C02C3D" w:rsidP="008527D6">
            <w:pPr>
              <w:spacing w:before="40" w:after="20"/>
              <w:jc w:val="center"/>
              <w:rPr>
                <w:lang w:val="sr-Cyrl-CS"/>
              </w:rPr>
            </w:pPr>
            <w:r w:rsidRPr="00F27A03">
              <w:rPr>
                <w:lang w:val="sr-Cyrl-CS"/>
              </w:rPr>
              <w:t>Прерађивачка индустрија</w:t>
            </w:r>
          </w:p>
          <w:p w14:paraId="65F1C1EB" w14:textId="77777777" w:rsidR="00C02C3D" w:rsidRPr="00F27A03" w:rsidRDefault="00C02C3D" w:rsidP="0065412F">
            <w:pPr>
              <w:spacing w:before="40" w:after="20"/>
              <w:jc w:val="center"/>
              <w:rPr>
                <w:lang w:val="sr-Cyrl-CS"/>
              </w:rPr>
            </w:pPr>
            <w:r w:rsidRPr="00F27A03">
              <w:rPr>
                <w:noProof/>
                <w:lang w:val="sr-Cyrl-RS" w:eastAsia="sr-Cyrl-RS"/>
              </w:rPr>
              <w:drawing>
                <wp:inline distT="0" distB="0" distL="0" distR="0" wp14:anchorId="2CD7C52A" wp14:editId="6CB3B5DF">
                  <wp:extent cx="2880000" cy="1278000"/>
                  <wp:effectExtent l="0" t="0" r="0" b="0"/>
                  <wp:docPr id="37" name="Chart 37">
                    <a:extLst xmlns:a="http://schemas.openxmlformats.org/drawingml/2006/main">
                      <a:ext uri="{FF2B5EF4-FFF2-40B4-BE49-F238E27FC236}">
                        <a16:creationId xmlns:a16="http://schemas.microsoft.com/office/drawing/2014/main" id="{00000000-0008-0000-19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c>
          <w:tcPr>
            <w:tcW w:w="4679" w:type="dxa"/>
          </w:tcPr>
          <w:p w14:paraId="06A941C5" w14:textId="77777777" w:rsidR="00C02C3D" w:rsidRPr="00F27A03" w:rsidRDefault="00C02C3D" w:rsidP="0065412F">
            <w:pPr>
              <w:spacing w:before="40" w:after="20"/>
              <w:jc w:val="center"/>
              <w:rPr>
                <w:lang w:val="sr-Cyrl-CS"/>
              </w:rPr>
            </w:pPr>
            <w:r w:rsidRPr="00F27A03">
              <w:rPr>
                <w:lang w:val="sr-Cyrl-CS"/>
              </w:rPr>
              <w:t>Производња кокса и деривата нафте</w:t>
            </w:r>
          </w:p>
          <w:p w14:paraId="264CDD89" w14:textId="77777777" w:rsidR="00C02C3D" w:rsidRPr="00F27A03" w:rsidRDefault="00C02C3D" w:rsidP="0065412F">
            <w:pPr>
              <w:spacing w:before="40" w:after="20"/>
              <w:jc w:val="center"/>
              <w:rPr>
                <w:lang w:val="sr-Cyrl-CS"/>
              </w:rPr>
            </w:pPr>
            <w:r w:rsidRPr="00F27A03">
              <w:rPr>
                <w:noProof/>
                <w:lang w:val="sr-Cyrl-RS" w:eastAsia="sr-Cyrl-RS"/>
              </w:rPr>
              <w:drawing>
                <wp:inline distT="0" distB="0" distL="0" distR="0" wp14:anchorId="45551AA5" wp14:editId="6CEBFA17">
                  <wp:extent cx="2880000" cy="1278000"/>
                  <wp:effectExtent l="0" t="0" r="0" b="0"/>
                  <wp:docPr id="29" name="Chart 29">
                    <a:extLst xmlns:a="http://schemas.openxmlformats.org/drawingml/2006/main">
                      <a:ext uri="{FF2B5EF4-FFF2-40B4-BE49-F238E27FC236}">
                        <a16:creationId xmlns:a16="http://schemas.microsoft.com/office/drawing/2014/main" id="{00000000-0008-0000-19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r w:rsidR="00C02C3D" w:rsidRPr="00F27A03" w14:paraId="665B3EF7" w14:textId="77777777" w:rsidTr="0065412F">
        <w:tc>
          <w:tcPr>
            <w:tcW w:w="4681" w:type="dxa"/>
          </w:tcPr>
          <w:p w14:paraId="1EE51794" w14:textId="77777777" w:rsidR="00C02C3D" w:rsidRPr="00F27A03" w:rsidRDefault="00C02C3D" w:rsidP="0065412F">
            <w:pPr>
              <w:spacing w:before="40" w:after="20"/>
              <w:jc w:val="center"/>
              <w:rPr>
                <w:lang w:val="sr-Cyrl-CS"/>
              </w:rPr>
            </w:pPr>
            <w:r w:rsidRPr="00F27A03">
              <w:rPr>
                <w:lang w:val="sr-Cyrl-CS"/>
              </w:rPr>
              <w:t>Производња машина и опреме на другом месту непоменуте</w:t>
            </w:r>
          </w:p>
          <w:p w14:paraId="55C6562A" w14:textId="77777777" w:rsidR="00C02C3D" w:rsidRPr="00F27A03" w:rsidRDefault="00C02C3D" w:rsidP="0065412F">
            <w:pPr>
              <w:spacing w:before="40" w:after="20"/>
              <w:jc w:val="center"/>
              <w:rPr>
                <w:lang w:val="sr-Cyrl-CS"/>
              </w:rPr>
            </w:pPr>
            <w:r w:rsidRPr="00F27A03">
              <w:rPr>
                <w:noProof/>
                <w:lang w:val="sr-Cyrl-RS" w:eastAsia="sr-Cyrl-RS"/>
              </w:rPr>
              <w:drawing>
                <wp:inline distT="0" distB="0" distL="0" distR="0" wp14:anchorId="33E62F81" wp14:editId="20B9381D">
                  <wp:extent cx="2881465" cy="1278000"/>
                  <wp:effectExtent l="0" t="0" r="0" b="0"/>
                  <wp:docPr id="46" name="Chart 46">
                    <a:extLst xmlns:a="http://schemas.openxmlformats.org/drawingml/2006/main">
                      <a:ext uri="{FF2B5EF4-FFF2-40B4-BE49-F238E27FC236}">
                        <a16:creationId xmlns:a16="http://schemas.microsoft.com/office/drawing/2014/main" id="{00000000-0008-0000-1900-00003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c>
          <w:tcPr>
            <w:tcW w:w="4679" w:type="dxa"/>
          </w:tcPr>
          <w:p w14:paraId="34E47B73" w14:textId="77777777" w:rsidR="00C02C3D" w:rsidRPr="00F27A03" w:rsidRDefault="00C02C3D" w:rsidP="0065412F">
            <w:pPr>
              <w:spacing w:before="40" w:after="20"/>
              <w:jc w:val="center"/>
              <w:rPr>
                <w:lang w:val="sr-Cyrl-CS"/>
              </w:rPr>
            </w:pPr>
            <w:r w:rsidRPr="00F27A03">
              <w:rPr>
                <w:lang w:val="sr-Cyrl-CS"/>
              </w:rPr>
              <w:t>Производња основних фармацеутских производа и препарата</w:t>
            </w:r>
          </w:p>
          <w:p w14:paraId="3C60BDB9" w14:textId="77777777" w:rsidR="00C02C3D" w:rsidRPr="00F27A03" w:rsidRDefault="00C02C3D" w:rsidP="0065412F">
            <w:pPr>
              <w:spacing w:before="40" w:after="20"/>
              <w:jc w:val="center"/>
              <w:rPr>
                <w:lang w:val="sr-Cyrl-CS"/>
              </w:rPr>
            </w:pPr>
            <w:r w:rsidRPr="00F27A03">
              <w:rPr>
                <w:noProof/>
                <w:lang w:val="sr-Cyrl-RS" w:eastAsia="sr-Cyrl-RS"/>
              </w:rPr>
              <w:drawing>
                <wp:inline distT="0" distB="0" distL="0" distR="0" wp14:anchorId="7CAA789D" wp14:editId="32E21533">
                  <wp:extent cx="2880000" cy="1278000"/>
                  <wp:effectExtent l="0" t="0" r="0" b="0"/>
                  <wp:docPr id="48" name="Chart 48">
                    <a:extLst xmlns:a="http://schemas.openxmlformats.org/drawingml/2006/main">
                      <a:ext uri="{FF2B5EF4-FFF2-40B4-BE49-F238E27FC236}">
                        <a16:creationId xmlns:a16="http://schemas.microsoft.com/office/drawing/2014/main" id="{00000000-0008-0000-19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C02C3D" w:rsidRPr="00F27A03" w14:paraId="03A78D78" w14:textId="77777777" w:rsidTr="008527D6">
        <w:tc>
          <w:tcPr>
            <w:tcW w:w="4681" w:type="dxa"/>
          </w:tcPr>
          <w:p w14:paraId="558B84FD" w14:textId="77777777" w:rsidR="00C02C3D" w:rsidRPr="00F27A03" w:rsidRDefault="00C02C3D" w:rsidP="0065412F">
            <w:pPr>
              <w:spacing w:before="40" w:after="20"/>
              <w:jc w:val="center"/>
              <w:rPr>
                <w:lang w:val="sr-Cyrl-CS"/>
              </w:rPr>
            </w:pPr>
            <w:r w:rsidRPr="00F27A03">
              <w:rPr>
                <w:lang w:val="sr-Cyrl-CS"/>
              </w:rPr>
              <w:t>Производња металних производа, осим машина</w:t>
            </w:r>
          </w:p>
          <w:p w14:paraId="6479B008" w14:textId="77777777" w:rsidR="00C02C3D" w:rsidRPr="00F27A03" w:rsidRDefault="00C02C3D" w:rsidP="0065412F">
            <w:pPr>
              <w:spacing w:before="40" w:after="20"/>
              <w:jc w:val="center"/>
              <w:rPr>
                <w:lang w:val="sr-Cyrl-CS"/>
              </w:rPr>
            </w:pPr>
            <w:r w:rsidRPr="00F27A03">
              <w:rPr>
                <w:noProof/>
                <w:lang w:val="sr-Cyrl-RS" w:eastAsia="sr-Cyrl-RS"/>
              </w:rPr>
              <w:drawing>
                <wp:inline distT="0" distB="0" distL="0" distR="0" wp14:anchorId="26540A3D" wp14:editId="01198F4B">
                  <wp:extent cx="2880000" cy="1278000"/>
                  <wp:effectExtent l="0" t="0" r="0" b="0"/>
                  <wp:docPr id="49" name="Chart 49">
                    <a:extLst xmlns:a="http://schemas.openxmlformats.org/drawingml/2006/main">
                      <a:ext uri="{FF2B5EF4-FFF2-40B4-BE49-F238E27FC236}">
                        <a16:creationId xmlns:a16="http://schemas.microsoft.com/office/drawing/2014/main" id="{00000000-0008-0000-1900-00003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c>
          <w:tcPr>
            <w:tcW w:w="4679" w:type="dxa"/>
          </w:tcPr>
          <w:p w14:paraId="2B62FFBE" w14:textId="77777777" w:rsidR="00C02C3D" w:rsidRPr="00F27A03" w:rsidRDefault="00C02C3D" w:rsidP="0065412F">
            <w:pPr>
              <w:spacing w:before="40" w:after="20"/>
              <w:jc w:val="center"/>
              <w:rPr>
                <w:lang w:val="sr-Cyrl-CS"/>
              </w:rPr>
            </w:pPr>
            <w:r w:rsidRPr="00F27A03">
              <w:rPr>
                <w:lang w:val="sr-Cyrl-CS"/>
              </w:rPr>
              <w:t>Производња прехрамбених производа</w:t>
            </w:r>
          </w:p>
          <w:p w14:paraId="0FF9F7E4" w14:textId="77777777" w:rsidR="00C02C3D" w:rsidRPr="00F27A03" w:rsidRDefault="00C02C3D" w:rsidP="0065412F">
            <w:pPr>
              <w:spacing w:before="40" w:after="20"/>
              <w:jc w:val="center"/>
              <w:rPr>
                <w:lang w:val="sr-Cyrl-CS"/>
              </w:rPr>
            </w:pPr>
            <w:r w:rsidRPr="00F27A03">
              <w:rPr>
                <w:noProof/>
                <w:lang w:val="sr-Cyrl-RS" w:eastAsia="sr-Cyrl-RS"/>
              </w:rPr>
              <w:drawing>
                <wp:inline distT="0" distB="0" distL="0" distR="0" wp14:anchorId="4C9AEE83" wp14:editId="6EBCEF41">
                  <wp:extent cx="2880000" cy="1278000"/>
                  <wp:effectExtent l="0" t="0" r="0" b="0"/>
                  <wp:docPr id="50" name="Chart 50">
                    <a:extLst xmlns:a="http://schemas.openxmlformats.org/drawingml/2006/main">
                      <a:ext uri="{FF2B5EF4-FFF2-40B4-BE49-F238E27FC236}">
                        <a16:creationId xmlns:a16="http://schemas.microsoft.com/office/drawing/2014/main" id="{00000000-0008-0000-1900-00001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C02C3D" w:rsidRPr="00F27A03" w14:paraId="2600DF00" w14:textId="77777777" w:rsidTr="0065412F">
        <w:tc>
          <w:tcPr>
            <w:tcW w:w="4681" w:type="dxa"/>
          </w:tcPr>
          <w:p w14:paraId="4DEAEB71" w14:textId="77777777" w:rsidR="00C02C3D" w:rsidRPr="00F27A03" w:rsidRDefault="00C02C3D" w:rsidP="0065412F">
            <w:pPr>
              <w:spacing w:before="40" w:after="20"/>
              <w:jc w:val="center"/>
              <w:rPr>
                <w:lang w:val="sr-Cyrl-CS"/>
              </w:rPr>
            </w:pPr>
            <w:r w:rsidRPr="00F27A03">
              <w:rPr>
                <w:lang w:val="sr-Cyrl-CS"/>
              </w:rPr>
              <w:t>Производња производа од гуме и пластике</w:t>
            </w:r>
          </w:p>
          <w:p w14:paraId="48572664" w14:textId="77777777" w:rsidR="00C02C3D" w:rsidRPr="00F27A03" w:rsidRDefault="00C02C3D" w:rsidP="0065412F">
            <w:pPr>
              <w:spacing w:before="40" w:after="20"/>
              <w:jc w:val="center"/>
              <w:rPr>
                <w:lang w:val="sr-Cyrl-CS"/>
              </w:rPr>
            </w:pPr>
            <w:r w:rsidRPr="00F27A03">
              <w:rPr>
                <w:noProof/>
                <w:lang w:val="sr-Cyrl-RS" w:eastAsia="sr-Cyrl-RS"/>
              </w:rPr>
              <w:drawing>
                <wp:inline distT="0" distB="0" distL="0" distR="0" wp14:anchorId="613389D8" wp14:editId="113C1FC7">
                  <wp:extent cx="2880000" cy="1278000"/>
                  <wp:effectExtent l="0" t="0" r="0" b="0"/>
                  <wp:docPr id="43" name="Chart 43">
                    <a:extLst xmlns:a="http://schemas.openxmlformats.org/drawingml/2006/main">
                      <a:ext uri="{FF2B5EF4-FFF2-40B4-BE49-F238E27FC236}">
                        <a16:creationId xmlns:a16="http://schemas.microsoft.com/office/drawing/2014/main" id="{00000000-0008-0000-19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c>
          <w:tcPr>
            <w:tcW w:w="4679" w:type="dxa"/>
          </w:tcPr>
          <w:p w14:paraId="5268AA16" w14:textId="77777777" w:rsidR="00C02C3D" w:rsidRPr="00F27A03" w:rsidRDefault="00C02C3D" w:rsidP="0065412F">
            <w:pPr>
              <w:spacing w:before="40" w:after="20"/>
              <w:jc w:val="center"/>
              <w:rPr>
                <w:lang w:val="sr-Cyrl-CS"/>
              </w:rPr>
            </w:pPr>
            <w:r w:rsidRPr="00F27A03">
              <w:rPr>
                <w:lang w:val="sr-Cyrl-CS"/>
              </w:rPr>
              <w:t>Производња основних метала</w:t>
            </w:r>
          </w:p>
          <w:p w14:paraId="1451ED14" w14:textId="77777777" w:rsidR="00C02C3D" w:rsidRPr="00F27A03" w:rsidRDefault="00C02C3D" w:rsidP="0065412F">
            <w:pPr>
              <w:spacing w:before="40" w:after="20"/>
              <w:jc w:val="center"/>
              <w:rPr>
                <w:lang w:val="sr-Cyrl-CS"/>
              </w:rPr>
            </w:pPr>
            <w:r w:rsidRPr="00F27A03">
              <w:rPr>
                <w:noProof/>
                <w:lang w:val="sr-Cyrl-RS" w:eastAsia="sr-Cyrl-RS"/>
              </w:rPr>
              <w:drawing>
                <wp:inline distT="0" distB="0" distL="0" distR="0" wp14:anchorId="4A9BD5E1" wp14:editId="5769089B">
                  <wp:extent cx="2880000" cy="1278000"/>
                  <wp:effectExtent l="0" t="0" r="0" b="0"/>
                  <wp:docPr id="42" name="Chart 42">
                    <a:extLst xmlns:a="http://schemas.openxmlformats.org/drawingml/2006/main">
                      <a:ext uri="{FF2B5EF4-FFF2-40B4-BE49-F238E27FC236}">
                        <a16:creationId xmlns:a16="http://schemas.microsoft.com/office/drawing/2014/main" id="{00000000-0008-0000-1900-00001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14:paraId="0A77C876" w14:textId="77777777" w:rsidR="00C02C3D" w:rsidRPr="00F27A03" w:rsidRDefault="00C02C3D" w:rsidP="008527D6">
      <w:pPr>
        <w:spacing w:before="20" w:after="0" w:line="240" w:lineRule="auto"/>
        <w:jc w:val="center"/>
        <w:rPr>
          <w:rFonts w:cstheme="minorHAnsi"/>
          <w:b/>
          <w:bCs/>
          <w:sz w:val="18"/>
          <w:szCs w:val="72"/>
          <w:lang w:val="sr-Cyrl-CS"/>
        </w:rPr>
      </w:pPr>
      <w:r w:rsidRPr="00F27A03">
        <w:rPr>
          <w:noProof/>
          <w:lang w:val="sr-Cyrl-RS" w:eastAsia="sr-Cyrl-RS"/>
        </w:rPr>
        <w:drawing>
          <wp:inline distT="0" distB="0" distL="0" distR="0" wp14:anchorId="737C036A" wp14:editId="779BE2EE">
            <wp:extent cx="4371429" cy="219048"/>
            <wp:effectExtent l="0" t="0" r="0" b="0"/>
            <wp:docPr id="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60"/>
                    <a:stretch>
                      <a:fillRect/>
                    </a:stretch>
                  </pic:blipFill>
                  <pic:spPr>
                    <a:xfrm>
                      <a:off x="0" y="0"/>
                      <a:ext cx="4371429" cy="219048"/>
                    </a:xfrm>
                    <a:prstGeom prst="rect">
                      <a:avLst/>
                    </a:prstGeom>
                  </pic:spPr>
                </pic:pic>
              </a:graphicData>
            </a:graphic>
          </wp:inline>
        </w:drawing>
      </w:r>
    </w:p>
    <w:p w14:paraId="305218F5" w14:textId="77777777" w:rsidR="00C02C3D" w:rsidRPr="00F27A03" w:rsidRDefault="00C02C3D" w:rsidP="008527D6">
      <w:pPr>
        <w:spacing w:after="0" w:line="240" w:lineRule="auto"/>
        <w:jc w:val="left"/>
        <w:rPr>
          <w:rFonts w:cstheme="minorHAnsi"/>
          <w:b/>
          <w:bCs/>
          <w:sz w:val="14"/>
          <w:szCs w:val="72"/>
          <w:lang w:val="sr-Cyrl-CS"/>
        </w:rPr>
      </w:pPr>
      <w:r w:rsidRPr="00F27A03">
        <w:rPr>
          <w:rFonts w:cstheme="minorHAnsi"/>
          <w:bCs/>
          <w:sz w:val="16"/>
          <w:szCs w:val="72"/>
          <w:lang w:val="sr-Cyrl-CS"/>
        </w:rPr>
        <w:t>Извор: Министарство финансија</w:t>
      </w:r>
    </w:p>
    <w:p w14:paraId="58942A6C" w14:textId="77777777" w:rsidR="00C02C3D" w:rsidRPr="00F27A03" w:rsidRDefault="00C02C3D" w:rsidP="008527D6">
      <w:pPr>
        <w:spacing w:after="0" w:line="240" w:lineRule="auto"/>
        <w:rPr>
          <w:rFonts w:cstheme="minorHAnsi"/>
          <w:b/>
          <w:bCs/>
          <w:szCs w:val="72"/>
          <w:lang w:val="sr-Cyrl-CS"/>
        </w:rPr>
        <w:sectPr w:rsidR="00C02C3D" w:rsidRPr="00F27A03" w:rsidSect="00B435B3">
          <w:type w:val="continuous"/>
          <w:pgSz w:w="12240" w:h="15840"/>
          <w:pgMar w:top="1440" w:right="1440" w:bottom="1440" w:left="1440" w:header="720" w:footer="720" w:gutter="0"/>
          <w:cols w:space="720"/>
          <w:docGrid w:linePitch="360"/>
          <w15:footnoteColumns w:val="1"/>
        </w:sectPr>
      </w:pPr>
    </w:p>
    <w:p w14:paraId="472C4CA6" w14:textId="77777777" w:rsidR="00C02C3D" w:rsidRPr="00F27A03" w:rsidRDefault="00C02C3D" w:rsidP="0065412F">
      <w:pPr>
        <w:rPr>
          <w:rFonts w:cstheme="minorHAnsi"/>
          <w:bCs/>
          <w:szCs w:val="72"/>
          <w:lang w:val="sr-Cyrl-CS"/>
        </w:rPr>
      </w:pPr>
    </w:p>
    <w:p w14:paraId="098546DD" w14:textId="77777777" w:rsidR="00C02C3D" w:rsidRPr="00F27A03" w:rsidRDefault="00C02C3D" w:rsidP="0065412F">
      <w:pPr>
        <w:rPr>
          <w:rFonts w:cstheme="minorHAnsi"/>
          <w:bCs/>
          <w:szCs w:val="72"/>
          <w:lang w:val="sr-Cyrl-CS"/>
        </w:rPr>
      </w:pPr>
    </w:p>
    <w:p w14:paraId="58FC357F" w14:textId="77777777" w:rsidR="00C02C3D" w:rsidRPr="00F27A03" w:rsidRDefault="00C02C3D" w:rsidP="0065412F">
      <w:pPr>
        <w:rPr>
          <w:rFonts w:cstheme="minorHAnsi"/>
          <w:bCs/>
          <w:szCs w:val="72"/>
          <w:lang w:val="sr-Cyrl-CS"/>
        </w:rPr>
      </w:pPr>
      <w:r w:rsidRPr="00F27A03">
        <w:rPr>
          <w:rFonts w:cstheme="minorHAnsi"/>
          <w:bCs/>
          <w:szCs w:val="72"/>
          <w:lang w:val="sr-Cyrl-CS"/>
        </w:rPr>
        <w:lastRenderedPageBreak/>
        <w:t>Повољна динамика услужног сектора настављена је и током 2022. године, али уз нешто спорија кретања током трећег квартала у поређењу са првом половином године.</w:t>
      </w:r>
    </w:p>
    <w:p w14:paraId="5E9D1F3A" w14:textId="4B9C44AA" w:rsidR="00C02C3D" w:rsidRPr="00F27A03" w:rsidRDefault="00C02C3D" w:rsidP="0065412F">
      <w:pPr>
        <w:rPr>
          <w:rFonts w:cstheme="minorHAnsi"/>
          <w:bCs/>
          <w:szCs w:val="72"/>
          <w:lang w:val="sr-Cyrl-CS"/>
        </w:rPr>
      </w:pPr>
      <w:r w:rsidRPr="00F27A03">
        <w:rPr>
          <w:rFonts w:cstheme="minorHAnsi"/>
          <w:bCs/>
          <w:szCs w:val="72"/>
          <w:lang w:val="sr-Cyrl-CS"/>
        </w:rPr>
        <w:t xml:space="preserve">У првих девет месеци промет робе у трговини на мало </w:t>
      </w:r>
      <w:r w:rsidR="00CA5874" w:rsidRPr="00F27A03">
        <w:rPr>
          <w:rFonts w:cstheme="minorHAnsi"/>
          <w:bCs/>
          <w:szCs w:val="72"/>
          <w:lang w:val="sr-Cyrl-CS"/>
        </w:rPr>
        <w:t xml:space="preserve">реално је </w:t>
      </w:r>
      <w:r w:rsidRPr="00F27A03">
        <w:rPr>
          <w:rFonts w:cstheme="minorHAnsi"/>
          <w:bCs/>
          <w:szCs w:val="72"/>
          <w:lang w:val="sr-Cyrl-CS"/>
        </w:rPr>
        <w:t>повећан за 7,1% мг. Овоме је допринео раст расположивог дохотка становништва, пре свега услед раста реалних зарада и запослености подржано додатним давањима појединим категоријама становништва, али је једним делом и последица импулсивне куповине по самом избијању сукоба у Украјини. И поред растућих цена приметан је раст тражње потрошача за моторним горивом и прехрамбеним производима (храна, пића и дуван), тако да је промет ових категорија био реално већи за 13,4% и 2,8% мг., док је промет непрехрамбених производа повећан за 9,0%. Током трећег квартала, промет у трговини на мало у реалном износу расте нешто спорије у односу на претходни период, услед виших цена, али је и даље у просеку већи за солидних 4,6% мг. уз реални раст све три категорије производа.</w:t>
      </w:r>
    </w:p>
    <w:p w14:paraId="4CC3E8F5" w14:textId="514B0DEF" w:rsidR="00C02C3D" w:rsidRPr="00F27A03" w:rsidRDefault="00C02C3D" w:rsidP="0065412F">
      <w:pPr>
        <w:rPr>
          <w:rFonts w:cstheme="minorHAnsi"/>
          <w:bCs/>
          <w:szCs w:val="72"/>
          <w:lang w:val="sr-Cyrl-CS"/>
        </w:rPr>
      </w:pPr>
      <w:r w:rsidRPr="00F27A03">
        <w:rPr>
          <w:rFonts w:cstheme="minorHAnsi"/>
          <w:bCs/>
          <w:szCs w:val="72"/>
          <w:lang w:val="sr-Cyrl-CS"/>
        </w:rPr>
        <w:t xml:space="preserve">Сектор информационо комуникационих технологија који је снажно растао током две пандемијске године остваривши кумулативни раст </w:t>
      </w:r>
      <w:r w:rsidR="004A664E" w:rsidRPr="00F27A03">
        <w:rPr>
          <w:rFonts w:cstheme="minorHAnsi"/>
          <w:bCs/>
          <w:szCs w:val="72"/>
          <w:lang w:val="sr-Cyrl-CS"/>
        </w:rPr>
        <w:t xml:space="preserve">бруто додате вредности (у даљем тексту: </w:t>
      </w:r>
      <w:r w:rsidRPr="00F27A03">
        <w:rPr>
          <w:rFonts w:cstheme="minorHAnsi"/>
          <w:bCs/>
          <w:szCs w:val="72"/>
          <w:lang w:val="sr-Cyrl-CS"/>
        </w:rPr>
        <w:t>БДВ</w:t>
      </w:r>
      <w:r w:rsidR="004A664E" w:rsidRPr="00F27A03">
        <w:rPr>
          <w:rFonts w:cstheme="minorHAnsi"/>
          <w:bCs/>
          <w:szCs w:val="72"/>
          <w:lang w:val="sr-Cyrl-CS"/>
        </w:rPr>
        <w:t>)</w:t>
      </w:r>
      <w:r w:rsidRPr="00F27A03">
        <w:rPr>
          <w:rFonts w:cstheme="minorHAnsi"/>
          <w:bCs/>
          <w:szCs w:val="72"/>
          <w:lang w:val="sr-Cyrl-CS"/>
        </w:rPr>
        <w:t xml:space="preserve"> од 14,1%, наставио је са добром динамиком у првој половини године (раст од 5,1% мг.). Поред тога, извоз услуга континуирано расте, вођен све значајнијом улогом ИКТ сектора, при чему је његов извоз у првих осам месеци био већи за 43,1% мг.</w:t>
      </w:r>
    </w:p>
    <w:p w14:paraId="12CCE6A2" w14:textId="77777777" w:rsidR="00C02C3D" w:rsidRPr="00F27A03" w:rsidRDefault="00C02C3D" w:rsidP="0065412F">
      <w:pPr>
        <w:rPr>
          <w:rFonts w:cstheme="minorHAnsi"/>
          <w:bCs/>
          <w:szCs w:val="72"/>
          <w:lang w:val="sr-Cyrl-CS"/>
        </w:rPr>
      </w:pPr>
      <w:r w:rsidRPr="00F27A03">
        <w:rPr>
          <w:rFonts w:cstheme="minorHAnsi"/>
          <w:bCs/>
          <w:szCs w:val="72"/>
          <w:lang w:val="sr-Cyrl-CS"/>
        </w:rPr>
        <w:t xml:space="preserve">Саобраћајна активност мерена индексом физичког обима у првој половини 2022. године међугодишње је већа за 23,4%, уз раст путничког и теретног саобраћаја за 39,7% и 7,9%, респективно. </w:t>
      </w:r>
      <w:r w:rsidRPr="00F27A03">
        <w:rPr>
          <w:rFonts w:cstheme="minorHAnsi"/>
          <w:bCs/>
          <w:szCs w:val="72"/>
          <w:lang w:val="sr-Cyrl-CS"/>
        </w:rPr>
        <w:t>Укупан обим саобраћаја премашио је ниво из прве половине 2019. године за око 3%, пре свега услед повећања обима теретног саобраћаја за око 27%, док је ниво путничког саобраћаја и даље за око 11% нижи. Током 2022. године, извоз транспортних услуга наставио је да расте и у првих осам месеца био је већи за 45,8% у односу на исти период претходне године.</w:t>
      </w:r>
    </w:p>
    <w:p w14:paraId="59B89058" w14:textId="77777777" w:rsidR="00C02C3D" w:rsidRPr="00F27A03" w:rsidRDefault="00C02C3D" w:rsidP="008527D6">
      <w:pPr>
        <w:spacing w:after="80"/>
        <w:jc w:val="center"/>
        <w:rPr>
          <w:rFonts w:cstheme="minorHAnsi"/>
          <w:b/>
          <w:color w:val="002060"/>
          <w:lang w:val="sr-Cyrl-CS"/>
        </w:rPr>
      </w:pPr>
      <w:r w:rsidRPr="00F27A03">
        <w:rPr>
          <w:rFonts w:cstheme="minorHAnsi"/>
          <w:b/>
          <w:color w:val="002060"/>
          <w:lang w:val="sr-Cyrl-CS"/>
        </w:rPr>
        <w:t>Индекс физичког обима саобраћаја (2021=100)</w:t>
      </w:r>
    </w:p>
    <w:p w14:paraId="1886625A" w14:textId="77777777" w:rsidR="00C02C3D" w:rsidRPr="00F27A03" w:rsidRDefault="00C02C3D" w:rsidP="0065412F">
      <w:pPr>
        <w:spacing w:after="0"/>
        <w:jc w:val="center"/>
        <w:rPr>
          <w:lang w:val="sr-Cyrl-CS"/>
        </w:rPr>
      </w:pPr>
      <w:r w:rsidRPr="00F27A03">
        <w:rPr>
          <w:noProof/>
          <w:lang w:val="sr-Cyrl-RS" w:eastAsia="sr-Cyrl-RS"/>
        </w:rPr>
        <w:drawing>
          <wp:inline distT="0" distB="0" distL="0" distR="0" wp14:anchorId="325DB42E" wp14:editId="4FD61BF5">
            <wp:extent cx="2743200" cy="2253082"/>
            <wp:effectExtent l="0" t="0" r="0" b="0"/>
            <wp:docPr id="10" name="Chart 10">
              <a:extLst xmlns:a="http://schemas.openxmlformats.org/drawingml/2006/main">
                <a:ext uri="{FF2B5EF4-FFF2-40B4-BE49-F238E27FC236}">
                  <a16:creationId xmlns:a16="http://schemas.microsoft.com/office/drawing/2014/main" id="{00000000-0008-0000-1C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677DD20" w14:textId="77777777" w:rsidR="00C02C3D" w:rsidRPr="00F27A03" w:rsidRDefault="00C02C3D" w:rsidP="008527D6">
      <w:pPr>
        <w:rPr>
          <w:rFonts w:cstheme="minorHAnsi"/>
          <w:bCs/>
          <w:sz w:val="16"/>
          <w:szCs w:val="72"/>
          <w:lang w:val="sr-Cyrl-CS"/>
        </w:rPr>
      </w:pPr>
      <w:r w:rsidRPr="00F27A03">
        <w:rPr>
          <w:rFonts w:cstheme="minorHAnsi"/>
          <w:bCs/>
          <w:sz w:val="16"/>
          <w:szCs w:val="72"/>
          <w:lang w:val="sr-Cyrl-CS"/>
        </w:rPr>
        <w:t>Извор: РЗС</w:t>
      </w:r>
    </w:p>
    <w:p w14:paraId="6F6B0AEF" w14:textId="77777777" w:rsidR="00C02C3D" w:rsidRPr="00F27A03" w:rsidRDefault="00C02C3D" w:rsidP="0065412F">
      <w:pPr>
        <w:rPr>
          <w:rFonts w:cstheme="minorHAnsi"/>
          <w:bCs/>
          <w:szCs w:val="72"/>
          <w:lang w:val="sr-Cyrl-CS"/>
        </w:rPr>
      </w:pPr>
      <w:r w:rsidRPr="00F27A03">
        <w:rPr>
          <w:rFonts w:cstheme="minorHAnsi"/>
          <w:bCs/>
          <w:szCs w:val="72"/>
          <w:lang w:val="sr-Cyrl-CS"/>
        </w:rPr>
        <w:t>Туристичка активност након изузетно тешке две пандемијске године наставља са опоравком током 2022. године. У првих девет месеци укупан број долазака и ноћења туриста је међугодишње увећан за 50,6% и 32,3%, респективно, праћен растом активности домаћих и страних туриста. Повећан је и девизни прилив од туризма, тако да је у првих осам месеци 2022. године, извоз туристичких услуга био међугодишње већи за 51,8%. Снажан раст промета у угоститељству забележен је током 2021. године уз наставак сличних кретања током 2022. године, при чему је у првих седам месеци реално већи за 54,0% мг.</w:t>
      </w:r>
    </w:p>
    <w:p w14:paraId="788F6BD5" w14:textId="77777777" w:rsidR="00C02C3D" w:rsidRPr="00F27A03" w:rsidRDefault="00C02C3D" w:rsidP="00B435B3">
      <w:pPr>
        <w:rPr>
          <w:rFonts w:cstheme="minorHAnsi"/>
          <w:b/>
          <w:bCs/>
          <w:szCs w:val="72"/>
          <w:lang w:val="sr-Cyrl-CS"/>
        </w:rPr>
        <w:sectPr w:rsidR="00C02C3D" w:rsidRPr="00F27A03" w:rsidSect="00CE5657">
          <w:type w:val="continuous"/>
          <w:pgSz w:w="12240" w:h="15840"/>
          <w:pgMar w:top="1440" w:right="1440" w:bottom="1440" w:left="1440" w:header="720" w:footer="720" w:gutter="0"/>
          <w:cols w:num="2" w:space="720"/>
          <w:docGrid w:linePitch="360"/>
          <w15:footnoteColumns w:val="1"/>
        </w:sectPr>
      </w:pPr>
    </w:p>
    <w:p w14:paraId="3128B1B5" w14:textId="77777777" w:rsidR="00C02C3D" w:rsidRPr="00F27A03" w:rsidRDefault="00C02C3D" w:rsidP="0065412F">
      <w:pPr>
        <w:rPr>
          <w:lang w:val="sr-Cyrl-CS"/>
        </w:rPr>
      </w:pPr>
    </w:p>
    <w:p w14:paraId="013632D1" w14:textId="77777777" w:rsidR="00C02C3D" w:rsidRPr="00F27A03" w:rsidRDefault="00C02C3D" w:rsidP="0065412F">
      <w:pPr>
        <w:rPr>
          <w:lang w:val="sr-Cyrl-CS"/>
        </w:rPr>
      </w:pPr>
    </w:p>
    <w:p w14:paraId="17482909" w14:textId="77777777" w:rsidR="00C02C3D" w:rsidRPr="00F27A03" w:rsidRDefault="00C02C3D" w:rsidP="0065412F">
      <w:pPr>
        <w:rPr>
          <w:lang w:val="sr-Cyrl-CS"/>
        </w:rPr>
      </w:pPr>
    </w:p>
    <w:p w14:paraId="465AFF15" w14:textId="77777777" w:rsidR="00C02C3D" w:rsidRPr="00F27A03" w:rsidRDefault="00C02C3D" w:rsidP="0065412F">
      <w:pPr>
        <w:rPr>
          <w:lang w:val="sr-Cyrl-CS"/>
        </w:rPr>
      </w:pPr>
    </w:p>
    <w:p w14:paraId="2BF8B28B" w14:textId="77777777" w:rsidR="00C02C3D" w:rsidRPr="00F27A03" w:rsidRDefault="00C02C3D" w:rsidP="0065412F">
      <w:pPr>
        <w:rPr>
          <w:lang w:val="sr-Cyrl-CS"/>
        </w:rPr>
      </w:pPr>
    </w:p>
    <w:p w14:paraId="7EE63B7C" w14:textId="77777777" w:rsidR="00C02C3D" w:rsidRPr="00F27A03" w:rsidRDefault="00C02C3D" w:rsidP="0065412F">
      <w:pPr>
        <w:rPr>
          <w:lang w:val="sr-Cyrl-CS"/>
        </w:rPr>
      </w:pPr>
    </w:p>
    <w:p w14:paraId="6184FEB4" w14:textId="77777777" w:rsidR="00C02C3D" w:rsidRPr="00F27A03" w:rsidRDefault="00C02C3D" w:rsidP="008527D6">
      <w:pPr>
        <w:spacing w:before="240"/>
        <w:jc w:val="center"/>
        <w:rPr>
          <w:rFonts w:cstheme="minorHAnsi"/>
          <w:b/>
          <w:color w:val="002060"/>
          <w:lang w:val="sr-Cyrl-CS"/>
        </w:rPr>
      </w:pPr>
      <w:r w:rsidRPr="00F27A03">
        <w:rPr>
          <w:rFonts w:cstheme="minorHAnsi"/>
          <w:b/>
          <w:color w:val="002060"/>
          <w:lang w:val="sr-Cyrl-CS"/>
        </w:rPr>
        <w:lastRenderedPageBreak/>
        <w:t>Високофреквентни индикатори најзначајнијих услужних делатности, 2021=100</w:t>
      </w:r>
    </w:p>
    <w:tbl>
      <w:tblPr>
        <w:tblStyle w:val="TableGrid6"/>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79"/>
        <w:gridCol w:w="4681"/>
      </w:tblGrid>
      <w:tr w:rsidR="00C02C3D" w:rsidRPr="00F27A03" w14:paraId="1131648D" w14:textId="77777777" w:rsidTr="0065412F">
        <w:tc>
          <w:tcPr>
            <w:tcW w:w="4679" w:type="dxa"/>
          </w:tcPr>
          <w:p w14:paraId="462C2691" w14:textId="77777777" w:rsidR="00C02C3D" w:rsidRPr="00F27A03" w:rsidRDefault="00C02C3D" w:rsidP="008527D6">
            <w:pPr>
              <w:jc w:val="center"/>
              <w:rPr>
                <w:lang w:val="sr-Cyrl-CS"/>
              </w:rPr>
            </w:pPr>
            <w:r w:rsidRPr="00F27A03">
              <w:rPr>
                <w:lang w:val="sr-Cyrl-CS"/>
              </w:rPr>
              <w:t>Извоз услужних делатности</w:t>
            </w:r>
          </w:p>
          <w:p w14:paraId="26D06716" w14:textId="77777777" w:rsidR="00C02C3D" w:rsidRPr="00F27A03" w:rsidRDefault="00C02C3D" w:rsidP="0065412F">
            <w:pPr>
              <w:jc w:val="center"/>
              <w:rPr>
                <w:lang w:val="sr-Cyrl-CS"/>
              </w:rPr>
            </w:pPr>
            <w:r w:rsidRPr="00F27A03">
              <w:rPr>
                <w:noProof/>
                <w:lang w:val="sr-Cyrl-RS" w:eastAsia="sr-Cyrl-RS"/>
              </w:rPr>
              <w:drawing>
                <wp:inline distT="0" distB="0" distL="0" distR="0" wp14:anchorId="63FB5846" wp14:editId="3C766034">
                  <wp:extent cx="2880000" cy="1332000"/>
                  <wp:effectExtent l="0" t="0" r="0" b="1905"/>
                  <wp:docPr id="15" name="Chart 15">
                    <a:extLst xmlns:a="http://schemas.openxmlformats.org/drawingml/2006/main">
                      <a:ext uri="{FF2B5EF4-FFF2-40B4-BE49-F238E27FC236}">
                        <a16:creationId xmlns:a16="http://schemas.microsoft.com/office/drawing/2014/main" id="{00000000-0008-0000-1B00-00001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c>
          <w:tcPr>
            <w:tcW w:w="4681" w:type="dxa"/>
          </w:tcPr>
          <w:p w14:paraId="240F8BBD" w14:textId="77777777" w:rsidR="00C02C3D" w:rsidRPr="00F27A03" w:rsidRDefault="00C02C3D" w:rsidP="008527D6">
            <w:pPr>
              <w:jc w:val="center"/>
              <w:rPr>
                <w:lang w:val="sr-Cyrl-CS"/>
              </w:rPr>
            </w:pPr>
            <w:r w:rsidRPr="00F27A03">
              <w:rPr>
                <w:lang w:val="sr-Cyrl-CS"/>
              </w:rPr>
              <w:t>Промет у трговини на мало у сталним ценама</w:t>
            </w:r>
          </w:p>
          <w:p w14:paraId="037095D9" w14:textId="77777777" w:rsidR="00C02C3D" w:rsidRPr="00F27A03" w:rsidRDefault="00C02C3D" w:rsidP="0065412F">
            <w:pPr>
              <w:jc w:val="center"/>
              <w:rPr>
                <w:lang w:val="sr-Cyrl-CS"/>
              </w:rPr>
            </w:pPr>
            <w:r w:rsidRPr="00F27A03">
              <w:rPr>
                <w:noProof/>
                <w:lang w:val="sr-Cyrl-RS" w:eastAsia="sr-Cyrl-RS"/>
              </w:rPr>
              <w:drawing>
                <wp:inline distT="0" distB="0" distL="0" distR="0" wp14:anchorId="24557E83" wp14:editId="7EE33656">
                  <wp:extent cx="2881504" cy="1332000"/>
                  <wp:effectExtent l="0" t="0" r="0" b="1905"/>
                  <wp:docPr id="21" name="Chart 21">
                    <a:extLst xmlns:a="http://schemas.openxmlformats.org/drawingml/2006/main">
                      <a:ext uri="{FF2B5EF4-FFF2-40B4-BE49-F238E27FC236}">
                        <a16:creationId xmlns:a16="http://schemas.microsoft.com/office/drawing/2014/main" id="{00000000-0008-0000-1A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C02C3D" w:rsidRPr="00F27A03" w14:paraId="6A6B67FF" w14:textId="77777777" w:rsidTr="0065412F">
        <w:tc>
          <w:tcPr>
            <w:tcW w:w="4679" w:type="dxa"/>
          </w:tcPr>
          <w:p w14:paraId="2EEB29F9" w14:textId="77777777" w:rsidR="00C02C3D" w:rsidRPr="00F27A03" w:rsidRDefault="00C02C3D" w:rsidP="008527D6">
            <w:pPr>
              <w:jc w:val="center"/>
              <w:rPr>
                <w:lang w:val="sr-Cyrl-CS"/>
              </w:rPr>
            </w:pPr>
            <w:r w:rsidRPr="00F27A03">
              <w:rPr>
                <w:lang w:val="sr-Cyrl-CS"/>
              </w:rPr>
              <w:t>Извоз услуга телекомуникација, компјутерских и информацијских услуга</w:t>
            </w:r>
          </w:p>
          <w:p w14:paraId="0EB60A81" w14:textId="77777777" w:rsidR="00C02C3D" w:rsidRPr="00F27A03" w:rsidRDefault="00C02C3D" w:rsidP="0065412F">
            <w:pPr>
              <w:jc w:val="center"/>
              <w:rPr>
                <w:lang w:val="sr-Cyrl-CS"/>
              </w:rPr>
            </w:pPr>
            <w:r w:rsidRPr="00F27A03">
              <w:rPr>
                <w:noProof/>
                <w:lang w:val="sr-Cyrl-RS" w:eastAsia="sr-Cyrl-RS"/>
              </w:rPr>
              <w:drawing>
                <wp:inline distT="0" distB="0" distL="0" distR="0" wp14:anchorId="6DA87DC5" wp14:editId="73EDEA92">
                  <wp:extent cx="2880000" cy="1332000"/>
                  <wp:effectExtent l="0" t="0" r="0" b="1905"/>
                  <wp:docPr id="23" name="Chart 23">
                    <a:extLst xmlns:a="http://schemas.openxmlformats.org/drawingml/2006/main">
                      <a:ext uri="{FF2B5EF4-FFF2-40B4-BE49-F238E27FC236}">
                        <a16:creationId xmlns:a16="http://schemas.microsoft.com/office/drawing/2014/main" id="{00000000-0008-0000-1B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c>
          <w:tcPr>
            <w:tcW w:w="4681" w:type="dxa"/>
          </w:tcPr>
          <w:p w14:paraId="78BDB08E" w14:textId="77777777" w:rsidR="00C02C3D" w:rsidRPr="00F27A03" w:rsidRDefault="00C02C3D" w:rsidP="008527D6">
            <w:pPr>
              <w:spacing w:before="60"/>
              <w:jc w:val="center"/>
              <w:rPr>
                <w:lang w:val="sr-Cyrl-CS"/>
              </w:rPr>
            </w:pPr>
            <w:r w:rsidRPr="00F27A03">
              <w:rPr>
                <w:lang w:val="sr-Cyrl-CS"/>
              </w:rPr>
              <w:t>Извоз транспортних услуга</w:t>
            </w:r>
          </w:p>
          <w:p w14:paraId="202B328C" w14:textId="77777777" w:rsidR="00C02C3D" w:rsidRPr="00F27A03" w:rsidRDefault="00C02C3D" w:rsidP="008527D6">
            <w:pPr>
              <w:jc w:val="center"/>
              <w:rPr>
                <w:lang w:val="sr-Cyrl-CS"/>
              </w:rPr>
            </w:pPr>
          </w:p>
          <w:p w14:paraId="343EDB2F" w14:textId="77777777" w:rsidR="00C02C3D" w:rsidRPr="00F27A03" w:rsidRDefault="00C02C3D" w:rsidP="0065412F">
            <w:pPr>
              <w:jc w:val="center"/>
              <w:rPr>
                <w:lang w:val="sr-Cyrl-CS"/>
              </w:rPr>
            </w:pPr>
            <w:r w:rsidRPr="00F27A03">
              <w:rPr>
                <w:noProof/>
                <w:lang w:val="sr-Cyrl-RS" w:eastAsia="sr-Cyrl-RS"/>
              </w:rPr>
              <w:drawing>
                <wp:inline distT="0" distB="0" distL="0" distR="0" wp14:anchorId="094CD48F" wp14:editId="63832C9E">
                  <wp:extent cx="2880000" cy="1332000"/>
                  <wp:effectExtent l="0" t="0" r="0" b="1905"/>
                  <wp:docPr id="24" name="Chart 24">
                    <a:extLst xmlns:a="http://schemas.openxmlformats.org/drawingml/2006/main">
                      <a:ext uri="{FF2B5EF4-FFF2-40B4-BE49-F238E27FC236}">
                        <a16:creationId xmlns:a16="http://schemas.microsoft.com/office/drawing/2014/main" id="{00000000-0008-0000-1B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C02C3D" w:rsidRPr="00F27A03" w14:paraId="077E8E84" w14:textId="77777777" w:rsidTr="0065412F">
        <w:tc>
          <w:tcPr>
            <w:tcW w:w="4679" w:type="dxa"/>
          </w:tcPr>
          <w:p w14:paraId="35819E3E" w14:textId="77777777" w:rsidR="00C02C3D" w:rsidRPr="00F27A03" w:rsidRDefault="00C02C3D" w:rsidP="008527D6">
            <w:pPr>
              <w:spacing w:before="60"/>
              <w:jc w:val="center"/>
              <w:rPr>
                <w:lang w:val="sr-Cyrl-CS"/>
              </w:rPr>
            </w:pPr>
            <w:r w:rsidRPr="00F27A03">
              <w:rPr>
                <w:lang w:val="sr-Cyrl-CS"/>
              </w:rPr>
              <w:t>Ноћења туриста</w:t>
            </w:r>
          </w:p>
          <w:p w14:paraId="48A08CFC" w14:textId="77777777" w:rsidR="00C02C3D" w:rsidRPr="00F27A03" w:rsidRDefault="00C02C3D" w:rsidP="0065412F">
            <w:pPr>
              <w:spacing w:before="60" w:after="40"/>
              <w:jc w:val="center"/>
              <w:rPr>
                <w:lang w:val="sr-Cyrl-CS"/>
              </w:rPr>
            </w:pPr>
            <w:r w:rsidRPr="00F27A03">
              <w:rPr>
                <w:noProof/>
                <w:lang w:val="sr-Cyrl-RS" w:eastAsia="sr-Cyrl-RS"/>
              </w:rPr>
              <w:drawing>
                <wp:inline distT="0" distB="0" distL="0" distR="0" wp14:anchorId="3A538BDB" wp14:editId="32291DF6">
                  <wp:extent cx="2880000" cy="1332000"/>
                  <wp:effectExtent l="0" t="0" r="0" b="1905"/>
                  <wp:docPr id="34" name="Chart 34">
                    <a:extLst xmlns:a="http://schemas.openxmlformats.org/drawingml/2006/main">
                      <a:ext uri="{FF2B5EF4-FFF2-40B4-BE49-F238E27FC236}">
                        <a16:creationId xmlns:a16="http://schemas.microsoft.com/office/drawing/2014/main" id="{00000000-0008-0000-1A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c>
          <w:tcPr>
            <w:tcW w:w="4681" w:type="dxa"/>
          </w:tcPr>
          <w:p w14:paraId="524D7EEE" w14:textId="77777777" w:rsidR="00C02C3D" w:rsidRPr="00F27A03" w:rsidRDefault="00C02C3D" w:rsidP="008527D6">
            <w:pPr>
              <w:spacing w:before="60"/>
              <w:jc w:val="center"/>
              <w:rPr>
                <w:lang w:val="sr-Cyrl-CS"/>
              </w:rPr>
            </w:pPr>
            <w:r w:rsidRPr="00F27A03">
              <w:rPr>
                <w:lang w:val="sr-Cyrl-CS"/>
              </w:rPr>
              <w:t>Извоз туристичких услуга</w:t>
            </w:r>
          </w:p>
          <w:p w14:paraId="020B5312" w14:textId="77777777" w:rsidR="00C02C3D" w:rsidRPr="00F27A03" w:rsidRDefault="00C02C3D" w:rsidP="0065412F">
            <w:pPr>
              <w:spacing w:before="60" w:after="40"/>
              <w:jc w:val="center"/>
              <w:rPr>
                <w:lang w:val="sr-Cyrl-CS"/>
              </w:rPr>
            </w:pPr>
            <w:r w:rsidRPr="00F27A03">
              <w:rPr>
                <w:noProof/>
                <w:lang w:val="sr-Cyrl-RS" w:eastAsia="sr-Cyrl-RS"/>
              </w:rPr>
              <w:drawing>
                <wp:inline distT="0" distB="0" distL="0" distR="0" wp14:anchorId="6E6F3231" wp14:editId="3AE57B1C">
                  <wp:extent cx="2880000" cy="1332000"/>
                  <wp:effectExtent l="0" t="0" r="0" b="1905"/>
                  <wp:docPr id="35" name="Chart 35">
                    <a:extLst xmlns:a="http://schemas.openxmlformats.org/drawingml/2006/main">
                      <a:ext uri="{FF2B5EF4-FFF2-40B4-BE49-F238E27FC236}">
                        <a16:creationId xmlns:a16="http://schemas.microsoft.com/office/drawing/2014/main" id="{00000000-0008-0000-1B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1D2E218B" w14:textId="77777777" w:rsidR="00C02C3D" w:rsidRPr="00F27A03" w:rsidRDefault="00C02C3D" w:rsidP="008527D6">
      <w:pPr>
        <w:spacing w:before="120" w:after="0"/>
        <w:jc w:val="center"/>
        <w:rPr>
          <w:rFonts w:cstheme="minorHAnsi"/>
          <w:b/>
          <w:lang w:val="sr-Cyrl-CS"/>
        </w:rPr>
      </w:pPr>
      <w:r w:rsidRPr="00F27A03">
        <w:rPr>
          <w:noProof/>
          <w:lang w:val="sr-Cyrl-RS" w:eastAsia="sr-Cyrl-RS"/>
        </w:rPr>
        <w:drawing>
          <wp:inline distT="0" distB="0" distL="0" distR="0" wp14:anchorId="10B0BE03" wp14:editId="67762E96">
            <wp:extent cx="4371429" cy="219048"/>
            <wp:effectExtent l="0" t="0" r="0"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60"/>
                    <a:stretch>
                      <a:fillRect/>
                    </a:stretch>
                  </pic:blipFill>
                  <pic:spPr>
                    <a:xfrm>
                      <a:off x="0" y="0"/>
                      <a:ext cx="4371429" cy="219048"/>
                    </a:xfrm>
                    <a:prstGeom prst="rect">
                      <a:avLst/>
                    </a:prstGeom>
                  </pic:spPr>
                </pic:pic>
              </a:graphicData>
            </a:graphic>
          </wp:inline>
        </w:drawing>
      </w:r>
    </w:p>
    <w:p w14:paraId="0DC995D3" w14:textId="77777777" w:rsidR="00C02C3D" w:rsidRPr="00F27A03" w:rsidRDefault="00C02C3D" w:rsidP="0065412F">
      <w:pPr>
        <w:spacing w:after="0"/>
        <w:jc w:val="left"/>
        <w:rPr>
          <w:rFonts w:cstheme="minorHAnsi"/>
          <w:bCs/>
          <w:sz w:val="16"/>
          <w:szCs w:val="72"/>
          <w:lang w:val="sr-Cyrl-CS"/>
        </w:rPr>
      </w:pPr>
      <w:r w:rsidRPr="00F27A03">
        <w:rPr>
          <w:rFonts w:cstheme="minorHAnsi"/>
          <w:bCs/>
          <w:sz w:val="16"/>
          <w:szCs w:val="72"/>
          <w:lang w:val="sr-Cyrl-CS"/>
        </w:rPr>
        <w:t>Извор: Министарство финансија</w:t>
      </w:r>
    </w:p>
    <w:p w14:paraId="09857D0F" w14:textId="77777777" w:rsidR="00C02C3D" w:rsidRPr="00F27A03" w:rsidRDefault="00C02C3D" w:rsidP="0065412F">
      <w:pPr>
        <w:spacing w:after="0"/>
        <w:jc w:val="left"/>
        <w:rPr>
          <w:rFonts w:cstheme="minorHAnsi"/>
          <w:b/>
          <w:lang w:val="sr-Cyrl-CS"/>
        </w:rPr>
      </w:pPr>
    </w:p>
    <w:p w14:paraId="611B6986" w14:textId="77777777" w:rsidR="00C02C3D" w:rsidRPr="00F27A03" w:rsidRDefault="00C02C3D" w:rsidP="0065412F">
      <w:pPr>
        <w:spacing w:after="0"/>
        <w:jc w:val="center"/>
        <w:rPr>
          <w:rFonts w:cstheme="minorHAnsi"/>
          <w:b/>
          <w:lang w:val="sr-Cyrl-CS"/>
        </w:rPr>
        <w:sectPr w:rsidR="00C02C3D" w:rsidRPr="00F27A03" w:rsidSect="00B435B3">
          <w:type w:val="continuous"/>
          <w:pgSz w:w="12240" w:h="15840"/>
          <w:pgMar w:top="1440" w:right="1440" w:bottom="1440" w:left="1440" w:header="720" w:footer="720" w:gutter="0"/>
          <w:cols w:space="720"/>
          <w:docGrid w:linePitch="360"/>
          <w15:footnoteColumns w:val="1"/>
        </w:sectPr>
      </w:pPr>
    </w:p>
    <w:p w14:paraId="73AC1D4B" w14:textId="77777777" w:rsidR="00C02C3D" w:rsidRPr="00F27A03" w:rsidRDefault="00C02C3D" w:rsidP="0065412F">
      <w:pPr>
        <w:tabs>
          <w:tab w:val="left" w:pos="720"/>
          <w:tab w:val="left" w:pos="1440"/>
        </w:tabs>
        <w:rPr>
          <w:lang w:val="sr-Cyrl-CS"/>
        </w:rPr>
      </w:pPr>
      <w:r w:rsidRPr="00F27A03">
        <w:rPr>
          <w:rFonts w:cstheme="minorHAnsi"/>
          <w:bCs/>
          <w:szCs w:val="72"/>
          <w:lang w:val="sr-Cyrl-CS"/>
        </w:rPr>
        <w:t xml:space="preserve">Упркос остварењима почетком 2022. године која су генерално била на нивоу пројектованих, Министарство финансија је због очекиваног негативног утицаја растућих геополитичких тензија, енергетске кризе као и повећане глобалне неизвесности, у Фискалној стратегији из јуна 2022. године, ревидирало наниже оригиналну пројекцију раста БДП за 2022 годину за 1,0 п.п, са 4,5% на 3,5%, уз матрицу ризика оцењену као асиметричну наниже. Имајући у виду додатно заоштравања међународних економских и политичких односа, продубљивање енергетске кризе, као и спорију динамику високофреквентних индикатора током трећег квартала и значајно слабију пољопривредну сезону од претходно </w:t>
      </w:r>
      <w:r w:rsidRPr="00F27A03">
        <w:rPr>
          <w:rFonts w:cstheme="minorHAnsi"/>
          <w:bCs/>
          <w:szCs w:val="72"/>
          <w:lang w:val="sr-Cyrl-CS"/>
        </w:rPr>
        <w:t>очекиване, Министарство финансија је пројекцију раста БДП за 2022. годину додатно снизило наниже за 1,0 п.п., са 3,5% на 2,5%.</w:t>
      </w:r>
    </w:p>
    <w:p w14:paraId="2CECC613" w14:textId="77777777" w:rsidR="00C02C3D" w:rsidRPr="00F27A03" w:rsidRDefault="00C02C3D" w:rsidP="008527D6">
      <w:pPr>
        <w:tabs>
          <w:tab w:val="left" w:pos="720"/>
          <w:tab w:val="left" w:pos="1440"/>
        </w:tabs>
        <w:rPr>
          <w:rFonts w:cstheme="minorHAnsi"/>
          <w:bCs/>
          <w:szCs w:val="72"/>
          <w:lang w:val="sr-Cyrl-CS"/>
        </w:rPr>
      </w:pPr>
      <w:r w:rsidRPr="00F27A03">
        <w:rPr>
          <w:rFonts w:cstheme="minorHAnsi"/>
          <w:bCs/>
          <w:szCs w:val="72"/>
          <w:lang w:val="sr-Cyrl-CS"/>
        </w:rPr>
        <w:t xml:space="preserve">Посматрано по агрегатима употребе економски раст ће у 2022. години и у новој процени бити у потпуности вођен домаћом тражњом. И даље присутна повољна кретања на тржишту рада праћена растом запослености и реалних плата потпомогнута једнократним давањима становништву одразиће се на стабилан раст приватне потрошње од скоро 4%, док ће допринос државне потрошње остати готово неутралан. Растуће геополитичке тензије и аверзија инвеститора према ризику, уз повећање цена </w:t>
      </w:r>
      <w:r w:rsidRPr="00F27A03">
        <w:rPr>
          <w:rFonts w:cstheme="minorHAnsi"/>
          <w:bCs/>
          <w:szCs w:val="72"/>
          <w:lang w:val="sr-Cyrl-CS"/>
        </w:rPr>
        <w:lastRenderedPageBreak/>
        <w:t>инпута, утичу на спорији раст фиксних инвестиција од претходно пројектованог, те се уместо претходно процењеног раста сада очекују стагнативна кретања. Реализација СДИ из претходног периода и с тим повезан значајни ефекат на страни понуде резултираће већим извозом за 12,3%, упркос нешто мањој спољној тражњи од претходно очекиване и ограничењима извоза појединих производа. С друге стране, повећани увоз енергената и репроматеријала одражавају се на већи раст реалног увоза у 2022. години који према новој пројекцији износи 12,8%.</w:t>
      </w:r>
    </w:p>
    <w:p w14:paraId="12779C40" w14:textId="77777777" w:rsidR="00C02C3D" w:rsidRPr="00F27A03" w:rsidRDefault="00C02C3D" w:rsidP="0065412F">
      <w:pPr>
        <w:spacing w:after="360"/>
        <w:rPr>
          <w:rFonts w:cstheme="minorHAnsi"/>
          <w:bCs/>
          <w:szCs w:val="72"/>
          <w:lang w:val="sr-Cyrl-CS"/>
        </w:rPr>
      </w:pPr>
      <w:r w:rsidRPr="00F27A03">
        <w:rPr>
          <w:rFonts w:cstheme="minorHAnsi"/>
          <w:bCs/>
          <w:szCs w:val="72"/>
          <w:lang w:val="sr-Cyrl-CS"/>
        </w:rPr>
        <w:t xml:space="preserve">Посматрано са производне стране, изузетно лоши агрометеоролошки услови током летњих месеци одразили су се на знатно слабије приносе кукуруза, шећерне репе и соје, па је првобитна </w:t>
      </w:r>
      <w:r w:rsidRPr="00F27A03">
        <w:rPr>
          <w:rFonts w:cstheme="minorHAnsi"/>
          <w:bCs/>
          <w:szCs w:val="72"/>
          <w:lang w:val="sr-Cyrl-CS"/>
        </w:rPr>
        <w:t>процена пољопривредне производње која је подразумевала просечну сезону и раст од 0,5% коригована наниже на -8,0%. Неповољнија кретања од првобитно очекиваних забележиће и грађевинарство, пре свега као последица растуће глобалне неизвесности и мањег обима приватних инвестиција, али и услед снажног раста цена грађевинског материјала. Индустријска производња ће упркос слабијој спољној тражњи обезбедити позитиван допринос расту БДП у 2022. години, али у мањем обиму у односу на претходна очекивања. Услужни сектор и у новој пројекцији задржава улогу доминантног извора економског раста, пре свега као резултат солидних кретања у секторима трговине, саобраћаја, туризма, као и ИКТ и финансијских услуга.</w:t>
      </w:r>
    </w:p>
    <w:p w14:paraId="11B1F275" w14:textId="77777777" w:rsidR="00C02C3D" w:rsidRPr="00F27A03" w:rsidRDefault="00C02C3D" w:rsidP="0065412F">
      <w:pPr>
        <w:rPr>
          <w:rFonts w:cstheme="minorHAnsi"/>
          <w:bCs/>
          <w:spacing w:val="-2"/>
          <w:szCs w:val="72"/>
          <w:lang w:val="sr-Cyrl-CS"/>
        </w:rPr>
        <w:sectPr w:rsidR="00C02C3D" w:rsidRPr="00F27A03" w:rsidSect="008527D6">
          <w:type w:val="continuous"/>
          <w:pgSz w:w="12240" w:h="15840"/>
          <w:pgMar w:top="1440" w:right="1440" w:bottom="1440" w:left="1440" w:header="720" w:footer="720" w:gutter="0"/>
          <w:cols w:num="2" w:space="720"/>
          <w:docGrid w:linePitch="360"/>
        </w:sectPr>
      </w:pPr>
    </w:p>
    <w:p w14:paraId="72AF369C" w14:textId="77777777" w:rsidR="00C02C3D" w:rsidRPr="00F27A03" w:rsidRDefault="00C02C3D" w:rsidP="00254447">
      <w:pPr>
        <w:spacing w:after="40"/>
        <w:jc w:val="center"/>
        <w:rPr>
          <w:rFonts w:ascii="Calibri" w:eastAsia="Calibri" w:hAnsi="Calibri" w:cs="Times New Roman"/>
          <w:color w:val="002060"/>
          <w:lang w:val="sr-Cyrl-CS"/>
        </w:rPr>
      </w:pPr>
      <w:r w:rsidRPr="00F27A03">
        <w:rPr>
          <w:rFonts w:ascii="Calibri" w:eastAsia="Calibri" w:hAnsi="Calibri" w:cs="Calibri"/>
          <w:b/>
          <w:color w:val="002060"/>
          <w:lang w:val="sr-Cyrl-CS"/>
        </w:rPr>
        <w:t>Табела 3. БДП, стопе реалног раста,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7"/>
        <w:gridCol w:w="1261"/>
        <w:gridCol w:w="1261"/>
        <w:gridCol w:w="1263"/>
        <w:gridCol w:w="1261"/>
        <w:gridCol w:w="1261"/>
      </w:tblGrid>
      <w:tr w:rsidR="00C02C3D" w:rsidRPr="00F27A03" w14:paraId="10129646" w14:textId="77777777" w:rsidTr="0065412F">
        <w:trPr>
          <w:jc w:val="center"/>
        </w:trPr>
        <w:tc>
          <w:tcPr>
            <w:tcW w:w="1629" w:type="pct"/>
            <w:tcBorders>
              <w:top w:val="single" w:sz="4" w:space="0" w:color="002060"/>
              <w:left w:val="single" w:sz="2" w:space="0" w:color="FFFFFF"/>
              <w:bottom w:val="single" w:sz="2" w:space="0" w:color="FFFFFF"/>
              <w:right w:val="single" w:sz="2" w:space="0" w:color="FFFFFF"/>
            </w:tcBorders>
          </w:tcPr>
          <w:p w14:paraId="46CF0325" w14:textId="77777777" w:rsidR="00C02C3D" w:rsidRPr="00F27A03" w:rsidRDefault="00C02C3D" w:rsidP="008527D6">
            <w:pPr>
              <w:rPr>
                <w:rFonts w:ascii="Calibri" w:eastAsia="Calibri" w:hAnsi="Calibri" w:cs="Calibri"/>
                <w:color w:val="002060"/>
                <w:sz w:val="18"/>
                <w:lang w:val="sr-Cyrl-CS"/>
              </w:rPr>
            </w:pPr>
          </w:p>
        </w:tc>
        <w:tc>
          <w:tcPr>
            <w:tcW w:w="674" w:type="pct"/>
            <w:tcBorders>
              <w:top w:val="single" w:sz="4" w:space="0" w:color="002060"/>
              <w:left w:val="single" w:sz="2" w:space="0" w:color="FFFFFF"/>
              <w:bottom w:val="single" w:sz="4" w:space="0" w:color="002060"/>
              <w:right w:val="single" w:sz="2" w:space="0" w:color="FFFFFF"/>
            </w:tcBorders>
            <w:vAlign w:val="center"/>
          </w:tcPr>
          <w:p w14:paraId="0EB881AE" w14:textId="77777777" w:rsidR="00C02C3D" w:rsidRPr="00F27A03" w:rsidRDefault="00C02C3D" w:rsidP="008527D6">
            <w:pPr>
              <w:jc w:val="center"/>
              <w:rPr>
                <w:rFonts w:ascii="Calibri" w:eastAsia="Calibri" w:hAnsi="Calibri" w:cs="Calibri"/>
                <w:color w:val="002060"/>
                <w:sz w:val="18"/>
                <w:lang w:val="sr-Cyrl-CS"/>
              </w:rPr>
            </w:pPr>
            <w:r w:rsidRPr="00F27A03">
              <w:rPr>
                <w:rFonts w:ascii="Calibri" w:eastAsia="Calibri" w:hAnsi="Calibri" w:cs="Calibri"/>
                <w:color w:val="002060"/>
                <w:sz w:val="18"/>
                <w:lang w:val="sr-Cyrl-CS"/>
              </w:rPr>
              <w:t>2021</w:t>
            </w:r>
          </w:p>
        </w:tc>
        <w:tc>
          <w:tcPr>
            <w:tcW w:w="674" w:type="pct"/>
            <w:tcBorders>
              <w:top w:val="single" w:sz="4" w:space="0" w:color="002060"/>
              <w:left w:val="single" w:sz="2" w:space="0" w:color="FFFFFF"/>
              <w:bottom w:val="single" w:sz="4" w:space="0" w:color="002060"/>
              <w:right w:val="single" w:sz="2" w:space="0" w:color="FFFFFF"/>
            </w:tcBorders>
            <w:vAlign w:val="center"/>
          </w:tcPr>
          <w:p w14:paraId="57539E84" w14:textId="77777777" w:rsidR="00C02C3D" w:rsidRPr="00F27A03" w:rsidRDefault="00C02C3D" w:rsidP="008527D6">
            <w:pPr>
              <w:jc w:val="center"/>
              <w:rPr>
                <w:rFonts w:ascii="Calibri" w:eastAsia="Calibri" w:hAnsi="Calibri" w:cs="Calibri"/>
                <w:color w:val="002060"/>
                <w:sz w:val="18"/>
                <w:lang w:val="sr-Cyrl-CS"/>
              </w:rPr>
            </w:pPr>
            <w:r w:rsidRPr="00F27A03">
              <w:rPr>
                <w:rFonts w:ascii="Calibri" w:eastAsia="Calibri" w:hAnsi="Calibri" w:cs="Calibri"/>
                <w:color w:val="002060"/>
                <w:sz w:val="18"/>
                <w:lang w:val="sr-Cyrl-CS"/>
              </w:rPr>
              <w:t>Q1 2022</w:t>
            </w:r>
          </w:p>
        </w:tc>
        <w:tc>
          <w:tcPr>
            <w:tcW w:w="675" w:type="pct"/>
            <w:tcBorders>
              <w:top w:val="single" w:sz="4" w:space="0" w:color="002060"/>
              <w:left w:val="single" w:sz="2" w:space="0" w:color="FFFFFF"/>
              <w:bottom w:val="single" w:sz="4" w:space="0" w:color="002060"/>
              <w:right w:val="single" w:sz="2" w:space="0" w:color="FFFFFF"/>
            </w:tcBorders>
            <w:vAlign w:val="center"/>
          </w:tcPr>
          <w:p w14:paraId="3DF51189" w14:textId="77777777" w:rsidR="00C02C3D" w:rsidRPr="00F27A03" w:rsidRDefault="00C02C3D" w:rsidP="0065412F">
            <w:pPr>
              <w:jc w:val="center"/>
              <w:rPr>
                <w:rFonts w:ascii="Calibri" w:eastAsia="Calibri" w:hAnsi="Calibri" w:cs="Calibri"/>
                <w:color w:val="002060"/>
                <w:sz w:val="18"/>
                <w:lang w:val="sr-Cyrl-CS"/>
              </w:rPr>
            </w:pPr>
            <w:r w:rsidRPr="00F27A03">
              <w:rPr>
                <w:rFonts w:ascii="Calibri" w:eastAsia="Calibri" w:hAnsi="Calibri" w:cs="Calibri"/>
                <w:color w:val="002060"/>
                <w:sz w:val="18"/>
                <w:lang w:val="sr-Cyrl-CS"/>
              </w:rPr>
              <w:t>Q2 2022</w:t>
            </w:r>
          </w:p>
        </w:tc>
        <w:tc>
          <w:tcPr>
            <w:tcW w:w="674" w:type="pct"/>
            <w:tcBorders>
              <w:top w:val="single" w:sz="4" w:space="0" w:color="002060"/>
              <w:left w:val="single" w:sz="2" w:space="0" w:color="FFFFFF"/>
              <w:bottom w:val="single" w:sz="4" w:space="0" w:color="002060"/>
              <w:right w:val="single" w:sz="2" w:space="0" w:color="FFFFFF"/>
            </w:tcBorders>
            <w:vAlign w:val="center"/>
          </w:tcPr>
          <w:p w14:paraId="7DAE779A" w14:textId="77777777" w:rsidR="00C02C3D" w:rsidRPr="00F27A03" w:rsidRDefault="00C02C3D" w:rsidP="008527D6">
            <w:pPr>
              <w:jc w:val="center"/>
              <w:rPr>
                <w:rFonts w:ascii="Calibri" w:eastAsia="Calibri" w:hAnsi="Calibri" w:cs="Calibri"/>
                <w:color w:val="002060"/>
                <w:sz w:val="18"/>
                <w:lang w:val="sr-Cyrl-CS"/>
              </w:rPr>
            </w:pPr>
            <w:r w:rsidRPr="00F27A03">
              <w:rPr>
                <w:rFonts w:ascii="Calibri" w:eastAsia="Calibri" w:hAnsi="Calibri" w:cs="Calibri"/>
                <w:color w:val="002060"/>
                <w:sz w:val="18"/>
                <w:lang w:val="sr-Cyrl-CS"/>
              </w:rPr>
              <w:t>2022* (процена из Фискалне стратегије)</w:t>
            </w:r>
          </w:p>
        </w:tc>
        <w:tc>
          <w:tcPr>
            <w:tcW w:w="675" w:type="pct"/>
            <w:tcBorders>
              <w:top w:val="single" w:sz="4" w:space="0" w:color="002060"/>
              <w:left w:val="single" w:sz="2" w:space="0" w:color="FFFFFF"/>
              <w:bottom w:val="single" w:sz="4" w:space="0" w:color="002060"/>
              <w:right w:val="single" w:sz="2" w:space="0" w:color="FFFFFF"/>
            </w:tcBorders>
            <w:vAlign w:val="center"/>
          </w:tcPr>
          <w:p w14:paraId="292F500C" w14:textId="77777777" w:rsidR="00C02C3D" w:rsidRPr="00F27A03" w:rsidRDefault="00C02C3D" w:rsidP="008527D6">
            <w:pPr>
              <w:jc w:val="center"/>
              <w:rPr>
                <w:rFonts w:ascii="Calibri" w:eastAsia="Calibri" w:hAnsi="Calibri" w:cs="Calibri"/>
                <w:color w:val="002060"/>
                <w:sz w:val="18"/>
                <w:lang w:val="sr-Cyrl-CS"/>
              </w:rPr>
            </w:pPr>
            <w:r w:rsidRPr="00F27A03">
              <w:rPr>
                <w:rFonts w:ascii="Calibri" w:eastAsia="Calibri" w:hAnsi="Calibri" w:cs="Calibri"/>
                <w:color w:val="002060"/>
                <w:sz w:val="18"/>
                <w:lang w:val="sr-Cyrl-CS"/>
              </w:rPr>
              <w:t>2022*</w:t>
            </w:r>
          </w:p>
          <w:p w14:paraId="171EB501" w14:textId="77777777" w:rsidR="00C02C3D" w:rsidRPr="00F27A03" w:rsidRDefault="00C02C3D" w:rsidP="008527D6">
            <w:pPr>
              <w:jc w:val="center"/>
              <w:rPr>
                <w:rFonts w:ascii="Calibri" w:eastAsia="Calibri" w:hAnsi="Calibri" w:cs="Calibri"/>
                <w:color w:val="002060"/>
                <w:sz w:val="18"/>
                <w:lang w:val="sr-Cyrl-CS"/>
              </w:rPr>
            </w:pPr>
            <w:r w:rsidRPr="00F27A03">
              <w:rPr>
                <w:rFonts w:ascii="Calibri" w:eastAsia="Calibri" w:hAnsi="Calibri" w:cs="Calibri"/>
                <w:color w:val="002060"/>
                <w:sz w:val="18"/>
                <w:lang w:val="sr-Cyrl-CS"/>
              </w:rPr>
              <w:t>(ревидирана процена)</w:t>
            </w:r>
          </w:p>
        </w:tc>
      </w:tr>
      <w:tr w:rsidR="00C02C3D" w:rsidRPr="00F27A03" w14:paraId="610305BB" w14:textId="77777777" w:rsidTr="0065412F">
        <w:trPr>
          <w:jc w:val="center"/>
        </w:trPr>
        <w:tc>
          <w:tcPr>
            <w:tcW w:w="1629" w:type="pct"/>
            <w:tcBorders>
              <w:top w:val="single" w:sz="2" w:space="0" w:color="FFFFFF"/>
            </w:tcBorders>
          </w:tcPr>
          <w:p w14:paraId="341BA3AB"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БДП</w:t>
            </w:r>
          </w:p>
        </w:tc>
        <w:tc>
          <w:tcPr>
            <w:tcW w:w="674" w:type="pct"/>
            <w:tcBorders>
              <w:top w:val="single" w:sz="4" w:space="0" w:color="002060"/>
            </w:tcBorders>
          </w:tcPr>
          <w:p w14:paraId="23629F5B"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7,5</w:t>
            </w:r>
          </w:p>
        </w:tc>
        <w:tc>
          <w:tcPr>
            <w:tcW w:w="674" w:type="pct"/>
            <w:tcBorders>
              <w:top w:val="single" w:sz="4" w:space="0" w:color="002060"/>
            </w:tcBorders>
          </w:tcPr>
          <w:p w14:paraId="19881D6F"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4,3</w:t>
            </w:r>
          </w:p>
        </w:tc>
        <w:tc>
          <w:tcPr>
            <w:tcW w:w="675" w:type="pct"/>
            <w:tcBorders>
              <w:top w:val="single" w:sz="4" w:space="0" w:color="002060"/>
            </w:tcBorders>
          </w:tcPr>
          <w:p w14:paraId="15DDE7B8"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3,9</w:t>
            </w:r>
          </w:p>
        </w:tc>
        <w:tc>
          <w:tcPr>
            <w:tcW w:w="674" w:type="pct"/>
            <w:tcBorders>
              <w:top w:val="single" w:sz="4" w:space="0" w:color="002060"/>
            </w:tcBorders>
          </w:tcPr>
          <w:p w14:paraId="7D0F40C0"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3,5</w:t>
            </w:r>
          </w:p>
        </w:tc>
        <w:tc>
          <w:tcPr>
            <w:tcW w:w="675" w:type="pct"/>
            <w:tcBorders>
              <w:top w:val="single" w:sz="4" w:space="0" w:color="002060"/>
            </w:tcBorders>
          </w:tcPr>
          <w:p w14:paraId="4D340DD2"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2,5</w:t>
            </w:r>
          </w:p>
        </w:tc>
      </w:tr>
      <w:tr w:rsidR="00C02C3D" w:rsidRPr="00F27A03" w14:paraId="7CB6A3B9" w14:textId="77777777" w:rsidTr="0065412F">
        <w:trPr>
          <w:jc w:val="center"/>
        </w:trPr>
        <w:tc>
          <w:tcPr>
            <w:tcW w:w="1629" w:type="pct"/>
            <w:tcBorders>
              <w:top w:val="single" w:sz="2" w:space="0" w:color="FFFFFF"/>
            </w:tcBorders>
            <w:shd w:val="clear" w:color="auto" w:fill="E7E6E6"/>
          </w:tcPr>
          <w:p w14:paraId="4BFFCBF9" w14:textId="77777777" w:rsidR="00C02C3D" w:rsidRPr="00F27A03" w:rsidRDefault="00C02C3D" w:rsidP="0065412F">
            <w:pPr>
              <w:jc w:val="right"/>
              <w:rPr>
                <w:rFonts w:ascii="Calibri" w:eastAsia="Calibri" w:hAnsi="Calibri" w:cs="Calibri"/>
                <w:color w:val="002060"/>
                <w:sz w:val="18"/>
                <w:lang w:val="sr-Cyrl-CS"/>
              </w:rPr>
            </w:pPr>
          </w:p>
        </w:tc>
        <w:tc>
          <w:tcPr>
            <w:tcW w:w="674" w:type="pct"/>
            <w:tcBorders>
              <w:top w:val="single" w:sz="2" w:space="0" w:color="FFFFFF"/>
            </w:tcBorders>
            <w:shd w:val="clear" w:color="auto" w:fill="E7E6E6"/>
          </w:tcPr>
          <w:p w14:paraId="2F40DEA8" w14:textId="77777777" w:rsidR="00C02C3D" w:rsidRPr="00F27A03" w:rsidRDefault="00C02C3D" w:rsidP="0065412F">
            <w:pPr>
              <w:ind w:right="397"/>
              <w:jc w:val="right"/>
              <w:rPr>
                <w:rFonts w:ascii="Calibri" w:eastAsia="Calibri" w:hAnsi="Calibri" w:cs="Calibri"/>
                <w:color w:val="002060"/>
                <w:sz w:val="18"/>
                <w:lang w:val="sr-Cyrl-CS"/>
              </w:rPr>
            </w:pPr>
          </w:p>
        </w:tc>
        <w:tc>
          <w:tcPr>
            <w:tcW w:w="674" w:type="pct"/>
            <w:tcBorders>
              <w:top w:val="single" w:sz="2" w:space="0" w:color="FFFFFF"/>
            </w:tcBorders>
            <w:shd w:val="clear" w:color="auto" w:fill="E7E6E6"/>
          </w:tcPr>
          <w:p w14:paraId="66AAACA5" w14:textId="77777777" w:rsidR="00C02C3D" w:rsidRPr="00F27A03" w:rsidRDefault="00C02C3D" w:rsidP="0065412F">
            <w:pPr>
              <w:ind w:right="397"/>
              <w:jc w:val="right"/>
              <w:rPr>
                <w:rFonts w:ascii="Calibri" w:eastAsia="Calibri" w:hAnsi="Calibri" w:cs="Calibri"/>
                <w:color w:val="002060"/>
                <w:sz w:val="18"/>
                <w:lang w:val="sr-Cyrl-CS"/>
              </w:rPr>
            </w:pPr>
          </w:p>
        </w:tc>
        <w:tc>
          <w:tcPr>
            <w:tcW w:w="675" w:type="pct"/>
            <w:tcBorders>
              <w:top w:val="single" w:sz="2" w:space="0" w:color="FFFFFF"/>
            </w:tcBorders>
            <w:shd w:val="clear" w:color="auto" w:fill="E7E6E6"/>
          </w:tcPr>
          <w:p w14:paraId="3CAE1912" w14:textId="77777777" w:rsidR="00C02C3D" w:rsidRPr="00F27A03" w:rsidRDefault="00C02C3D" w:rsidP="0065412F">
            <w:pPr>
              <w:ind w:right="397"/>
              <w:jc w:val="right"/>
              <w:rPr>
                <w:rFonts w:ascii="Calibri" w:eastAsia="Calibri" w:hAnsi="Calibri" w:cs="Calibri"/>
                <w:color w:val="002060"/>
                <w:sz w:val="18"/>
                <w:lang w:val="sr-Cyrl-CS"/>
              </w:rPr>
            </w:pPr>
          </w:p>
        </w:tc>
        <w:tc>
          <w:tcPr>
            <w:tcW w:w="674" w:type="pct"/>
            <w:tcBorders>
              <w:top w:val="single" w:sz="2" w:space="0" w:color="FFFFFF"/>
            </w:tcBorders>
            <w:shd w:val="clear" w:color="auto" w:fill="E7E6E6"/>
          </w:tcPr>
          <w:p w14:paraId="7E04AD4A" w14:textId="77777777" w:rsidR="00C02C3D" w:rsidRPr="00F27A03" w:rsidRDefault="00C02C3D" w:rsidP="0065412F">
            <w:pPr>
              <w:ind w:right="397"/>
              <w:jc w:val="right"/>
              <w:rPr>
                <w:rFonts w:ascii="Calibri" w:eastAsia="Calibri" w:hAnsi="Calibri" w:cs="Calibri"/>
                <w:color w:val="002060"/>
                <w:sz w:val="18"/>
                <w:lang w:val="sr-Cyrl-CS"/>
              </w:rPr>
            </w:pPr>
          </w:p>
        </w:tc>
        <w:tc>
          <w:tcPr>
            <w:tcW w:w="675" w:type="pct"/>
            <w:tcBorders>
              <w:top w:val="single" w:sz="2" w:space="0" w:color="FFFFFF"/>
            </w:tcBorders>
            <w:shd w:val="clear" w:color="auto" w:fill="E7E6E6"/>
          </w:tcPr>
          <w:p w14:paraId="1478E35A" w14:textId="77777777" w:rsidR="00C02C3D" w:rsidRPr="00F27A03" w:rsidRDefault="00C02C3D" w:rsidP="0065412F">
            <w:pPr>
              <w:ind w:right="397"/>
              <w:jc w:val="right"/>
              <w:rPr>
                <w:rFonts w:ascii="Calibri" w:eastAsia="Calibri" w:hAnsi="Calibri" w:cs="Calibri"/>
                <w:color w:val="002060"/>
                <w:sz w:val="18"/>
                <w:lang w:val="sr-Cyrl-CS"/>
              </w:rPr>
            </w:pPr>
          </w:p>
        </w:tc>
      </w:tr>
      <w:tr w:rsidR="00C02C3D" w:rsidRPr="00F27A03" w14:paraId="17B1658E" w14:textId="77777777" w:rsidTr="0065412F">
        <w:trPr>
          <w:jc w:val="center"/>
        </w:trPr>
        <w:tc>
          <w:tcPr>
            <w:tcW w:w="1629" w:type="pct"/>
          </w:tcPr>
          <w:p w14:paraId="05B3DA9C"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Приватна потрошња</w:t>
            </w:r>
          </w:p>
        </w:tc>
        <w:tc>
          <w:tcPr>
            <w:tcW w:w="674" w:type="pct"/>
          </w:tcPr>
          <w:p w14:paraId="5FD64373"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7,8</w:t>
            </w:r>
          </w:p>
        </w:tc>
        <w:tc>
          <w:tcPr>
            <w:tcW w:w="674" w:type="pct"/>
          </w:tcPr>
          <w:p w14:paraId="39E67622"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6,9</w:t>
            </w:r>
          </w:p>
        </w:tc>
        <w:tc>
          <w:tcPr>
            <w:tcW w:w="675" w:type="pct"/>
          </w:tcPr>
          <w:p w14:paraId="594ECAA5"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4,0</w:t>
            </w:r>
          </w:p>
        </w:tc>
        <w:tc>
          <w:tcPr>
            <w:tcW w:w="674" w:type="pct"/>
          </w:tcPr>
          <w:p w14:paraId="3EC1030B"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3,1</w:t>
            </w:r>
          </w:p>
        </w:tc>
        <w:tc>
          <w:tcPr>
            <w:tcW w:w="675" w:type="pct"/>
          </w:tcPr>
          <w:p w14:paraId="0D9E9471"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3,9</w:t>
            </w:r>
          </w:p>
        </w:tc>
      </w:tr>
      <w:tr w:rsidR="00C02C3D" w:rsidRPr="00F27A03" w14:paraId="2021C7AF" w14:textId="77777777" w:rsidTr="0065412F">
        <w:trPr>
          <w:jc w:val="center"/>
        </w:trPr>
        <w:tc>
          <w:tcPr>
            <w:tcW w:w="1629" w:type="pct"/>
          </w:tcPr>
          <w:p w14:paraId="0B91BC66"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Државна потрошња</w:t>
            </w:r>
          </w:p>
        </w:tc>
        <w:tc>
          <w:tcPr>
            <w:tcW w:w="674" w:type="pct"/>
          </w:tcPr>
          <w:p w14:paraId="70F5574A"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4,1</w:t>
            </w:r>
          </w:p>
        </w:tc>
        <w:tc>
          <w:tcPr>
            <w:tcW w:w="674" w:type="pct"/>
          </w:tcPr>
          <w:p w14:paraId="0F22A19B"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2,5</w:t>
            </w:r>
          </w:p>
        </w:tc>
        <w:tc>
          <w:tcPr>
            <w:tcW w:w="675" w:type="pct"/>
          </w:tcPr>
          <w:p w14:paraId="3E9E6431"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4,5</w:t>
            </w:r>
          </w:p>
        </w:tc>
        <w:tc>
          <w:tcPr>
            <w:tcW w:w="674" w:type="pct"/>
          </w:tcPr>
          <w:p w14:paraId="5D767E12"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-0,4</w:t>
            </w:r>
          </w:p>
        </w:tc>
        <w:tc>
          <w:tcPr>
            <w:tcW w:w="675" w:type="pct"/>
          </w:tcPr>
          <w:p w14:paraId="25CF6350"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0,4</w:t>
            </w:r>
          </w:p>
        </w:tc>
      </w:tr>
      <w:tr w:rsidR="00C02C3D" w:rsidRPr="00F27A03" w14:paraId="07AB49BE" w14:textId="77777777" w:rsidTr="0065412F">
        <w:trPr>
          <w:jc w:val="center"/>
        </w:trPr>
        <w:tc>
          <w:tcPr>
            <w:tcW w:w="1629" w:type="pct"/>
          </w:tcPr>
          <w:p w14:paraId="4AF65353"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Инвестиције у основна средства</w:t>
            </w:r>
          </w:p>
        </w:tc>
        <w:tc>
          <w:tcPr>
            <w:tcW w:w="674" w:type="pct"/>
          </w:tcPr>
          <w:p w14:paraId="66E76D51"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15,9</w:t>
            </w:r>
          </w:p>
        </w:tc>
        <w:tc>
          <w:tcPr>
            <w:tcW w:w="674" w:type="pct"/>
          </w:tcPr>
          <w:p w14:paraId="5759B848"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1,1</w:t>
            </w:r>
          </w:p>
        </w:tc>
        <w:tc>
          <w:tcPr>
            <w:tcW w:w="675" w:type="pct"/>
          </w:tcPr>
          <w:p w14:paraId="27FF85AA"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1,7</w:t>
            </w:r>
          </w:p>
        </w:tc>
        <w:tc>
          <w:tcPr>
            <w:tcW w:w="674" w:type="pct"/>
          </w:tcPr>
          <w:p w14:paraId="10B786A1"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3,0</w:t>
            </w:r>
          </w:p>
        </w:tc>
        <w:tc>
          <w:tcPr>
            <w:tcW w:w="675" w:type="pct"/>
          </w:tcPr>
          <w:p w14:paraId="6BB486FB"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0,0</w:t>
            </w:r>
          </w:p>
        </w:tc>
      </w:tr>
      <w:tr w:rsidR="00C02C3D" w:rsidRPr="00F27A03" w14:paraId="6B7CCD5F" w14:textId="77777777" w:rsidTr="0065412F">
        <w:trPr>
          <w:jc w:val="center"/>
        </w:trPr>
        <w:tc>
          <w:tcPr>
            <w:tcW w:w="1629" w:type="pct"/>
          </w:tcPr>
          <w:p w14:paraId="5138A98E"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Извоз робе и услуга</w:t>
            </w:r>
          </w:p>
        </w:tc>
        <w:tc>
          <w:tcPr>
            <w:tcW w:w="674" w:type="pct"/>
          </w:tcPr>
          <w:p w14:paraId="05CD9AE2"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19,5</w:t>
            </w:r>
          </w:p>
        </w:tc>
        <w:tc>
          <w:tcPr>
            <w:tcW w:w="674" w:type="pct"/>
          </w:tcPr>
          <w:p w14:paraId="3BBB91F7"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19,7</w:t>
            </w:r>
          </w:p>
        </w:tc>
        <w:tc>
          <w:tcPr>
            <w:tcW w:w="675" w:type="pct"/>
          </w:tcPr>
          <w:p w14:paraId="25DB7D9C"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20,1</w:t>
            </w:r>
          </w:p>
        </w:tc>
        <w:tc>
          <w:tcPr>
            <w:tcW w:w="674" w:type="pct"/>
          </w:tcPr>
          <w:p w14:paraId="706E8B15"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9,0</w:t>
            </w:r>
          </w:p>
        </w:tc>
        <w:tc>
          <w:tcPr>
            <w:tcW w:w="675" w:type="pct"/>
          </w:tcPr>
          <w:p w14:paraId="5BDA946C"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12,3</w:t>
            </w:r>
          </w:p>
        </w:tc>
      </w:tr>
      <w:tr w:rsidR="00C02C3D" w:rsidRPr="00F27A03" w14:paraId="0699CDE2" w14:textId="77777777" w:rsidTr="0065412F">
        <w:trPr>
          <w:jc w:val="center"/>
        </w:trPr>
        <w:tc>
          <w:tcPr>
            <w:tcW w:w="1629" w:type="pct"/>
          </w:tcPr>
          <w:p w14:paraId="2DDFA30F"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Увоз робе и услуга</w:t>
            </w:r>
          </w:p>
        </w:tc>
        <w:tc>
          <w:tcPr>
            <w:tcW w:w="674" w:type="pct"/>
          </w:tcPr>
          <w:p w14:paraId="777F3F80"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17,7</w:t>
            </w:r>
          </w:p>
        </w:tc>
        <w:tc>
          <w:tcPr>
            <w:tcW w:w="674" w:type="pct"/>
          </w:tcPr>
          <w:p w14:paraId="67B41586"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28,6</w:t>
            </w:r>
          </w:p>
        </w:tc>
        <w:tc>
          <w:tcPr>
            <w:tcW w:w="675" w:type="pct"/>
          </w:tcPr>
          <w:p w14:paraId="02AA919F"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16,9</w:t>
            </w:r>
          </w:p>
        </w:tc>
        <w:tc>
          <w:tcPr>
            <w:tcW w:w="674" w:type="pct"/>
          </w:tcPr>
          <w:p w14:paraId="64A12F5D"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8,6</w:t>
            </w:r>
          </w:p>
        </w:tc>
        <w:tc>
          <w:tcPr>
            <w:tcW w:w="675" w:type="pct"/>
          </w:tcPr>
          <w:p w14:paraId="16A3023E"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12,8</w:t>
            </w:r>
          </w:p>
        </w:tc>
      </w:tr>
      <w:tr w:rsidR="00C02C3D" w:rsidRPr="00F27A03" w14:paraId="607ECCB6" w14:textId="77777777" w:rsidTr="0065412F">
        <w:trPr>
          <w:trHeight w:val="144"/>
          <w:jc w:val="center"/>
        </w:trPr>
        <w:tc>
          <w:tcPr>
            <w:tcW w:w="1629" w:type="pct"/>
            <w:shd w:val="clear" w:color="auto" w:fill="E7E6E6"/>
          </w:tcPr>
          <w:p w14:paraId="557C03E8" w14:textId="77777777" w:rsidR="00C02C3D" w:rsidRPr="00F27A03" w:rsidRDefault="00C02C3D" w:rsidP="0065412F">
            <w:pPr>
              <w:ind w:left="-15"/>
              <w:jc w:val="right"/>
              <w:rPr>
                <w:rFonts w:ascii="Calibri" w:eastAsia="Calibri" w:hAnsi="Calibri" w:cs="Calibri"/>
                <w:color w:val="002060"/>
                <w:sz w:val="18"/>
                <w:lang w:val="sr-Cyrl-CS"/>
              </w:rPr>
            </w:pPr>
          </w:p>
        </w:tc>
        <w:tc>
          <w:tcPr>
            <w:tcW w:w="674" w:type="pct"/>
            <w:shd w:val="clear" w:color="auto" w:fill="E7E6E6"/>
          </w:tcPr>
          <w:p w14:paraId="11AECCF3" w14:textId="77777777" w:rsidR="00C02C3D" w:rsidRPr="00F27A03" w:rsidRDefault="00C02C3D" w:rsidP="0065412F">
            <w:pPr>
              <w:ind w:left="-15" w:right="397"/>
              <w:jc w:val="right"/>
              <w:rPr>
                <w:rFonts w:ascii="Calibri" w:eastAsia="Calibri" w:hAnsi="Calibri" w:cs="Calibri"/>
                <w:color w:val="002060"/>
                <w:sz w:val="18"/>
                <w:lang w:val="sr-Cyrl-CS"/>
              </w:rPr>
            </w:pPr>
          </w:p>
        </w:tc>
        <w:tc>
          <w:tcPr>
            <w:tcW w:w="674" w:type="pct"/>
            <w:shd w:val="clear" w:color="auto" w:fill="E7E6E6"/>
          </w:tcPr>
          <w:p w14:paraId="79F94ECE" w14:textId="77777777" w:rsidR="00C02C3D" w:rsidRPr="00F27A03" w:rsidRDefault="00C02C3D" w:rsidP="0065412F">
            <w:pPr>
              <w:ind w:left="-15" w:right="397"/>
              <w:jc w:val="right"/>
              <w:rPr>
                <w:rFonts w:ascii="Calibri" w:eastAsia="Calibri" w:hAnsi="Calibri" w:cs="Calibri"/>
                <w:color w:val="002060"/>
                <w:sz w:val="18"/>
                <w:lang w:val="sr-Cyrl-CS"/>
              </w:rPr>
            </w:pPr>
          </w:p>
        </w:tc>
        <w:tc>
          <w:tcPr>
            <w:tcW w:w="675" w:type="pct"/>
            <w:shd w:val="clear" w:color="auto" w:fill="E7E6E6"/>
          </w:tcPr>
          <w:p w14:paraId="6C512E71" w14:textId="77777777" w:rsidR="00C02C3D" w:rsidRPr="00F27A03" w:rsidRDefault="00C02C3D" w:rsidP="0065412F">
            <w:pPr>
              <w:ind w:left="-15" w:right="397"/>
              <w:jc w:val="right"/>
              <w:rPr>
                <w:rFonts w:ascii="Calibri" w:eastAsia="Calibri" w:hAnsi="Calibri" w:cs="Calibri"/>
                <w:color w:val="002060"/>
                <w:sz w:val="18"/>
                <w:lang w:val="sr-Cyrl-CS"/>
              </w:rPr>
            </w:pPr>
          </w:p>
        </w:tc>
        <w:tc>
          <w:tcPr>
            <w:tcW w:w="674" w:type="pct"/>
            <w:shd w:val="clear" w:color="auto" w:fill="E7E6E6"/>
          </w:tcPr>
          <w:p w14:paraId="016F9DC4" w14:textId="77777777" w:rsidR="00C02C3D" w:rsidRPr="00F27A03" w:rsidRDefault="00C02C3D" w:rsidP="0065412F">
            <w:pPr>
              <w:ind w:left="-15" w:right="397"/>
              <w:jc w:val="right"/>
              <w:rPr>
                <w:rFonts w:ascii="Calibri" w:eastAsia="Calibri" w:hAnsi="Calibri" w:cs="Calibri"/>
                <w:color w:val="002060"/>
                <w:sz w:val="18"/>
                <w:lang w:val="sr-Cyrl-CS"/>
              </w:rPr>
            </w:pPr>
          </w:p>
        </w:tc>
        <w:tc>
          <w:tcPr>
            <w:tcW w:w="675" w:type="pct"/>
            <w:shd w:val="clear" w:color="auto" w:fill="E7E6E6"/>
          </w:tcPr>
          <w:p w14:paraId="32040D4B" w14:textId="77777777" w:rsidR="00C02C3D" w:rsidRPr="00F27A03" w:rsidRDefault="00C02C3D" w:rsidP="0065412F">
            <w:pPr>
              <w:ind w:left="-15" w:right="397"/>
              <w:jc w:val="right"/>
              <w:rPr>
                <w:rFonts w:ascii="Calibri" w:eastAsia="Calibri" w:hAnsi="Calibri" w:cs="Calibri"/>
                <w:color w:val="002060"/>
                <w:sz w:val="18"/>
                <w:lang w:val="sr-Cyrl-CS"/>
              </w:rPr>
            </w:pPr>
          </w:p>
        </w:tc>
      </w:tr>
      <w:tr w:rsidR="00C02C3D" w:rsidRPr="00F27A03" w14:paraId="36F0FCD6" w14:textId="77777777" w:rsidTr="0065412F">
        <w:trPr>
          <w:jc w:val="center"/>
        </w:trPr>
        <w:tc>
          <w:tcPr>
            <w:tcW w:w="1629" w:type="pct"/>
          </w:tcPr>
          <w:p w14:paraId="7B805EFB"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Пољопривреда</w:t>
            </w:r>
          </w:p>
        </w:tc>
        <w:tc>
          <w:tcPr>
            <w:tcW w:w="674" w:type="pct"/>
          </w:tcPr>
          <w:p w14:paraId="06C8CB42"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-5,7</w:t>
            </w:r>
          </w:p>
        </w:tc>
        <w:tc>
          <w:tcPr>
            <w:tcW w:w="674" w:type="pct"/>
          </w:tcPr>
          <w:p w14:paraId="602A510E"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-5,2</w:t>
            </w:r>
          </w:p>
        </w:tc>
        <w:tc>
          <w:tcPr>
            <w:tcW w:w="675" w:type="pct"/>
          </w:tcPr>
          <w:p w14:paraId="52747B20"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-5,4</w:t>
            </w:r>
          </w:p>
        </w:tc>
        <w:tc>
          <w:tcPr>
            <w:tcW w:w="674" w:type="pct"/>
          </w:tcPr>
          <w:p w14:paraId="59A449D3"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0,5</w:t>
            </w:r>
          </w:p>
        </w:tc>
        <w:tc>
          <w:tcPr>
            <w:tcW w:w="675" w:type="pct"/>
          </w:tcPr>
          <w:p w14:paraId="0EB0FD45"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-8,0</w:t>
            </w:r>
          </w:p>
        </w:tc>
      </w:tr>
      <w:tr w:rsidR="00C02C3D" w:rsidRPr="00F27A03" w14:paraId="093A392B" w14:textId="77777777" w:rsidTr="0065412F">
        <w:trPr>
          <w:jc w:val="center"/>
        </w:trPr>
        <w:tc>
          <w:tcPr>
            <w:tcW w:w="1629" w:type="pct"/>
          </w:tcPr>
          <w:p w14:paraId="56205D21"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Индустрија</w:t>
            </w:r>
          </w:p>
        </w:tc>
        <w:tc>
          <w:tcPr>
            <w:tcW w:w="674" w:type="pct"/>
          </w:tcPr>
          <w:p w14:paraId="32A1AE74"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6,3</w:t>
            </w:r>
          </w:p>
        </w:tc>
        <w:tc>
          <w:tcPr>
            <w:tcW w:w="674" w:type="pct"/>
          </w:tcPr>
          <w:p w14:paraId="7FAE6E74"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1,9</w:t>
            </w:r>
          </w:p>
        </w:tc>
        <w:tc>
          <w:tcPr>
            <w:tcW w:w="675" w:type="pct"/>
          </w:tcPr>
          <w:p w14:paraId="61D061EF"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4,6</w:t>
            </w:r>
          </w:p>
        </w:tc>
        <w:tc>
          <w:tcPr>
            <w:tcW w:w="674" w:type="pct"/>
          </w:tcPr>
          <w:p w14:paraId="1249E92A"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3,7</w:t>
            </w:r>
          </w:p>
        </w:tc>
        <w:tc>
          <w:tcPr>
            <w:tcW w:w="675" w:type="pct"/>
          </w:tcPr>
          <w:p w14:paraId="3882B3D8"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1,3</w:t>
            </w:r>
          </w:p>
        </w:tc>
      </w:tr>
      <w:tr w:rsidR="00C02C3D" w:rsidRPr="00F27A03" w14:paraId="58BB5C31" w14:textId="77777777" w:rsidTr="0065412F">
        <w:trPr>
          <w:jc w:val="center"/>
        </w:trPr>
        <w:tc>
          <w:tcPr>
            <w:tcW w:w="1629" w:type="pct"/>
          </w:tcPr>
          <w:p w14:paraId="19AFD5FA"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Грађевинарство</w:t>
            </w:r>
          </w:p>
        </w:tc>
        <w:tc>
          <w:tcPr>
            <w:tcW w:w="674" w:type="pct"/>
          </w:tcPr>
          <w:p w14:paraId="09B0A9DF"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17,6</w:t>
            </w:r>
          </w:p>
        </w:tc>
        <w:tc>
          <w:tcPr>
            <w:tcW w:w="674" w:type="pct"/>
          </w:tcPr>
          <w:p w14:paraId="59717F84"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-5,5</w:t>
            </w:r>
          </w:p>
        </w:tc>
        <w:tc>
          <w:tcPr>
            <w:tcW w:w="675" w:type="pct"/>
          </w:tcPr>
          <w:p w14:paraId="7235CAEF"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-7,6</w:t>
            </w:r>
          </w:p>
        </w:tc>
        <w:tc>
          <w:tcPr>
            <w:tcW w:w="674" w:type="pct"/>
          </w:tcPr>
          <w:p w14:paraId="14B726D1"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1,4</w:t>
            </w:r>
          </w:p>
        </w:tc>
        <w:tc>
          <w:tcPr>
            <w:tcW w:w="675" w:type="pct"/>
          </w:tcPr>
          <w:p w14:paraId="5158DA4B"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-8,7</w:t>
            </w:r>
          </w:p>
        </w:tc>
      </w:tr>
      <w:tr w:rsidR="00C02C3D" w:rsidRPr="00F27A03" w14:paraId="1F050989" w14:textId="77777777" w:rsidTr="0065412F">
        <w:trPr>
          <w:trHeight w:val="163"/>
          <w:jc w:val="center"/>
        </w:trPr>
        <w:tc>
          <w:tcPr>
            <w:tcW w:w="1629" w:type="pct"/>
            <w:tcBorders>
              <w:bottom w:val="single" w:sz="4" w:space="0" w:color="002060"/>
            </w:tcBorders>
          </w:tcPr>
          <w:p w14:paraId="26CCA1B0" w14:textId="77777777" w:rsidR="00C02C3D" w:rsidRPr="00F27A03" w:rsidRDefault="00C02C3D" w:rsidP="0065412F">
            <w:pPr>
              <w:ind w:left="-15"/>
              <w:rPr>
                <w:rFonts w:ascii="Calibri" w:eastAsia="Calibri" w:hAnsi="Calibri" w:cs="Calibri"/>
                <w:color w:val="002060"/>
                <w:sz w:val="18"/>
                <w:lang w:val="sr-Cyrl-CS"/>
              </w:rPr>
            </w:pPr>
            <w:r w:rsidRPr="00F27A03">
              <w:rPr>
                <w:rFonts w:ascii="Calibri" w:eastAsia="Calibri" w:hAnsi="Calibri" w:cs="Calibri"/>
                <w:color w:val="002060"/>
                <w:sz w:val="18"/>
                <w:lang w:val="sr-Cyrl-CS"/>
              </w:rPr>
              <w:t>Услуге</w:t>
            </w:r>
          </w:p>
        </w:tc>
        <w:tc>
          <w:tcPr>
            <w:tcW w:w="674" w:type="pct"/>
            <w:tcBorders>
              <w:bottom w:val="single" w:sz="4" w:space="0" w:color="002060"/>
            </w:tcBorders>
          </w:tcPr>
          <w:p w14:paraId="1363A745" w14:textId="77777777" w:rsidR="00C02C3D" w:rsidRPr="00F27A03" w:rsidRDefault="00C02C3D" w:rsidP="0065412F">
            <w:pPr>
              <w:tabs>
                <w:tab w:val="left" w:pos="420"/>
                <w:tab w:val="center" w:pos="586"/>
              </w:tabs>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8,3</w:t>
            </w:r>
          </w:p>
        </w:tc>
        <w:tc>
          <w:tcPr>
            <w:tcW w:w="674" w:type="pct"/>
            <w:tcBorders>
              <w:bottom w:val="single" w:sz="4" w:space="0" w:color="002060"/>
            </w:tcBorders>
          </w:tcPr>
          <w:p w14:paraId="7114BCBC"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6,7</w:t>
            </w:r>
          </w:p>
        </w:tc>
        <w:tc>
          <w:tcPr>
            <w:tcW w:w="675" w:type="pct"/>
            <w:tcBorders>
              <w:bottom w:val="single" w:sz="4" w:space="0" w:color="002060"/>
            </w:tcBorders>
          </w:tcPr>
          <w:p w14:paraId="43995AC1"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5,9</w:t>
            </w:r>
          </w:p>
        </w:tc>
        <w:tc>
          <w:tcPr>
            <w:tcW w:w="674" w:type="pct"/>
            <w:tcBorders>
              <w:bottom w:val="single" w:sz="4" w:space="0" w:color="002060"/>
            </w:tcBorders>
          </w:tcPr>
          <w:p w14:paraId="6D3B6BA9"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4,0</w:t>
            </w:r>
          </w:p>
        </w:tc>
        <w:tc>
          <w:tcPr>
            <w:tcW w:w="675" w:type="pct"/>
            <w:tcBorders>
              <w:bottom w:val="single" w:sz="4" w:space="0" w:color="002060"/>
            </w:tcBorders>
          </w:tcPr>
          <w:p w14:paraId="1B9E3286" w14:textId="77777777" w:rsidR="00C02C3D" w:rsidRPr="00F27A03" w:rsidRDefault="00C02C3D" w:rsidP="0065412F">
            <w:pPr>
              <w:ind w:right="397"/>
              <w:jc w:val="right"/>
              <w:rPr>
                <w:rFonts w:ascii="Calibri" w:eastAsia="Calibri" w:hAnsi="Calibri" w:cs="Calibri"/>
                <w:color w:val="002060"/>
                <w:sz w:val="18"/>
                <w:lang w:val="sr-Cyrl-CS"/>
              </w:rPr>
            </w:pPr>
            <w:r w:rsidRPr="00F27A03">
              <w:rPr>
                <w:rFonts w:ascii="Calibri" w:eastAsia="Calibri" w:hAnsi="Calibri" w:cs="Calibri"/>
                <w:color w:val="002060"/>
                <w:sz w:val="18"/>
                <w:lang w:val="sr-Cyrl-CS"/>
              </w:rPr>
              <w:t>4,8</w:t>
            </w:r>
          </w:p>
        </w:tc>
      </w:tr>
    </w:tbl>
    <w:p w14:paraId="1F4B91DB" w14:textId="77777777" w:rsidR="00C02C3D" w:rsidRPr="00F27A03" w:rsidRDefault="00C02C3D" w:rsidP="0065412F">
      <w:pPr>
        <w:spacing w:before="40" w:after="0"/>
        <w:rPr>
          <w:rFonts w:ascii="Calibri" w:eastAsia="Calibri" w:hAnsi="Calibri" w:cs="Calibri"/>
          <w:bCs/>
          <w:sz w:val="16"/>
          <w:szCs w:val="72"/>
          <w:lang w:val="sr-Cyrl-CS"/>
        </w:rPr>
      </w:pPr>
      <w:r w:rsidRPr="00F27A03">
        <w:rPr>
          <w:rFonts w:ascii="Calibri" w:eastAsia="Calibri" w:hAnsi="Calibri" w:cs="Calibri"/>
          <w:bCs/>
          <w:sz w:val="16"/>
          <w:szCs w:val="72"/>
          <w:lang w:val="sr-Cyrl-CS"/>
        </w:rPr>
        <w:t>Извор: РЗС</w:t>
      </w:r>
    </w:p>
    <w:p w14:paraId="3127442B" w14:textId="77777777" w:rsidR="00C02C3D" w:rsidRPr="00F27A03" w:rsidRDefault="00C02C3D" w:rsidP="0065412F">
      <w:pPr>
        <w:spacing w:after="60"/>
        <w:rPr>
          <w:rFonts w:cstheme="minorHAnsi"/>
          <w:szCs w:val="72"/>
          <w:lang w:val="sr-Cyrl-CS"/>
        </w:rPr>
        <w:sectPr w:rsidR="00C02C3D" w:rsidRPr="00F27A03" w:rsidSect="002C1D90">
          <w:type w:val="continuous"/>
          <w:pgSz w:w="12240" w:h="15840"/>
          <w:pgMar w:top="1440" w:right="1440" w:bottom="1440" w:left="1440" w:header="720" w:footer="720" w:gutter="0"/>
          <w:cols w:space="720"/>
          <w:docGrid w:linePitch="360"/>
        </w:sectPr>
      </w:pPr>
      <w:r w:rsidRPr="00F27A03">
        <w:rPr>
          <w:rFonts w:ascii="Calibri" w:eastAsia="Calibri" w:hAnsi="Calibri" w:cs="Calibri"/>
          <w:bCs/>
          <w:sz w:val="16"/>
          <w:szCs w:val="72"/>
          <w:lang w:val="sr-Cyrl-CS"/>
        </w:rPr>
        <w:t>* Министарство финансија</w:t>
      </w:r>
    </w:p>
    <w:p w14:paraId="4A6EF5A5" w14:textId="77777777" w:rsidR="00C02C3D" w:rsidRPr="00F27A03" w:rsidRDefault="00C02C3D" w:rsidP="0065412F">
      <w:pPr>
        <w:rPr>
          <w:lang w:val="sr-Cyrl-CS"/>
        </w:rPr>
      </w:pPr>
    </w:p>
    <w:p w14:paraId="1DD2947C" w14:textId="77777777" w:rsidR="00C02C3D" w:rsidRPr="00F27A03" w:rsidRDefault="00C02C3D">
      <w:pPr>
        <w:jc w:val="left"/>
        <w:rPr>
          <w:lang w:val="sr-Cyrl-CS"/>
        </w:rPr>
        <w:sectPr w:rsidR="00C02C3D" w:rsidRPr="00F27A03" w:rsidSect="0065412F">
          <w:type w:val="continuous"/>
          <w:pgSz w:w="12240" w:h="15840" w:code="1"/>
          <w:pgMar w:top="1440" w:right="1440" w:bottom="1440" w:left="1440" w:header="720" w:footer="720" w:gutter="0"/>
          <w:cols w:num="2" w:space="720"/>
          <w:docGrid w:linePitch="360"/>
        </w:sectPr>
      </w:pPr>
    </w:p>
    <w:p w14:paraId="32970ED9" w14:textId="77777777" w:rsidR="00C02C3D" w:rsidRPr="00F27A03" w:rsidRDefault="00C02C3D">
      <w:pPr>
        <w:jc w:val="left"/>
        <w:rPr>
          <w:lang w:val="sr-Cyrl-CS"/>
        </w:rPr>
      </w:pPr>
      <w:r w:rsidRPr="00F27A03">
        <w:rPr>
          <w:lang w:val="sr-Cyrl-CS"/>
        </w:rPr>
        <w:br w:type="page"/>
      </w:r>
    </w:p>
    <w:p w14:paraId="68215E57" w14:textId="77777777" w:rsidR="00C02C3D" w:rsidRPr="00F27A03" w:rsidRDefault="00C02C3D" w:rsidP="00FA6BD0">
      <w:pPr>
        <w:spacing w:after="120"/>
        <w:jc w:val="left"/>
        <w:rPr>
          <w:color w:val="2F5496" w:themeColor="accent1" w:themeShade="BF"/>
          <w:lang w:val="sr-Cyrl-CS"/>
        </w:rPr>
      </w:pPr>
      <w:r w:rsidRPr="00F27A03">
        <w:rPr>
          <w:rFonts w:cstheme="minorHAnsi"/>
          <w:b/>
          <w:color w:val="2F5496" w:themeColor="accent1" w:themeShade="BF"/>
          <w:sz w:val="22"/>
          <w:lang w:val="sr-Cyrl-CS"/>
        </w:rPr>
        <w:lastRenderedPageBreak/>
        <w:t>Пројекције кретања реалног сектора у периоду 2023–2025. година</w:t>
      </w:r>
    </w:p>
    <w:p w14:paraId="632D22B2" w14:textId="77777777" w:rsidR="00C02C3D" w:rsidRPr="00F27A03" w:rsidRDefault="00C02C3D" w:rsidP="008527D6">
      <w:pPr>
        <w:spacing w:after="120"/>
        <w:rPr>
          <w:rFonts w:cstheme="minorHAnsi"/>
          <w:bCs/>
          <w:spacing w:val="-2"/>
          <w:szCs w:val="72"/>
          <w:lang w:val="sr-Cyrl-CS"/>
        </w:rPr>
      </w:pPr>
      <w:r w:rsidRPr="00F27A03">
        <w:rPr>
          <w:rFonts w:cstheme="minorHAnsi"/>
          <w:bCs/>
          <w:spacing w:val="-6"/>
          <w:szCs w:val="72"/>
          <w:lang w:val="sr-Cyrl-CS"/>
        </w:rPr>
        <w:t xml:space="preserve">Очекивана средњорочна кретања реалног сектора узимају у обзир актуелне економске трендове и изгледе за Србију и међународно окружење. </w:t>
      </w:r>
      <w:r w:rsidRPr="00F27A03">
        <w:rPr>
          <w:rFonts w:cstheme="minorHAnsi"/>
          <w:bCs/>
          <w:spacing w:val="-2"/>
          <w:szCs w:val="72"/>
          <w:lang w:val="sr-Cyrl-CS"/>
        </w:rPr>
        <w:t>Влада ће и у наредном периоду водити одговорну и предвидиву фискалну политику, синхронизовану са монетарном политиком</w:t>
      </w:r>
      <w:r w:rsidRPr="00F27A03" w:rsidDel="000966AF">
        <w:rPr>
          <w:rFonts w:cstheme="minorHAnsi"/>
          <w:bCs/>
          <w:spacing w:val="-2"/>
          <w:szCs w:val="72"/>
          <w:lang w:val="sr-Cyrl-CS"/>
        </w:rPr>
        <w:t xml:space="preserve"> </w:t>
      </w:r>
      <w:r w:rsidRPr="00F27A03">
        <w:rPr>
          <w:rFonts w:cstheme="minorHAnsi"/>
          <w:bCs/>
          <w:spacing w:val="-2"/>
          <w:szCs w:val="72"/>
          <w:lang w:val="sr-Cyrl-CS"/>
        </w:rPr>
        <w:t>и фокусирану на минимизирање негативних економских последица повећаних геополитичких тензија, али и на лоцирању нових извора раста.</w:t>
      </w:r>
    </w:p>
    <w:p w14:paraId="5598E081" w14:textId="1C3CDC3D" w:rsidR="00C02C3D" w:rsidRPr="00F27A03" w:rsidRDefault="00665C3A" w:rsidP="008527D6">
      <w:pPr>
        <w:spacing w:after="120"/>
        <w:rPr>
          <w:rFonts w:cstheme="minorHAnsi"/>
          <w:bCs/>
          <w:szCs w:val="72"/>
          <w:lang w:val="sr-Cyrl-CS"/>
        </w:rPr>
      </w:pPr>
      <w:r w:rsidRPr="00F27A03">
        <w:rPr>
          <w:rFonts w:cstheme="minorHAnsi"/>
          <w:bCs/>
          <w:szCs w:val="72"/>
          <w:lang w:val="sr-Cyrl-CS"/>
        </w:rPr>
        <w:t xml:space="preserve">Материјализација ризика датих у јунској Фискалној стратегији у погледу дуготрајнијих геополитичких напетости, додатних финансијских поремећаја и трајније неизвесности утицала је на слабије економске изгледе. </w:t>
      </w:r>
      <w:r w:rsidR="00C02C3D" w:rsidRPr="00F27A03">
        <w:rPr>
          <w:rFonts w:cstheme="minorHAnsi"/>
          <w:bCs/>
          <w:szCs w:val="72"/>
          <w:lang w:val="sr-Cyrl-CS"/>
        </w:rPr>
        <w:t xml:space="preserve">Сценарио који је тада анализиран као алтернативни, а који је подразумевао значајно мањи раст привреде и већу инфлацију од оних у основном сценарију, посебно у 2023. години, у великој мери је актуелизован. Успорена динамика инвестиција и растућа инфлација, уз повећану неизвесност и смањену спољну тражњу као последица економског утицаја сукоба у Украјини главни су фактори који утичу на успоравање домаће </w:t>
      </w:r>
      <w:r w:rsidR="00C02C3D" w:rsidRPr="00F27A03">
        <w:rPr>
          <w:rFonts w:cstheme="minorHAnsi"/>
          <w:bCs/>
          <w:szCs w:val="72"/>
          <w:lang w:val="sr-Cyrl-CS"/>
        </w:rPr>
        <w:t>привредне динамике. У складу са тим раст БДП за 2023 ревидиран је наниже за 1,5 п.п., са 4,0% на 2,5%, док су пројекције за 2024. и 2025. годину смањене за по 0,5 п.п., на 3,5% и 4,0%, респективно. У актуелном сценарију полази се од претпоставки да неће доћи до даље ескалације војних сукоба и додатног заоштравања међународних економских и политичких односа, да ће цене енергената у средњем року остати на високом нивоу, али ипак нешто нижем него у 2022. години уз очувану сигурност снабдевања домаћих произвођача и потрошача, као и да неће доћи до додатног поремећаја на страни спољне тражње, пре свега у погледу оштрог пада економије ЕУ као нашег најважнијег спољнотрговинског партнера. Такође, очекује се наставак стабилног прилива СДИ које ће обезбедити трансфер знања и технологија, као и нове продајне канале домаћим произвођачима. Неизвесност присутна код пројекција далеко је већа од уобичајене због природе и обима шокова на глобалном нивоу. Канали преко којих они могу потенцијално деловати на домаћу привреду су бројни, често ланчано повезани, а сама јачина потенцијалних шокова je таква да у великој мери може утицати на средњорочна кретања.</w:t>
      </w:r>
    </w:p>
    <w:p w14:paraId="64E98688" w14:textId="77777777" w:rsidR="00C02C3D" w:rsidRPr="00F27A03" w:rsidRDefault="00C02C3D" w:rsidP="00B435B3">
      <w:pPr>
        <w:spacing w:after="0"/>
        <w:rPr>
          <w:lang w:val="sr-Cyrl-CS"/>
        </w:rPr>
        <w:sectPr w:rsidR="00C02C3D" w:rsidRPr="00F27A03" w:rsidSect="00681648">
          <w:headerReference w:type="even" r:id="rId68"/>
          <w:headerReference w:type="default" r:id="rId69"/>
          <w:footerReference w:type="even" r:id="rId70"/>
          <w:footerReference w:type="default" r:id="rId71"/>
          <w:headerReference w:type="first" r:id="rId72"/>
          <w:type w:val="continuous"/>
          <w:pgSz w:w="12240" w:h="15840" w:code="1"/>
          <w:pgMar w:top="1440" w:right="1440" w:bottom="1440" w:left="1440" w:header="720" w:footer="720" w:gutter="0"/>
          <w:cols w:num="2" w:space="720"/>
          <w:docGrid w:linePitch="360"/>
        </w:sectPr>
      </w:pPr>
    </w:p>
    <w:tbl>
      <w:tblPr>
        <w:tblStyle w:val="TableGrid"/>
        <w:tblW w:w="4952" w:type="pct"/>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925"/>
        <w:gridCol w:w="925"/>
        <w:gridCol w:w="971"/>
        <w:gridCol w:w="931"/>
        <w:gridCol w:w="914"/>
      </w:tblGrid>
      <w:tr w:rsidR="00C02C3D" w:rsidRPr="00F27A03" w14:paraId="07E16620" w14:textId="77777777" w:rsidTr="00FA6BD0">
        <w:trPr>
          <w:trHeight w:val="349"/>
        </w:trPr>
        <w:tc>
          <w:tcPr>
            <w:tcW w:w="5000" w:type="pct"/>
            <w:gridSpan w:val="6"/>
            <w:tcBorders>
              <w:bottom w:val="single" w:sz="4" w:space="0" w:color="002060"/>
            </w:tcBorders>
            <w:vAlign w:val="center"/>
          </w:tcPr>
          <w:p w14:paraId="6DDB0F28" w14:textId="77777777" w:rsidR="00C02C3D" w:rsidRPr="00F27A03" w:rsidRDefault="00C02C3D" w:rsidP="00FA6BD0">
            <w:pPr>
              <w:jc w:val="center"/>
              <w:rPr>
                <w:rFonts w:cstheme="minorHAnsi"/>
                <w:b/>
                <w:color w:val="002060"/>
                <w:sz w:val="16"/>
                <w:lang w:val="sr-Cyrl-CS"/>
              </w:rPr>
            </w:pPr>
            <w:r w:rsidRPr="00F27A03">
              <w:rPr>
                <w:rFonts w:cstheme="minorHAnsi"/>
                <w:b/>
                <w:color w:val="002060"/>
                <w:lang w:val="sr-Cyrl-CS"/>
              </w:rPr>
              <w:t>Табела 4. Пројекција основних макроекономских показатеља Републике Србије</w:t>
            </w:r>
          </w:p>
        </w:tc>
      </w:tr>
      <w:tr w:rsidR="00C02C3D" w:rsidRPr="00F27A03" w14:paraId="4902A156" w14:textId="77777777" w:rsidTr="00B435B3">
        <w:tc>
          <w:tcPr>
            <w:tcW w:w="2483" w:type="pct"/>
            <w:tcBorders>
              <w:top w:val="single" w:sz="4" w:space="0" w:color="002060"/>
              <w:left w:val="single" w:sz="2" w:space="0" w:color="FFFFFF" w:themeColor="background1"/>
              <w:bottom w:val="single" w:sz="2" w:space="0" w:color="FFFFFF" w:themeColor="background1"/>
              <w:right w:val="single" w:sz="2" w:space="0" w:color="FFFFFF" w:themeColor="background1"/>
            </w:tcBorders>
          </w:tcPr>
          <w:p w14:paraId="6D177F03" w14:textId="77777777" w:rsidR="00C02C3D" w:rsidRPr="00F27A03" w:rsidRDefault="00C02C3D" w:rsidP="00C130D2">
            <w:pPr>
              <w:rPr>
                <w:rFonts w:cstheme="minorHAnsi"/>
                <w:color w:val="002060"/>
                <w:sz w:val="18"/>
                <w:lang w:val="sr-Cyrl-CS"/>
              </w:rPr>
            </w:pPr>
          </w:p>
        </w:tc>
        <w:tc>
          <w:tcPr>
            <w:tcW w:w="499" w:type="pct"/>
            <w:tcBorders>
              <w:top w:val="single" w:sz="4" w:space="0" w:color="002060"/>
              <w:left w:val="single" w:sz="2" w:space="0" w:color="FFFFFF" w:themeColor="background1"/>
              <w:bottom w:val="single" w:sz="4" w:space="0" w:color="FFFFFF" w:themeColor="background1"/>
              <w:right w:val="single" w:sz="2" w:space="0" w:color="FFFFFF" w:themeColor="background1"/>
            </w:tcBorders>
            <w:shd w:val="clear" w:color="auto" w:fill="auto"/>
          </w:tcPr>
          <w:p w14:paraId="3970886E" w14:textId="77777777" w:rsidR="00C02C3D" w:rsidRPr="00F27A03" w:rsidRDefault="00C02C3D" w:rsidP="00C130D2">
            <w:pPr>
              <w:jc w:val="center"/>
              <w:rPr>
                <w:rFonts w:cstheme="minorHAnsi"/>
                <w:color w:val="002060"/>
                <w:sz w:val="18"/>
                <w:lang w:val="sr-Cyrl-CS"/>
              </w:rPr>
            </w:pPr>
            <w:r w:rsidRPr="00F27A03">
              <w:rPr>
                <w:rFonts w:cstheme="minorHAnsi"/>
                <w:color w:val="002060"/>
                <w:sz w:val="18"/>
                <w:lang w:val="sr-Cyrl-CS"/>
              </w:rPr>
              <w:t>Процена</w:t>
            </w:r>
          </w:p>
        </w:tc>
        <w:tc>
          <w:tcPr>
            <w:tcW w:w="499" w:type="pct"/>
            <w:tcBorders>
              <w:top w:val="single" w:sz="4" w:space="0" w:color="002060"/>
              <w:left w:val="single" w:sz="2" w:space="0" w:color="FFFFFF" w:themeColor="background1"/>
              <w:bottom w:val="single" w:sz="2" w:space="0" w:color="FFFFFF" w:themeColor="background1"/>
              <w:right w:val="single" w:sz="2" w:space="0" w:color="FFFFFF" w:themeColor="background1"/>
            </w:tcBorders>
            <w:shd w:val="clear" w:color="auto" w:fill="auto"/>
          </w:tcPr>
          <w:p w14:paraId="2D2EC4FF" w14:textId="77777777" w:rsidR="00C02C3D" w:rsidRPr="00F27A03" w:rsidRDefault="00C02C3D" w:rsidP="00C130D2">
            <w:pPr>
              <w:jc w:val="center"/>
              <w:rPr>
                <w:rFonts w:cstheme="minorHAnsi"/>
                <w:color w:val="002060"/>
                <w:sz w:val="18"/>
                <w:lang w:val="sr-Cyrl-CS"/>
              </w:rPr>
            </w:pPr>
          </w:p>
        </w:tc>
        <w:tc>
          <w:tcPr>
            <w:tcW w:w="1519" w:type="pct"/>
            <w:gridSpan w:val="3"/>
            <w:tcBorders>
              <w:top w:val="single" w:sz="4" w:space="0" w:color="002060"/>
              <w:left w:val="single" w:sz="2" w:space="0" w:color="FFFFFF" w:themeColor="background1"/>
              <w:bottom w:val="single" w:sz="4" w:space="0" w:color="FFFFFF" w:themeColor="background1"/>
              <w:right w:val="single" w:sz="2" w:space="0" w:color="FFFFFF" w:themeColor="background1"/>
            </w:tcBorders>
            <w:shd w:val="clear" w:color="auto" w:fill="auto"/>
          </w:tcPr>
          <w:p w14:paraId="764826BA" w14:textId="77777777" w:rsidR="00C02C3D" w:rsidRPr="00F27A03" w:rsidRDefault="00C02C3D" w:rsidP="00C130D2">
            <w:pPr>
              <w:jc w:val="center"/>
              <w:rPr>
                <w:rFonts w:cstheme="minorHAnsi"/>
                <w:color w:val="002060"/>
                <w:sz w:val="18"/>
                <w:lang w:val="sr-Cyrl-CS"/>
              </w:rPr>
            </w:pPr>
            <w:r w:rsidRPr="00F27A03">
              <w:rPr>
                <w:rFonts w:cstheme="minorHAnsi"/>
                <w:color w:val="002060"/>
                <w:sz w:val="18"/>
                <w:lang w:val="sr-Cyrl-CS"/>
              </w:rPr>
              <w:t>Пројекције</w:t>
            </w:r>
          </w:p>
        </w:tc>
      </w:tr>
      <w:tr w:rsidR="00C02C3D" w:rsidRPr="00F27A03" w14:paraId="12B32792" w14:textId="77777777" w:rsidTr="00B435B3">
        <w:tc>
          <w:tcPr>
            <w:tcW w:w="2483" w:type="pct"/>
            <w:tcBorders>
              <w:top w:val="single" w:sz="2" w:space="0" w:color="FFFFFF" w:themeColor="background1"/>
            </w:tcBorders>
          </w:tcPr>
          <w:p w14:paraId="04F42C26" w14:textId="77777777" w:rsidR="00C02C3D" w:rsidRPr="00F27A03" w:rsidRDefault="00C02C3D" w:rsidP="00C130D2">
            <w:pPr>
              <w:ind w:left="-15"/>
              <w:rPr>
                <w:rFonts w:cstheme="minorHAnsi"/>
                <w:color w:val="002060"/>
                <w:sz w:val="18"/>
                <w:szCs w:val="18"/>
                <w:lang w:val="sr-Cyrl-CS"/>
              </w:rPr>
            </w:pPr>
          </w:p>
        </w:tc>
        <w:tc>
          <w:tcPr>
            <w:tcW w:w="499" w:type="pct"/>
            <w:tcBorders>
              <w:top w:val="single" w:sz="4" w:space="0" w:color="FFFFFF" w:themeColor="background1"/>
              <w:bottom w:val="single" w:sz="4" w:space="0" w:color="auto"/>
            </w:tcBorders>
          </w:tcPr>
          <w:p w14:paraId="264E615B" w14:textId="77777777" w:rsidR="00C02C3D" w:rsidRPr="00F27A03" w:rsidRDefault="00C02C3D" w:rsidP="00C130D2">
            <w:pPr>
              <w:jc w:val="center"/>
              <w:rPr>
                <w:rFonts w:cstheme="minorHAnsi"/>
                <w:color w:val="002060"/>
                <w:sz w:val="18"/>
                <w:szCs w:val="18"/>
                <w:lang w:val="sr-Cyrl-CS"/>
              </w:rPr>
            </w:pPr>
            <w:r w:rsidRPr="00F27A03">
              <w:rPr>
                <w:rFonts w:cstheme="minorHAnsi"/>
                <w:color w:val="002060"/>
                <w:sz w:val="18"/>
                <w:lang w:val="sr-Cyrl-CS"/>
              </w:rPr>
              <w:t>2022</w:t>
            </w:r>
          </w:p>
        </w:tc>
        <w:tc>
          <w:tcPr>
            <w:tcW w:w="499" w:type="pct"/>
            <w:tcBorders>
              <w:top w:val="single" w:sz="2" w:space="0" w:color="FFFFFF" w:themeColor="background1"/>
            </w:tcBorders>
          </w:tcPr>
          <w:p w14:paraId="27F9B8B3" w14:textId="77777777" w:rsidR="00C02C3D" w:rsidRPr="00F27A03" w:rsidRDefault="00C02C3D" w:rsidP="00C130D2">
            <w:pPr>
              <w:jc w:val="center"/>
              <w:rPr>
                <w:rFonts w:cstheme="minorHAnsi"/>
                <w:color w:val="002060"/>
                <w:sz w:val="18"/>
                <w:szCs w:val="18"/>
                <w:lang w:val="sr-Cyrl-CS"/>
              </w:rPr>
            </w:pPr>
          </w:p>
        </w:tc>
        <w:tc>
          <w:tcPr>
            <w:tcW w:w="524" w:type="pct"/>
            <w:tcBorders>
              <w:top w:val="single" w:sz="4" w:space="0" w:color="FFFFFF" w:themeColor="background1"/>
              <w:bottom w:val="single" w:sz="4" w:space="0" w:color="auto"/>
            </w:tcBorders>
          </w:tcPr>
          <w:p w14:paraId="322F804C" w14:textId="77777777" w:rsidR="00C02C3D" w:rsidRPr="00F27A03" w:rsidRDefault="00C02C3D" w:rsidP="00C130D2">
            <w:pPr>
              <w:jc w:val="center"/>
              <w:rPr>
                <w:rFonts w:cstheme="minorHAnsi"/>
                <w:color w:val="002060"/>
                <w:sz w:val="18"/>
                <w:szCs w:val="18"/>
                <w:lang w:val="sr-Cyrl-CS"/>
              </w:rPr>
            </w:pPr>
            <w:r w:rsidRPr="00F27A03">
              <w:rPr>
                <w:rFonts w:cstheme="minorHAnsi"/>
                <w:color w:val="002060"/>
                <w:sz w:val="18"/>
                <w:lang w:val="sr-Cyrl-CS"/>
              </w:rPr>
              <w:t>2023</w:t>
            </w:r>
          </w:p>
        </w:tc>
        <w:tc>
          <w:tcPr>
            <w:tcW w:w="502" w:type="pct"/>
            <w:tcBorders>
              <w:top w:val="single" w:sz="4" w:space="0" w:color="FFFFFF" w:themeColor="background1"/>
              <w:bottom w:val="single" w:sz="4" w:space="0" w:color="auto"/>
            </w:tcBorders>
          </w:tcPr>
          <w:p w14:paraId="6359B235" w14:textId="77777777" w:rsidR="00C02C3D" w:rsidRPr="00F27A03" w:rsidRDefault="00C02C3D" w:rsidP="00C130D2">
            <w:pPr>
              <w:jc w:val="center"/>
              <w:rPr>
                <w:rFonts w:cstheme="minorHAnsi"/>
                <w:color w:val="002060"/>
                <w:sz w:val="18"/>
                <w:szCs w:val="18"/>
                <w:lang w:val="sr-Cyrl-CS"/>
              </w:rPr>
            </w:pPr>
            <w:r w:rsidRPr="00F27A03">
              <w:rPr>
                <w:rFonts w:cstheme="minorHAnsi"/>
                <w:color w:val="002060"/>
                <w:sz w:val="18"/>
                <w:lang w:val="sr-Cyrl-CS"/>
              </w:rPr>
              <w:t>2024</w:t>
            </w:r>
          </w:p>
        </w:tc>
        <w:tc>
          <w:tcPr>
            <w:tcW w:w="493" w:type="pct"/>
            <w:tcBorders>
              <w:top w:val="single" w:sz="4" w:space="0" w:color="FFFFFF" w:themeColor="background1"/>
              <w:bottom w:val="single" w:sz="4" w:space="0" w:color="auto"/>
            </w:tcBorders>
          </w:tcPr>
          <w:p w14:paraId="031689DA" w14:textId="77777777" w:rsidR="00C02C3D" w:rsidRPr="00F27A03" w:rsidRDefault="00C02C3D" w:rsidP="00C130D2">
            <w:pPr>
              <w:jc w:val="center"/>
              <w:rPr>
                <w:rFonts w:cstheme="minorHAnsi"/>
                <w:color w:val="002060"/>
                <w:sz w:val="18"/>
                <w:szCs w:val="18"/>
                <w:lang w:val="sr-Cyrl-CS"/>
              </w:rPr>
            </w:pPr>
            <w:r w:rsidRPr="00F27A03">
              <w:rPr>
                <w:rFonts w:cstheme="minorHAnsi"/>
                <w:color w:val="002060"/>
                <w:sz w:val="18"/>
                <w:lang w:val="sr-Cyrl-CS"/>
              </w:rPr>
              <w:t>2025</w:t>
            </w:r>
          </w:p>
        </w:tc>
      </w:tr>
      <w:tr w:rsidR="00C02C3D" w:rsidRPr="00F27A03" w14:paraId="1E786AAB" w14:textId="77777777" w:rsidTr="008527D6">
        <w:tc>
          <w:tcPr>
            <w:tcW w:w="2483" w:type="pct"/>
            <w:tcBorders>
              <w:top w:val="single" w:sz="2" w:space="0" w:color="FFFFFF" w:themeColor="background1"/>
            </w:tcBorders>
          </w:tcPr>
          <w:p w14:paraId="7E01C86E" w14:textId="77777777" w:rsidR="00C02C3D" w:rsidRPr="00F27A03" w:rsidRDefault="00C02C3D" w:rsidP="008527D6">
            <w:pPr>
              <w:ind w:left="-15"/>
              <w:rPr>
                <w:rFonts w:cstheme="minorHAnsi"/>
                <w:color w:val="002060"/>
                <w:sz w:val="18"/>
                <w:szCs w:val="18"/>
                <w:lang w:val="sr-Cyrl-CS"/>
              </w:rPr>
            </w:pPr>
            <w:r w:rsidRPr="00F27A03">
              <w:rPr>
                <w:rFonts w:cstheme="minorHAnsi"/>
                <w:color w:val="002060"/>
                <w:sz w:val="18"/>
                <w:szCs w:val="18"/>
                <w:lang w:val="sr-Cyrl-CS"/>
              </w:rPr>
              <w:t>БДП, млрд динара (текуће цене)</w:t>
            </w:r>
          </w:p>
        </w:tc>
        <w:tc>
          <w:tcPr>
            <w:tcW w:w="499" w:type="pct"/>
            <w:tcBorders>
              <w:top w:val="single" w:sz="4" w:space="0" w:color="auto"/>
            </w:tcBorders>
          </w:tcPr>
          <w:p w14:paraId="2573243D"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7.082,5</w:t>
            </w:r>
          </w:p>
        </w:tc>
        <w:tc>
          <w:tcPr>
            <w:tcW w:w="499" w:type="pct"/>
            <w:tcBorders>
              <w:top w:val="single" w:sz="2" w:space="0" w:color="FFFFFF" w:themeColor="background1"/>
            </w:tcBorders>
          </w:tcPr>
          <w:p w14:paraId="4D4210CD" w14:textId="77777777" w:rsidR="00C02C3D" w:rsidRPr="00F27A03" w:rsidRDefault="00C02C3D" w:rsidP="008527D6">
            <w:pPr>
              <w:jc w:val="center"/>
              <w:rPr>
                <w:rFonts w:cstheme="minorHAnsi"/>
                <w:color w:val="002060"/>
                <w:sz w:val="18"/>
                <w:szCs w:val="18"/>
                <w:lang w:val="sr-Cyrl-CS"/>
              </w:rPr>
            </w:pPr>
          </w:p>
        </w:tc>
        <w:tc>
          <w:tcPr>
            <w:tcW w:w="524" w:type="pct"/>
            <w:vAlign w:val="center"/>
          </w:tcPr>
          <w:p w14:paraId="7A8B5DBD" w14:textId="77777777" w:rsidR="00C02C3D" w:rsidRPr="00F27A03" w:rsidRDefault="00C02C3D" w:rsidP="0065412F">
            <w:pPr>
              <w:jc w:val="center"/>
              <w:rPr>
                <w:rFonts w:cstheme="minorHAnsi"/>
                <w:color w:val="002060"/>
                <w:sz w:val="18"/>
                <w:szCs w:val="18"/>
                <w:lang w:val="sr-Cyrl-CS"/>
              </w:rPr>
            </w:pPr>
            <w:r w:rsidRPr="00F27A03">
              <w:rPr>
                <w:rFonts w:cstheme="minorHAnsi"/>
                <w:color w:val="002060"/>
                <w:sz w:val="18"/>
                <w:szCs w:val="18"/>
                <w:lang w:val="sr-Cyrl-CS"/>
              </w:rPr>
              <w:t>8.025,1</w:t>
            </w:r>
          </w:p>
        </w:tc>
        <w:tc>
          <w:tcPr>
            <w:tcW w:w="502" w:type="pct"/>
            <w:vAlign w:val="center"/>
          </w:tcPr>
          <w:p w14:paraId="4F98109F"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8.776,3</w:t>
            </w:r>
          </w:p>
        </w:tc>
        <w:tc>
          <w:tcPr>
            <w:tcW w:w="493" w:type="pct"/>
            <w:vAlign w:val="center"/>
          </w:tcPr>
          <w:p w14:paraId="17C2926F"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9.519,4</w:t>
            </w:r>
          </w:p>
        </w:tc>
      </w:tr>
      <w:tr w:rsidR="00C02C3D" w:rsidRPr="00F27A03" w14:paraId="3EC13E13" w14:textId="77777777" w:rsidTr="008527D6">
        <w:tc>
          <w:tcPr>
            <w:tcW w:w="2483" w:type="pct"/>
          </w:tcPr>
          <w:p w14:paraId="0CA0DA65" w14:textId="77777777" w:rsidR="00C02C3D" w:rsidRPr="00F27A03" w:rsidRDefault="00C02C3D" w:rsidP="008527D6">
            <w:pPr>
              <w:ind w:left="-15"/>
              <w:rPr>
                <w:rFonts w:cstheme="minorHAnsi"/>
                <w:color w:val="002060"/>
                <w:sz w:val="18"/>
                <w:szCs w:val="18"/>
                <w:lang w:val="sr-Cyrl-CS"/>
              </w:rPr>
            </w:pPr>
            <w:r w:rsidRPr="00F27A03">
              <w:rPr>
                <w:rFonts w:cstheme="minorHAnsi"/>
                <w:color w:val="002060"/>
                <w:sz w:val="18"/>
                <w:szCs w:val="18"/>
                <w:lang w:val="sr-Cyrl-CS"/>
              </w:rPr>
              <w:t>Реални раст БДП, %</w:t>
            </w:r>
          </w:p>
        </w:tc>
        <w:tc>
          <w:tcPr>
            <w:tcW w:w="499" w:type="pct"/>
          </w:tcPr>
          <w:p w14:paraId="11E717FB"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2,5</w:t>
            </w:r>
          </w:p>
        </w:tc>
        <w:tc>
          <w:tcPr>
            <w:tcW w:w="499" w:type="pct"/>
          </w:tcPr>
          <w:p w14:paraId="698FB001" w14:textId="77777777" w:rsidR="00C02C3D" w:rsidRPr="00F27A03" w:rsidRDefault="00C02C3D" w:rsidP="008527D6">
            <w:pPr>
              <w:jc w:val="center"/>
              <w:rPr>
                <w:rFonts w:cstheme="minorHAnsi"/>
                <w:color w:val="002060"/>
                <w:sz w:val="18"/>
                <w:szCs w:val="18"/>
                <w:lang w:val="sr-Cyrl-CS"/>
              </w:rPr>
            </w:pPr>
          </w:p>
        </w:tc>
        <w:tc>
          <w:tcPr>
            <w:tcW w:w="524" w:type="pct"/>
            <w:vAlign w:val="center"/>
          </w:tcPr>
          <w:p w14:paraId="485FFC91"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2,5</w:t>
            </w:r>
          </w:p>
        </w:tc>
        <w:tc>
          <w:tcPr>
            <w:tcW w:w="502" w:type="pct"/>
            <w:vAlign w:val="center"/>
          </w:tcPr>
          <w:p w14:paraId="2569173A"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3,5</w:t>
            </w:r>
          </w:p>
        </w:tc>
        <w:tc>
          <w:tcPr>
            <w:tcW w:w="493" w:type="pct"/>
            <w:vAlign w:val="center"/>
          </w:tcPr>
          <w:p w14:paraId="4BACC9A9"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4,0</w:t>
            </w:r>
          </w:p>
        </w:tc>
      </w:tr>
      <w:tr w:rsidR="00C02C3D" w:rsidRPr="00F27A03" w14:paraId="328F2A96" w14:textId="77777777" w:rsidTr="008527D6">
        <w:tc>
          <w:tcPr>
            <w:tcW w:w="2483" w:type="pct"/>
          </w:tcPr>
          <w:p w14:paraId="1677250A" w14:textId="77777777" w:rsidR="00C02C3D" w:rsidRPr="00F27A03" w:rsidRDefault="00C02C3D" w:rsidP="008527D6">
            <w:pPr>
              <w:ind w:left="-15"/>
              <w:rPr>
                <w:rFonts w:cstheme="minorHAnsi"/>
                <w:color w:val="002060"/>
                <w:sz w:val="18"/>
                <w:szCs w:val="18"/>
                <w:lang w:val="sr-Cyrl-CS"/>
              </w:rPr>
            </w:pPr>
            <w:r w:rsidRPr="00F27A03">
              <w:rPr>
                <w:rFonts w:cstheme="minorHAnsi"/>
                <w:color w:val="002060"/>
                <w:sz w:val="18"/>
                <w:szCs w:val="18"/>
                <w:lang w:val="sr-Cyrl-CS"/>
              </w:rPr>
              <w:t>Дефлатор БДП, %</w:t>
            </w:r>
          </w:p>
        </w:tc>
        <w:tc>
          <w:tcPr>
            <w:tcW w:w="499" w:type="pct"/>
          </w:tcPr>
          <w:p w14:paraId="73D4A4B5"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10,2</w:t>
            </w:r>
          </w:p>
        </w:tc>
        <w:tc>
          <w:tcPr>
            <w:tcW w:w="499" w:type="pct"/>
          </w:tcPr>
          <w:p w14:paraId="3FBF96CF" w14:textId="77777777" w:rsidR="00C02C3D" w:rsidRPr="00F27A03" w:rsidRDefault="00C02C3D"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34096222"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10,6</w:t>
            </w:r>
          </w:p>
        </w:tc>
        <w:tc>
          <w:tcPr>
            <w:tcW w:w="502" w:type="pct"/>
            <w:tcBorders>
              <w:top w:val="nil"/>
              <w:left w:val="nil"/>
              <w:bottom w:val="nil"/>
              <w:right w:val="nil"/>
            </w:tcBorders>
            <w:shd w:val="clear" w:color="auto" w:fill="auto"/>
            <w:vAlign w:val="bottom"/>
          </w:tcPr>
          <w:p w14:paraId="67069182"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5,6</w:t>
            </w:r>
          </w:p>
        </w:tc>
        <w:tc>
          <w:tcPr>
            <w:tcW w:w="493" w:type="pct"/>
            <w:tcBorders>
              <w:top w:val="nil"/>
              <w:left w:val="nil"/>
              <w:bottom w:val="nil"/>
              <w:right w:val="nil"/>
            </w:tcBorders>
            <w:shd w:val="clear" w:color="auto" w:fill="auto"/>
            <w:vAlign w:val="bottom"/>
          </w:tcPr>
          <w:p w14:paraId="02091C4B"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4,3</w:t>
            </w:r>
          </w:p>
        </w:tc>
      </w:tr>
      <w:tr w:rsidR="00C02C3D" w:rsidRPr="00F27A03" w14:paraId="6C504BE7" w14:textId="77777777" w:rsidTr="00B435B3">
        <w:tc>
          <w:tcPr>
            <w:tcW w:w="5000" w:type="pct"/>
            <w:gridSpan w:val="6"/>
            <w:shd w:val="clear" w:color="auto" w:fill="E7E6E6" w:themeFill="background2"/>
          </w:tcPr>
          <w:p w14:paraId="39617EF5" w14:textId="77777777" w:rsidR="00C02C3D" w:rsidRPr="00F27A03" w:rsidRDefault="00C02C3D" w:rsidP="008527D6">
            <w:pPr>
              <w:jc w:val="center"/>
              <w:rPr>
                <w:rFonts w:cstheme="minorHAnsi"/>
                <w:color w:val="002060"/>
                <w:sz w:val="18"/>
                <w:szCs w:val="18"/>
                <w:lang w:val="sr-Cyrl-CS"/>
              </w:rPr>
            </w:pPr>
          </w:p>
        </w:tc>
      </w:tr>
      <w:tr w:rsidR="00C02C3D" w:rsidRPr="00F27A03" w14:paraId="3C63565A" w14:textId="77777777" w:rsidTr="008527D6">
        <w:tc>
          <w:tcPr>
            <w:tcW w:w="2483" w:type="pct"/>
          </w:tcPr>
          <w:p w14:paraId="5F7CC105" w14:textId="77777777" w:rsidR="00C02C3D" w:rsidRPr="00F27A03" w:rsidRDefault="00C02C3D" w:rsidP="008527D6">
            <w:pPr>
              <w:ind w:left="256"/>
              <w:rPr>
                <w:rFonts w:cstheme="minorHAnsi"/>
                <w:color w:val="002060"/>
                <w:sz w:val="18"/>
                <w:szCs w:val="18"/>
                <w:lang w:val="sr-Cyrl-CS"/>
              </w:rPr>
            </w:pPr>
            <w:r w:rsidRPr="00F27A03">
              <w:rPr>
                <w:rFonts w:cstheme="minorHAnsi"/>
                <w:color w:val="002060"/>
                <w:sz w:val="18"/>
                <w:szCs w:val="18"/>
                <w:lang w:val="sr-Cyrl-CS"/>
              </w:rPr>
              <w:t>Лична потрошња</w:t>
            </w:r>
          </w:p>
        </w:tc>
        <w:tc>
          <w:tcPr>
            <w:tcW w:w="499" w:type="pct"/>
          </w:tcPr>
          <w:p w14:paraId="5005D06E"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3,9</w:t>
            </w:r>
          </w:p>
        </w:tc>
        <w:tc>
          <w:tcPr>
            <w:tcW w:w="499" w:type="pct"/>
          </w:tcPr>
          <w:p w14:paraId="0A19F038" w14:textId="77777777" w:rsidR="00C02C3D" w:rsidRPr="00F27A03" w:rsidRDefault="00C02C3D"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2021492C"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2,5</w:t>
            </w:r>
          </w:p>
        </w:tc>
        <w:tc>
          <w:tcPr>
            <w:tcW w:w="502" w:type="pct"/>
            <w:tcBorders>
              <w:top w:val="nil"/>
              <w:left w:val="nil"/>
              <w:bottom w:val="nil"/>
              <w:right w:val="nil"/>
            </w:tcBorders>
            <w:shd w:val="clear" w:color="auto" w:fill="auto"/>
            <w:vAlign w:val="bottom"/>
          </w:tcPr>
          <w:p w14:paraId="3800D2A2"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2,9</w:t>
            </w:r>
          </w:p>
        </w:tc>
        <w:tc>
          <w:tcPr>
            <w:tcW w:w="493" w:type="pct"/>
            <w:tcBorders>
              <w:top w:val="nil"/>
              <w:left w:val="nil"/>
              <w:bottom w:val="nil"/>
              <w:right w:val="nil"/>
            </w:tcBorders>
            <w:shd w:val="clear" w:color="auto" w:fill="auto"/>
            <w:vAlign w:val="bottom"/>
          </w:tcPr>
          <w:p w14:paraId="129D6CCB"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3,6</w:t>
            </w:r>
          </w:p>
        </w:tc>
      </w:tr>
      <w:tr w:rsidR="00C02C3D" w:rsidRPr="00F27A03" w14:paraId="25C25815" w14:textId="77777777" w:rsidTr="008527D6">
        <w:tc>
          <w:tcPr>
            <w:tcW w:w="2483" w:type="pct"/>
          </w:tcPr>
          <w:p w14:paraId="49F493C9" w14:textId="77777777" w:rsidR="00C02C3D" w:rsidRPr="00F27A03" w:rsidRDefault="00C02C3D" w:rsidP="008527D6">
            <w:pPr>
              <w:ind w:left="256"/>
              <w:rPr>
                <w:rFonts w:cstheme="minorHAnsi"/>
                <w:color w:val="002060"/>
                <w:sz w:val="18"/>
                <w:szCs w:val="18"/>
                <w:lang w:val="sr-Cyrl-CS"/>
              </w:rPr>
            </w:pPr>
            <w:r w:rsidRPr="00F27A03">
              <w:rPr>
                <w:rFonts w:cstheme="minorHAnsi"/>
                <w:color w:val="002060"/>
                <w:sz w:val="18"/>
                <w:szCs w:val="18"/>
                <w:lang w:val="sr-Cyrl-CS"/>
              </w:rPr>
              <w:t>Државна потрошња</w:t>
            </w:r>
          </w:p>
        </w:tc>
        <w:tc>
          <w:tcPr>
            <w:tcW w:w="499" w:type="pct"/>
          </w:tcPr>
          <w:p w14:paraId="46D65EBC"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0,4</w:t>
            </w:r>
          </w:p>
        </w:tc>
        <w:tc>
          <w:tcPr>
            <w:tcW w:w="499" w:type="pct"/>
          </w:tcPr>
          <w:p w14:paraId="28FD2E89" w14:textId="77777777" w:rsidR="00C02C3D" w:rsidRPr="00F27A03" w:rsidRDefault="00C02C3D"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13EF0840"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-2,0</w:t>
            </w:r>
          </w:p>
        </w:tc>
        <w:tc>
          <w:tcPr>
            <w:tcW w:w="502" w:type="pct"/>
            <w:tcBorders>
              <w:top w:val="nil"/>
              <w:left w:val="nil"/>
              <w:bottom w:val="nil"/>
              <w:right w:val="nil"/>
            </w:tcBorders>
            <w:shd w:val="clear" w:color="auto" w:fill="auto"/>
            <w:vAlign w:val="bottom"/>
          </w:tcPr>
          <w:p w14:paraId="541C47DB"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0,8</w:t>
            </w:r>
          </w:p>
        </w:tc>
        <w:tc>
          <w:tcPr>
            <w:tcW w:w="493" w:type="pct"/>
            <w:tcBorders>
              <w:top w:val="nil"/>
              <w:left w:val="nil"/>
              <w:bottom w:val="nil"/>
              <w:right w:val="nil"/>
            </w:tcBorders>
            <w:shd w:val="clear" w:color="auto" w:fill="auto"/>
            <w:vAlign w:val="bottom"/>
          </w:tcPr>
          <w:p w14:paraId="5BFD76C5"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0,8</w:t>
            </w:r>
          </w:p>
        </w:tc>
      </w:tr>
      <w:tr w:rsidR="00C02C3D" w:rsidRPr="00F27A03" w14:paraId="21A4874E" w14:textId="77777777" w:rsidTr="008527D6">
        <w:tc>
          <w:tcPr>
            <w:tcW w:w="2483" w:type="pct"/>
          </w:tcPr>
          <w:p w14:paraId="2BB9E26A" w14:textId="77777777" w:rsidR="00C02C3D" w:rsidRPr="00F27A03" w:rsidRDefault="00C02C3D" w:rsidP="008527D6">
            <w:pPr>
              <w:ind w:left="256"/>
              <w:rPr>
                <w:rFonts w:cstheme="minorHAnsi"/>
                <w:color w:val="002060"/>
                <w:sz w:val="18"/>
                <w:szCs w:val="18"/>
                <w:lang w:val="sr-Cyrl-CS"/>
              </w:rPr>
            </w:pPr>
            <w:r w:rsidRPr="00F27A03">
              <w:rPr>
                <w:rFonts w:cstheme="minorHAnsi"/>
                <w:color w:val="002060"/>
                <w:sz w:val="18"/>
                <w:szCs w:val="18"/>
                <w:lang w:val="sr-Cyrl-CS"/>
              </w:rPr>
              <w:t>Бруто инвестиције у основна средства</w:t>
            </w:r>
          </w:p>
        </w:tc>
        <w:tc>
          <w:tcPr>
            <w:tcW w:w="499" w:type="pct"/>
          </w:tcPr>
          <w:p w14:paraId="152FCC9C"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0,0</w:t>
            </w:r>
          </w:p>
        </w:tc>
        <w:tc>
          <w:tcPr>
            <w:tcW w:w="499" w:type="pct"/>
          </w:tcPr>
          <w:p w14:paraId="65C936D0" w14:textId="77777777" w:rsidR="00C02C3D" w:rsidRPr="00F27A03" w:rsidRDefault="00C02C3D"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7348C7F7"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2,4</w:t>
            </w:r>
          </w:p>
        </w:tc>
        <w:tc>
          <w:tcPr>
            <w:tcW w:w="502" w:type="pct"/>
            <w:tcBorders>
              <w:top w:val="nil"/>
              <w:left w:val="nil"/>
              <w:bottom w:val="nil"/>
              <w:right w:val="nil"/>
            </w:tcBorders>
            <w:shd w:val="clear" w:color="auto" w:fill="auto"/>
            <w:vAlign w:val="bottom"/>
          </w:tcPr>
          <w:p w14:paraId="4A2C38FA"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5,2</w:t>
            </w:r>
          </w:p>
        </w:tc>
        <w:tc>
          <w:tcPr>
            <w:tcW w:w="493" w:type="pct"/>
            <w:tcBorders>
              <w:top w:val="nil"/>
              <w:left w:val="nil"/>
              <w:bottom w:val="nil"/>
              <w:right w:val="nil"/>
            </w:tcBorders>
            <w:shd w:val="clear" w:color="auto" w:fill="auto"/>
            <w:vAlign w:val="bottom"/>
          </w:tcPr>
          <w:p w14:paraId="1D92BE8A"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5,8</w:t>
            </w:r>
          </w:p>
        </w:tc>
      </w:tr>
      <w:tr w:rsidR="00C02C3D" w:rsidRPr="00F27A03" w14:paraId="294C8BAD" w14:textId="77777777" w:rsidTr="008527D6">
        <w:tc>
          <w:tcPr>
            <w:tcW w:w="2483" w:type="pct"/>
          </w:tcPr>
          <w:p w14:paraId="3FE786A4" w14:textId="77777777" w:rsidR="00C02C3D" w:rsidRPr="00F27A03" w:rsidRDefault="00C02C3D" w:rsidP="008527D6">
            <w:pPr>
              <w:ind w:left="256"/>
              <w:rPr>
                <w:rFonts w:cstheme="minorHAnsi"/>
                <w:color w:val="002060"/>
                <w:sz w:val="18"/>
                <w:szCs w:val="18"/>
                <w:lang w:val="sr-Cyrl-CS"/>
              </w:rPr>
            </w:pPr>
            <w:r w:rsidRPr="00F27A03">
              <w:rPr>
                <w:rFonts w:cstheme="minorHAnsi"/>
                <w:color w:val="002060"/>
                <w:sz w:val="18"/>
                <w:szCs w:val="18"/>
                <w:lang w:val="sr-Cyrl-CS"/>
              </w:rPr>
              <w:t>Извоз робе и услуга</w:t>
            </w:r>
          </w:p>
        </w:tc>
        <w:tc>
          <w:tcPr>
            <w:tcW w:w="499" w:type="pct"/>
          </w:tcPr>
          <w:p w14:paraId="30250A1C"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12,3</w:t>
            </w:r>
          </w:p>
        </w:tc>
        <w:tc>
          <w:tcPr>
            <w:tcW w:w="499" w:type="pct"/>
          </w:tcPr>
          <w:p w14:paraId="1801A76C" w14:textId="77777777" w:rsidR="00C02C3D" w:rsidRPr="00F27A03" w:rsidRDefault="00C02C3D"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12808625"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4,9</w:t>
            </w:r>
          </w:p>
        </w:tc>
        <w:tc>
          <w:tcPr>
            <w:tcW w:w="502" w:type="pct"/>
            <w:tcBorders>
              <w:top w:val="nil"/>
              <w:left w:val="nil"/>
              <w:bottom w:val="nil"/>
              <w:right w:val="nil"/>
            </w:tcBorders>
            <w:shd w:val="clear" w:color="auto" w:fill="auto"/>
            <w:vAlign w:val="bottom"/>
          </w:tcPr>
          <w:p w14:paraId="67A6FDD9"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8,8</w:t>
            </w:r>
          </w:p>
        </w:tc>
        <w:tc>
          <w:tcPr>
            <w:tcW w:w="493" w:type="pct"/>
            <w:tcBorders>
              <w:top w:val="nil"/>
              <w:left w:val="nil"/>
              <w:bottom w:val="nil"/>
              <w:right w:val="nil"/>
            </w:tcBorders>
            <w:shd w:val="clear" w:color="auto" w:fill="auto"/>
            <w:vAlign w:val="bottom"/>
          </w:tcPr>
          <w:p w14:paraId="0C6567D2"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10,6</w:t>
            </w:r>
          </w:p>
        </w:tc>
      </w:tr>
      <w:tr w:rsidR="00C02C3D" w:rsidRPr="00F27A03" w14:paraId="4752C61B" w14:textId="77777777" w:rsidTr="008527D6">
        <w:tc>
          <w:tcPr>
            <w:tcW w:w="2483" w:type="pct"/>
          </w:tcPr>
          <w:p w14:paraId="78974203" w14:textId="77777777" w:rsidR="00C02C3D" w:rsidRPr="00F27A03" w:rsidRDefault="00C02C3D" w:rsidP="008527D6">
            <w:pPr>
              <w:ind w:left="256"/>
              <w:rPr>
                <w:rFonts w:cstheme="minorHAnsi"/>
                <w:color w:val="002060"/>
                <w:sz w:val="18"/>
                <w:szCs w:val="18"/>
                <w:lang w:val="sr-Cyrl-CS"/>
              </w:rPr>
            </w:pPr>
            <w:r w:rsidRPr="00F27A03">
              <w:rPr>
                <w:rFonts w:cstheme="minorHAnsi"/>
                <w:color w:val="002060"/>
                <w:sz w:val="18"/>
                <w:szCs w:val="18"/>
                <w:lang w:val="sr-Cyrl-CS"/>
              </w:rPr>
              <w:t>Увоз робе и услуга</w:t>
            </w:r>
          </w:p>
        </w:tc>
        <w:tc>
          <w:tcPr>
            <w:tcW w:w="499" w:type="pct"/>
          </w:tcPr>
          <w:p w14:paraId="5DCC68F2"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12,8</w:t>
            </w:r>
          </w:p>
        </w:tc>
        <w:tc>
          <w:tcPr>
            <w:tcW w:w="499" w:type="pct"/>
          </w:tcPr>
          <w:p w14:paraId="05E2EF7F" w14:textId="77777777" w:rsidR="00C02C3D" w:rsidRPr="00F27A03" w:rsidRDefault="00C02C3D"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6E0A9DF8"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4,0</w:t>
            </w:r>
          </w:p>
        </w:tc>
        <w:tc>
          <w:tcPr>
            <w:tcW w:w="502" w:type="pct"/>
            <w:tcBorders>
              <w:top w:val="nil"/>
              <w:left w:val="nil"/>
              <w:bottom w:val="nil"/>
              <w:right w:val="nil"/>
            </w:tcBorders>
            <w:shd w:val="clear" w:color="auto" w:fill="auto"/>
            <w:vAlign w:val="bottom"/>
          </w:tcPr>
          <w:p w14:paraId="285B3432"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6,8</w:t>
            </w:r>
          </w:p>
        </w:tc>
        <w:tc>
          <w:tcPr>
            <w:tcW w:w="493" w:type="pct"/>
            <w:tcBorders>
              <w:top w:val="nil"/>
              <w:left w:val="nil"/>
              <w:bottom w:val="nil"/>
              <w:right w:val="nil"/>
            </w:tcBorders>
            <w:shd w:val="clear" w:color="auto" w:fill="auto"/>
            <w:vAlign w:val="bottom"/>
          </w:tcPr>
          <w:p w14:paraId="4DEE3ACE"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8,8</w:t>
            </w:r>
          </w:p>
        </w:tc>
      </w:tr>
      <w:tr w:rsidR="00C02C3D" w:rsidRPr="00F27A03" w14:paraId="690CDC28" w14:textId="77777777" w:rsidTr="00B435B3">
        <w:tc>
          <w:tcPr>
            <w:tcW w:w="2483" w:type="pct"/>
          </w:tcPr>
          <w:p w14:paraId="4D86C868" w14:textId="77777777" w:rsidR="00C02C3D" w:rsidRPr="00F27A03" w:rsidRDefault="00C02C3D" w:rsidP="008527D6">
            <w:pPr>
              <w:ind w:left="-15"/>
              <w:rPr>
                <w:rFonts w:cstheme="minorHAnsi"/>
                <w:color w:val="002060"/>
                <w:sz w:val="18"/>
                <w:szCs w:val="18"/>
                <w:lang w:val="sr-Cyrl-CS"/>
              </w:rPr>
            </w:pPr>
            <w:r w:rsidRPr="00F27A03">
              <w:rPr>
                <w:rFonts w:cstheme="minorHAnsi"/>
                <w:color w:val="002060"/>
                <w:sz w:val="18"/>
                <w:szCs w:val="18"/>
                <w:lang w:val="sr-Cyrl-CS"/>
              </w:rPr>
              <w:t>Салдо робе и услуга, у ЕУР, % БДП</w:t>
            </w:r>
          </w:p>
        </w:tc>
        <w:tc>
          <w:tcPr>
            <w:tcW w:w="499" w:type="pct"/>
          </w:tcPr>
          <w:p w14:paraId="46C32C60"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-12,2</w:t>
            </w:r>
          </w:p>
        </w:tc>
        <w:tc>
          <w:tcPr>
            <w:tcW w:w="499" w:type="pct"/>
          </w:tcPr>
          <w:p w14:paraId="488A3C9C" w14:textId="77777777" w:rsidR="00C02C3D" w:rsidRPr="00F27A03" w:rsidRDefault="00C02C3D" w:rsidP="008527D6">
            <w:pPr>
              <w:jc w:val="center"/>
              <w:rPr>
                <w:rFonts w:cstheme="minorHAnsi"/>
                <w:color w:val="002060"/>
                <w:sz w:val="18"/>
                <w:szCs w:val="18"/>
                <w:lang w:val="sr-Cyrl-CS"/>
              </w:rPr>
            </w:pPr>
          </w:p>
        </w:tc>
        <w:tc>
          <w:tcPr>
            <w:tcW w:w="524" w:type="pct"/>
          </w:tcPr>
          <w:p w14:paraId="7A440F6D" w14:textId="77777777" w:rsidR="00C02C3D" w:rsidRPr="00F27A03" w:rsidRDefault="00C02C3D" w:rsidP="008527D6">
            <w:pPr>
              <w:jc w:val="center"/>
              <w:rPr>
                <w:color w:val="002060"/>
                <w:sz w:val="18"/>
                <w:lang w:val="sr-Cyrl-CS"/>
              </w:rPr>
            </w:pPr>
            <w:r w:rsidRPr="00F27A03">
              <w:rPr>
                <w:color w:val="002060"/>
                <w:sz w:val="18"/>
                <w:lang w:val="sr-Cyrl-CS"/>
              </w:rPr>
              <w:t>-10,9</w:t>
            </w:r>
          </w:p>
        </w:tc>
        <w:tc>
          <w:tcPr>
            <w:tcW w:w="502" w:type="pct"/>
          </w:tcPr>
          <w:p w14:paraId="2010B1E0" w14:textId="77777777" w:rsidR="00C02C3D" w:rsidRPr="00F27A03" w:rsidRDefault="00C02C3D" w:rsidP="008527D6">
            <w:pPr>
              <w:jc w:val="center"/>
              <w:rPr>
                <w:color w:val="002060"/>
                <w:sz w:val="18"/>
                <w:lang w:val="sr-Cyrl-CS"/>
              </w:rPr>
            </w:pPr>
            <w:r w:rsidRPr="00F27A03">
              <w:rPr>
                <w:color w:val="002060"/>
                <w:sz w:val="18"/>
                <w:lang w:val="sr-Cyrl-CS"/>
              </w:rPr>
              <w:t>-9,4</w:t>
            </w:r>
          </w:p>
        </w:tc>
        <w:tc>
          <w:tcPr>
            <w:tcW w:w="493" w:type="pct"/>
          </w:tcPr>
          <w:p w14:paraId="3B8499CB" w14:textId="77777777" w:rsidR="00C02C3D" w:rsidRPr="00F27A03" w:rsidRDefault="00C02C3D" w:rsidP="008527D6">
            <w:pPr>
              <w:jc w:val="center"/>
              <w:rPr>
                <w:color w:val="002060"/>
                <w:sz w:val="18"/>
                <w:lang w:val="sr-Cyrl-CS"/>
              </w:rPr>
            </w:pPr>
            <w:r w:rsidRPr="00F27A03">
              <w:rPr>
                <w:color w:val="002060"/>
                <w:sz w:val="18"/>
                <w:lang w:val="sr-Cyrl-CS"/>
              </w:rPr>
              <w:t>-8,4</w:t>
            </w:r>
          </w:p>
        </w:tc>
      </w:tr>
      <w:tr w:rsidR="00C02C3D" w:rsidRPr="00F27A03" w14:paraId="68BB9518" w14:textId="77777777" w:rsidTr="008527D6">
        <w:tc>
          <w:tcPr>
            <w:tcW w:w="2483" w:type="pct"/>
          </w:tcPr>
          <w:p w14:paraId="2D66DB73" w14:textId="77777777" w:rsidR="00C02C3D" w:rsidRPr="00F27A03" w:rsidRDefault="00C02C3D" w:rsidP="008527D6">
            <w:pPr>
              <w:ind w:left="-15"/>
              <w:rPr>
                <w:rFonts w:cstheme="minorHAnsi"/>
                <w:color w:val="002060"/>
                <w:sz w:val="18"/>
                <w:szCs w:val="18"/>
                <w:lang w:val="sr-Cyrl-CS"/>
              </w:rPr>
            </w:pPr>
            <w:r w:rsidRPr="00F27A03">
              <w:rPr>
                <w:rFonts w:cstheme="minorHAnsi"/>
                <w:color w:val="002060"/>
                <w:sz w:val="18"/>
                <w:szCs w:val="18"/>
                <w:lang w:val="sr-Cyrl-CS"/>
              </w:rPr>
              <w:t>Салдо текућег рачуна, у ЕУР, % БДП</w:t>
            </w:r>
          </w:p>
        </w:tc>
        <w:tc>
          <w:tcPr>
            <w:tcW w:w="499" w:type="pct"/>
          </w:tcPr>
          <w:p w14:paraId="5DFD9A5A"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-9,0</w:t>
            </w:r>
          </w:p>
        </w:tc>
        <w:tc>
          <w:tcPr>
            <w:tcW w:w="499" w:type="pct"/>
          </w:tcPr>
          <w:p w14:paraId="651744C9" w14:textId="77777777" w:rsidR="00C02C3D" w:rsidRPr="00F27A03" w:rsidRDefault="00C02C3D" w:rsidP="008527D6">
            <w:pPr>
              <w:jc w:val="center"/>
              <w:rPr>
                <w:rFonts w:cstheme="minorHAnsi"/>
                <w:color w:val="002060"/>
                <w:sz w:val="18"/>
                <w:szCs w:val="18"/>
                <w:lang w:val="sr-Cyrl-CS"/>
              </w:rPr>
            </w:pPr>
          </w:p>
        </w:tc>
        <w:tc>
          <w:tcPr>
            <w:tcW w:w="524" w:type="pct"/>
            <w:tcBorders>
              <w:top w:val="nil"/>
              <w:left w:val="nil"/>
              <w:bottom w:val="nil"/>
              <w:right w:val="nil"/>
            </w:tcBorders>
            <w:shd w:val="clear" w:color="000000" w:fill="FFFFFF"/>
            <w:vAlign w:val="bottom"/>
          </w:tcPr>
          <w:p w14:paraId="48B6C7E8"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-8,5</w:t>
            </w:r>
          </w:p>
        </w:tc>
        <w:tc>
          <w:tcPr>
            <w:tcW w:w="502" w:type="pct"/>
            <w:tcBorders>
              <w:top w:val="nil"/>
              <w:left w:val="nil"/>
              <w:bottom w:val="nil"/>
              <w:right w:val="nil"/>
            </w:tcBorders>
            <w:shd w:val="clear" w:color="000000" w:fill="FFFFFF"/>
            <w:vAlign w:val="bottom"/>
          </w:tcPr>
          <w:p w14:paraId="271FF6E9"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-6,7</w:t>
            </w:r>
          </w:p>
        </w:tc>
        <w:tc>
          <w:tcPr>
            <w:tcW w:w="493" w:type="pct"/>
            <w:tcBorders>
              <w:top w:val="nil"/>
              <w:left w:val="nil"/>
              <w:bottom w:val="nil"/>
              <w:right w:val="nil"/>
            </w:tcBorders>
            <w:shd w:val="clear" w:color="000000" w:fill="FFFFFF"/>
            <w:vAlign w:val="bottom"/>
          </w:tcPr>
          <w:p w14:paraId="10500424"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-6,0</w:t>
            </w:r>
          </w:p>
        </w:tc>
      </w:tr>
      <w:tr w:rsidR="00C02C3D" w:rsidRPr="00F27A03" w14:paraId="4A4E5FA8" w14:textId="77777777" w:rsidTr="008527D6">
        <w:trPr>
          <w:trHeight w:val="193"/>
        </w:trPr>
        <w:tc>
          <w:tcPr>
            <w:tcW w:w="2483" w:type="pct"/>
            <w:tcBorders>
              <w:bottom w:val="single" w:sz="4" w:space="0" w:color="002060"/>
            </w:tcBorders>
          </w:tcPr>
          <w:p w14:paraId="7F53A683" w14:textId="77777777" w:rsidR="00C02C3D" w:rsidRPr="00F27A03" w:rsidRDefault="00C02C3D" w:rsidP="008527D6">
            <w:pPr>
              <w:rPr>
                <w:rFonts w:cstheme="minorHAnsi"/>
                <w:color w:val="002060"/>
                <w:sz w:val="18"/>
                <w:szCs w:val="18"/>
                <w:lang w:val="sr-Cyrl-CS"/>
              </w:rPr>
            </w:pPr>
            <w:r w:rsidRPr="00F27A03">
              <w:rPr>
                <w:rFonts w:cstheme="minorHAnsi"/>
                <w:color w:val="002060"/>
                <w:sz w:val="18"/>
                <w:szCs w:val="18"/>
                <w:lang w:val="sr-Cyrl-CS"/>
              </w:rPr>
              <w:t>Инфлација, просек периода, %</w:t>
            </w:r>
          </w:p>
        </w:tc>
        <w:tc>
          <w:tcPr>
            <w:tcW w:w="499" w:type="pct"/>
            <w:tcBorders>
              <w:bottom w:val="single" w:sz="4" w:space="0" w:color="002060"/>
            </w:tcBorders>
          </w:tcPr>
          <w:p w14:paraId="4727E5E7" w14:textId="77777777" w:rsidR="00C02C3D" w:rsidRPr="00F27A03" w:rsidRDefault="00C02C3D" w:rsidP="008527D6">
            <w:pPr>
              <w:jc w:val="center"/>
              <w:rPr>
                <w:rFonts w:cstheme="minorHAnsi"/>
                <w:color w:val="002060"/>
                <w:sz w:val="18"/>
                <w:szCs w:val="18"/>
                <w:lang w:val="sr-Cyrl-CS"/>
              </w:rPr>
            </w:pPr>
            <w:r w:rsidRPr="00F27A03">
              <w:rPr>
                <w:rFonts w:cstheme="minorHAnsi"/>
                <w:color w:val="002060"/>
                <w:sz w:val="18"/>
                <w:szCs w:val="18"/>
                <w:lang w:val="sr-Cyrl-CS"/>
              </w:rPr>
              <w:t>11,6</w:t>
            </w:r>
          </w:p>
        </w:tc>
        <w:tc>
          <w:tcPr>
            <w:tcW w:w="499" w:type="pct"/>
            <w:tcBorders>
              <w:top w:val="nil"/>
              <w:left w:val="nil"/>
              <w:bottom w:val="nil"/>
              <w:right w:val="nil"/>
            </w:tcBorders>
            <w:shd w:val="clear" w:color="auto" w:fill="auto"/>
          </w:tcPr>
          <w:p w14:paraId="60ABA190" w14:textId="77777777" w:rsidR="00C02C3D" w:rsidRPr="00F27A03" w:rsidRDefault="00C02C3D"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tcPr>
          <w:p w14:paraId="3361F891" w14:textId="77777777" w:rsidR="00C02C3D" w:rsidRPr="00F27A03" w:rsidRDefault="00C02C3D" w:rsidP="008527D6">
            <w:pPr>
              <w:jc w:val="center"/>
              <w:rPr>
                <w:color w:val="002060"/>
                <w:sz w:val="18"/>
                <w:lang w:val="sr-Cyrl-CS"/>
              </w:rPr>
            </w:pPr>
            <w:r w:rsidRPr="00F27A03">
              <w:rPr>
                <w:color w:val="002060"/>
                <w:sz w:val="18"/>
                <w:lang w:val="sr-Cyrl-CS"/>
              </w:rPr>
              <w:t>11,1</w:t>
            </w:r>
          </w:p>
        </w:tc>
        <w:tc>
          <w:tcPr>
            <w:tcW w:w="502" w:type="pct"/>
            <w:tcBorders>
              <w:top w:val="nil"/>
              <w:left w:val="nil"/>
              <w:bottom w:val="nil"/>
              <w:right w:val="nil"/>
            </w:tcBorders>
            <w:shd w:val="clear" w:color="auto" w:fill="auto"/>
          </w:tcPr>
          <w:p w14:paraId="508991B1" w14:textId="77777777" w:rsidR="00C02C3D" w:rsidRPr="00F27A03" w:rsidRDefault="00C02C3D" w:rsidP="008527D6">
            <w:pPr>
              <w:jc w:val="center"/>
              <w:rPr>
                <w:color w:val="002060"/>
                <w:sz w:val="18"/>
                <w:lang w:val="sr-Cyrl-CS"/>
              </w:rPr>
            </w:pPr>
            <w:r w:rsidRPr="00F27A03">
              <w:rPr>
                <w:color w:val="002060"/>
                <w:sz w:val="18"/>
                <w:lang w:val="sr-Cyrl-CS"/>
              </w:rPr>
              <w:t>5,0</w:t>
            </w:r>
          </w:p>
        </w:tc>
        <w:tc>
          <w:tcPr>
            <w:tcW w:w="493" w:type="pct"/>
            <w:tcBorders>
              <w:top w:val="nil"/>
              <w:left w:val="nil"/>
              <w:bottom w:val="nil"/>
              <w:right w:val="nil"/>
            </w:tcBorders>
            <w:shd w:val="clear" w:color="auto" w:fill="auto"/>
          </w:tcPr>
          <w:p w14:paraId="48A703EC" w14:textId="77777777" w:rsidR="00C02C3D" w:rsidRPr="00F27A03" w:rsidRDefault="00C02C3D" w:rsidP="008527D6">
            <w:pPr>
              <w:jc w:val="center"/>
              <w:rPr>
                <w:color w:val="002060"/>
                <w:sz w:val="18"/>
                <w:lang w:val="sr-Cyrl-CS"/>
              </w:rPr>
            </w:pPr>
            <w:r w:rsidRPr="00F27A03">
              <w:rPr>
                <w:color w:val="002060"/>
                <w:sz w:val="18"/>
                <w:lang w:val="sr-Cyrl-CS"/>
              </w:rPr>
              <w:t>3,5</w:t>
            </w:r>
          </w:p>
        </w:tc>
      </w:tr>
      <w:tr w:rsidR="00C02C3D" w:rsidRPr="00F27A03" w14:paraId="4B11FEEE" w14:textId="77777777" w:rsidTr="00B435B3">
        <w:tc>
          <w:tcPr>
            <w:tcW w:w="2483" w:type="pct"/>
            <w:tcBorders>
              <w:top w:val="single" w:sz="4" w:space="0" w:color="002060"/>
            </w:tcBorders>
          </w:tcPr>
          <w:p w14:paraId="3BB89197" w14:textId="77777777" w:rsidR="00C02C3D" w:rsidRPr="00F27A03" w:rsidRDefault="00C02C3D" w:rsidP="00FA6BD0">
            <w:pPr>
              <w:rPr>
                <w:rFonts w:cstheme="minorHAnsi"/>
                <w:sz w:val="16"/>
                <w:lang w:val="sr-Cyrl-CS"/>
              </w:rPr>
            </w:pPr>
            <w:r w:rsidRPr="00F27A03">
              <w:rPr>
                <w:rFonts w:cstheme="minorHAnsi"/>
                <w:sz w:val="16"/>
                <w:lang w:val="sr-Cyrl-CS"/>
              </w:rPr>
              <w:t>Извор: Министарство финансија</w:t>
            </w:r>
          </w:p>
        </w:tc>
        <w:tc>
          <w:tcPr>
            <w:tcW w:w="499" w:type="pct"/>
            <w:tcBorders>
              <w:top w:val="single" w:sz="4" w:space="0" w:color="002060"/>
            </w:tcBorders>
          </w:tcPr>
          <w:p w14:paraId="32B6145D" w14:textId="77777777" w:rsidR="00C02C3D" w:rsidRPr="00F27A03" w:rsidRDefault="00C02C3D" w:rsidP="008527D6">
            <w:pPr>
              <w:rPr>
                <w:rFonts w:cstheme="minorHAnsi"/>
                <w:sz w:val="16"/>
                <w:lang w:val="sr-Cyrl-CS"/>
              </w:rPr>
            </w:pPr>
          </w:p>
        </w:tc>
        <w:tc>
          <w:tcPr>
            <w:tcW w:w="499" w:type="pct"/>
            <w:tcBorders>
              <w:top w:val="single" w:sz="4" w:space="0" w:color="002060"/>
            </w:tcBorders>
          </w:tcPr>
          <w:p w14:paraId="0E380AB5" w14:textId="77777777" w:rsidR="00C02C3D" w:rsidRPr="00F27A03" w:rsidRDefault="00C02C3D" w:rsidP="008527D6">
            <w:pPr>
              <w:rPr>
                <w:rFonts w:cstheme="minorHAnsi"/>
                <w:sz w:val="16"/>
                <w:lang w:val="sr-Cyrl-CS"/>
              </w:rPr>
            </w:pPr>
          </w:p>
        </w:tc>
        <w:tc>
          <w:tcPr>
            <w:tcW w:w="524" w:type="pct"/>
            <w:tcBorders>
              <w:top w:val="single" w:sz="4" w:space="0" w:color="002060"/>
            </w:tcBorders>
          </w:tcPr>
          <w:p w14:paraId="16FF69D8" w14:textId="77777777" w:rsidR="00C02C3D" w:rsidRPr="00F27A03" w:rsidRDefault="00C02C3D" w:rsidP="008527D6">
            <w:pPr>
              <w:rPr>
                <w:rFonts w:cstheme="minorHAnsi"/>
                <w:sz w:val="16"/>
                <w:lang w:val="sr-Cyrl-CS"/>
              </w:rPr>
            </w:pPr>
          </w:p>
        </w:tc>
        <w:tc>
          <w:tcPr>
            <w:tcW w:w="502" w:type="pct"/>
            <w:tcBorders>
              <w:top w:val="single" w:sz="4" w:space="0" w:color="002060"/>
            </w:tcBorders>
          </w:tcPr>
          <w:p w14:paraId="5F8C3DC3" w14:textId="77777777" w:rsidR="00C02C3D" w:rsidRPr="00F27A03" w:rsidRDefault="00C02C3D" w:rsidP="008527D6">
            <w:pPr>
              <w:rPr>
                <w:rFonts w:cstheme="minorHAnsi"/>
                <w:sz w:val="16"/>
                <w:lang w:val="sr-Cyrl-CS"/>
              </w:rPr>
            </w:pPr>
          </w:p>
        </w:tc>
        <w:tc>
          <w:tcPr>
            <w:tcW w:w="493" w:type="pct"/>
            <w:tcBorders>
              <w:top w:val="single" w:sz="4" w:space="0" w:color="002060"/>
            </w:tcBorders>
          </w:tcPr>
          <w:p w14:paraId="222A47D2" w14:textId="77777777" w:rsidR="00C02C3D" w:rsidRPr="00F27A03" w:rsidRDefault="00C02C3D" w:rsidP="008527D6">
            <w:pPr>
              <w:rPr>
                <w:rFonts w:cstheme="minorHAnsi"/>
                <w:sz w:val="16"/>
                <w:lang w:val="sr-Cyrl-CS"/>
              </w:rPr>
            </w:pPr>
          </w:p>
        </w:tc>
      </w:tr>
    </w:tbl>
    <w:p w14:paraId="0C6DE0C8" w14:textId="77777777" w:rsidR="00C02C3D" w:rsidRPr="00F27A03" w:rsidRDefault="00C02C3D" w:rsidP="00B435B3">
      <w:pPr>
        <w:spacing w:after="0"/>
        <w:jc w:val="center"/>
        <w:rPr>
          <w:rFonts w:cstheme="minorHAnsi"/>
          <w:b/>
          <w:sz w:val="16"/>
          <w:lang w:val="sr-Cyrl-CS"/>
        </w:rPr>
        <w:sectPr w:rsidR="00C02C3D" w:rsidRPr="00F27A03" w:rsidSect="00AB121A">
          <w:type w:val="continuous"/>
          <w:pgSz w:w="12240" w:h="15840"/>
          <w:pgMar w:top="1440" w:right="1440" w:bottom="1440" w:left="1440" w:header="720" w:footer="720" w:gutter="0"/>
          <w:cols w:space="720"/>
          <w:docGrid w:linePitch="360"/>
        </w:sectPr>
      </w:pPr>
    </w:p>
    <w:p w14:paraId="6E5516D8" w14:textId="77777777" w:rsidR="00C02C3D" w:rsidRPr="00F27A03" w:rsidRDefault="00C02C3D" w:rsidP="008527D6">
      <w:pPr>
        <w:rPr>
          <w:rFonts w:cstheme="minorHAnsi"/>
          <w:bCs/>
          <w:szCs w:val="72"/>
          <w:lang w:val="sr-Cyrl-CS"/>
        </w:rPr>
      </w:pPr>
      <w:r w:rsidRPr="00F27A03">
        <w:rPr>
          <w:rFonts w:cstheme="minorHAnsi"/>
          <w:bCs/>
          <w:szCs w:val="72"/>
          <w:lang w:val="sr-Cyrl-CS"/>
        </w:rPr>
        <w:t xml:space="preserve">Посматрано по агрегатима употребе раст БДП у 2023. години ће и у ревидираној процени у потпуности бити вођен домаћом тражњом, док ће нето извоз имати готово неутралан допринос. Очекивано повећање зарада, како у приватном тако и у јавном сектору, већа запосленост и стабилан раст пензија, резултираће растом реалне личне потрошње од 2,5% што је за 1,3 п.п. мање у </w:t>
      </w:r>
      <w:r w:rsidRPr="00F27A03">
        <w:rPr>
          <w:rFonts w:cstheme="minorHAnsi"/>
          <w:bCs/>
          <w:szCs w:val="72"/>
          <w:lang w:val="sr-Cyrl-CS"/>
        </w:rPr>
        <w:t xml:space="preserve">поређењу са претходном пројекцијом, пре свега као последица већих инфлаторних притисака и нешто неповољнијих услова финансирања. Геополитичке тензије, слабија спољна тражња и аверзија инвеститора према ризику, уз заоштравање монетарне политике водећих централних банака имаће за последицу спорију динамику инвестиција, што је условило ревизију </w:t>
      </w:r>
      <w:r w:rsidRPr="00F27A03">
        <w:rPr>
          <w:rFonts w:cstheme="minorHAnsi"/>
          <w:bCs/>
          <w:szCs w:val="72"/>
          <w:lang w:val="sr-Cyrl-CS"/>
        </w:rPr>
        <w:lastRenderedPageBreak/>
        <w:t>наниже стопе раста инвестиција, са 6,1% на 2,4%. Динамика инвестиционе активности биће у потпуности опредељена приватним инвестицијама и даљим повећањем производних капацитета привреде, пре свега у секторима који производе разменљива добра, док ће допринос јавних инвестиција бити готово неутралан. Благи негативан допринос расту БДП у 2023. години од 0,3 п.п. доћи ће од државне потрошње.</w:t>
      </w:r>
      <w:r w:rsidRPr="00F27A03">
        <w:rPr>
          <w:rFonts w:cstheme="minorHAnsi"/>
          <w:bCs/>
          <w:color w:val="A6A6A6" w:themeColor="background1" w:themeShade="A6"/>
          <w:szCs w:val="72"/>
          <w:lang w:val="sr-Cyrl-CS"/>
        </w:rPr>
        <w:t xml:space="preserve"> </w:t>
      </w:r>
      <w:r w:rsidRPr="00F27A03">
        <w:rPr>
          <w:rFonts w:cstheme="minorHAnsi"/>
          <w:bCs/>
          <w:szCs w:val="72"/>
          <w:lang w:val="sr-Cyrl-CS"/>
        </w:rPr>
        <w:t>За разлику од претходне пројекције, када се очекивао снажнији раст спољнотрговинских токова, у текућој пројекцији за 2023. годину под утицајем међународног окружења прогнозира се спорији раст извоза и увоза који би требао да износи 4,9% и 4,0%, респективно.</w:t>
      </w:r>
    </w:p>
    <w:p w14:paraId="515A5387" w14:textId="77777777" w:rsidR="00C02C3D" w:rsidRPr="00F27A03" w:rsidRDefault="00C02C3D" w:rsidP="008527D6">
      <w:pPr>
        <w:pStyle w:val="NoSpacing"/>
        <w:spacing w:after="120"/>
        <w:jc w:val="center"/>
        <w:rPr>
          <w:rFonts w:cstheme="minorHAnsi"/>
          <w:color w:val="002060"/>
          <w:lang w:val="sr-Cyrl-CS"/>
        </w:rPr>
      </w:pPr>
      <w:r w:rsidRPr="00F27A03">
        <w:rPr>
          <w:rFonts w:cstheme="minorHAnsi"/>
          <w:color w:val="002060"/>
          <w:lang w:val="sr-Cyrl-CS"/>
        </w:rPr>
        <w:t xml:space="preserve">Доприноси стопи реалног раста БДП, </w:t>
      </w:r>
      <w:r w:rsidRPr="00F27A03">
        <w:rPr>
          <w:rFonts w:cstheme="minorHAnsi"/>
          <w:color w:val="002060"/>
          <w:lang w:val="sr-Cyrl-CS"/>
        </w:rPr>
        <w:br/>
        <w:t>расходни приступ, п.п.</w:t>
      </w:r>
    </w:p>
    <w:p w14:paraId="11435403" w14:textId="77777777" w:rsidR="00C02C3D" w:rsidRPr="00F27A03" w:rsidRDefault="00C02C3D" w:rsidP="008527D6">
      <w:pPr>
        <w:pStyle w:val="NoSpacing"/>
        <w:spacing w:after="80"/>
        <w:jc w:val="center"/>
        <w:rPr>
          <w:rFonts w:cstheme="minorHAnsi"/>
          <w:color w:val="44546A" w:themeColor="text2"/>
          <w:sz w:val="16"/>
          <w:lang w:val="sr-Cyrl-CS"/>
        </w:rPr>
      </w:pPr>
      <w:r w:rsidRPr="00F27A03">
        <w:rPr>
          <w:noProof/>
          <w:lang w:val="sr-Cyrl-RS" w:eastAsia="sr-Cyrl-RS"/>
        </w:rPr>
        <w:drawing>
          <wp:inline distT="0" distB="0" distL="0" distR="0" wp14:anchorId="3BE624DB" wp14:editId="0720C2C6">
            <wp:extent cx="2743200" cy="1979930"/>
            <wp:effectExtent l="0" t="0" r="0" b="1270"/>
            <wp:docPr id="40" name="Chart 40">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5EFAB521" w14:textId="77777777" w:rsidR="00C02C3D" w:rsidRPr="00F27A03" w:rsidRDefault="00C02C3D" w:rsidP="00B435B3">
      <w:pPr>
        <w:rPr>
          <w:rFonts w:cstheme="minorHAnsi"/>
          <w:sz w:val="16"/>
          <w:lang w:val="sr-Cyrl-CS"/>
        </w:rPr>
      </w:pPr>
      <w:r w:rsidRPr="00F27A03">
        <w:rPr>
          <w:rFonts w:cstheme="minorHAnsi"/>
          <w:sz w:val="16"/>
          <w:lang w:val="sr-Cyrl-CS"/>
        </w:rPr>
        <w:t>Извор: Министарство финансија</w:t>
      </w:r>
    </w:p>
    <w:p w14:paraId="53039C1D" w14:textId="77777777" w:rsidR="00C02C3D" w:rsidRPr="00F27A03" w:rsidRDefault="00C02C3D" w:rsidP="0065412F">
      <w:pPr>
        <w:rPr>
          <w:rFonts w:cstheme="minorHAnsi"/>
          <w:bCs/>
          <w:szCs w:val="72"/>
          <w:lang w:val="sr-Cyrl-CS"/>
        </w:rPr>
      </w:pPr>
      <w:r w:rsidRPr="00F27A03">
        <w:rPr>
          <w:rFonts w:cstheme="minorHAnsi"/>
          <w:bCs/>
          <w:szCs w:val="72"/>
          <w:lang w:val="sr-Cyrl-CS"/>
        </w:rPr>
        <w:t xml:space="preserve">Посматрано са производне стране, повећање креиране БДВ очекује се код свих привредних сектора, као и у претходној пројекцији, али споријим темпом, осим код пољопривреде услед изузетно ниске базе у 2022. години. Услужни сектор ће у 2023. години имати улогу доминантног носиоца раста економске активности. Раст би требало да буде диверсификован и остварен у већини услужних делатности, а посебно снажан у ИКТ сектору, трговини и саобраћају, као и туризму и угоститељству. Упркос слабијој спољној тражњи од претходно очекиване, укупна индустрија ће наставити са растом и током 2023. године и забележити повећање од 1,1%, пре свега услед активирања нових производних капацитета, али и очекиваног опоравка производње електричне енергије. Процењује се да ће раст забележити и </w:t>
      </w:r>
      <w:r w:rsidRPr="00F27A03">
        <w:rPr>
          <w:rFonts w:cstheme="minorHAnsi"/>
          <w:bCs/>
          <w:szCs w:val="72"/>
          <w:lang w:val="sr-Cyrl-CS"/>
        </w:rPr>
        <w:t>грађевинарство, делом и због мањег обима активности у 2022. години, као последице растуће глобалне неизвесности и мањег обима приватних инвестиција. За сектор пољопривреде, услед изузетно лоших временских прилика у 2022. години и ниске базе, а под претпоставком просечних агрометеоролошких услова уз задржавање тренда повећања продуктивности, пројектован је раст од 6,9% у 2023. години.</w:t>
      </w:r>
    </w:p>
    <w:p w14:paraId="4C88D84E" w14:textId="77777777" w:rsidR="00C02C3D" w:rsidRPr="00F27A03" w:rsidRDefault="00C02C3D" w:rsidP="008527D6">
      <w:pPr>
        <w:pStyle w:val="NoSpacing"/>
        <w:spacing w:after="120"/>
        <w:jc w:val="center"/>
        <w:rPr>
          <w:rFonts w:cstheme="minorHAnsi"/>
          <w:color w:val="002060"/>
          <w:lang w:val="sr-Cyrl-CS"/>
        </w:rPr>
      </w:pPr>
      <w:r w:rsidRPr="00F27A03">
        <w:rPr>
          <w:rFonts w:cstheme="minorHAnsi"/>
          <w:color w:val="002060"/>
          <w:lang w:val="sr-Cyrl-CS"/>
        </w:rPr>
        <w:t>Доприноси стопи реалног раста БДП, производни приступ, п.п.</w:t>
      </w:r>
    </w:p>
    <w:p w14:paraId="38DF0506" w14:textId="77777777" w:rsidR="00C02C3D" w:rsidRPr="00F27A03" w:rsidRDefault="00C02C3D" w:rsidP="008527D6">
      <w:pPr>
        <w:spacing w:after="80"/>
        <w:rPr>
          <w:lang w:val="sr-Cyrl-CS"/>
        </w:rPr>
      </w:pPr>
      <w:r w:rsidRPr="00F27A03">
        <w:rPr>
          <w:noProof/>
          <w:lang w:val="sr-Cyrl-RS" w:eastAsia="sr-Cyrl-RS"/>
        </w:rPr>
        <w:drawing>
          <wp:inline distT="0" distB="0" distL="0" distR="0" wp14:anchorId="0EDCD7E9" wp14:editId="4953BF0A">
            <wp:extent cx="2743200" cy="2165299"/>
            <wp:effectExtent l="0" t="0" r="0" b="6985"/>
            <wp:docPr id="41" name="Chart 41">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5ED0851B" w14:textId="77777777" w:rsidR="00C02C3D" w:rsidRPr="00F27A03" w:rsidRDefault="00C02C3D" w:rsidP="008217BC">
      <w:pPr>
        <w:rPr>
          <w:rFonts w:cstheme="minorHAnsi"/>
          <w:sz w:val="16"/>
          <w:lang w:val="sr-Cyrl-CS"/>
        </w:rPr>
      </w:pPr>
      <w:r w:rsidRPr="00F27A03">
        <w:rPr>
          <w:rFonts w:cstheme="minorHAnsi"/>
          <w:sz w:val="16"/>
          <w:lang w:val="sr-Cyrl-CS"/>
        </w:rPr>
        <w:t>Извор: Министарство финансија</w:t>
      </w:r>
    </w:p>
    <w:p w14:paraId="008F330E" w14:textId="77777777" w:rsidR="00C02C3D" w:rsidRPr="00F27A03" w:rsidRDefault="00C02C3D" w:rsidP="0065412F">
      <w:pPr>
        <w:rPr>
          <w:rFonts w:cstheme="minorHAnsi"/>
          <w:bCs/>
          <w:szCs w:val="72"/>
          <w:lang w:val="sr-Cyrl-CS"/>
        </w:rPr>
      </w:pPr>
      <w:r w:rsidRPr="00F27A03">
        <w:rPr>
          <w:rFonts w:cstheme="minorHAnsi"/>
          <w:bCs/>
          <w:szCs w:val="72"/>
          <w:lang w:val="sr-Cyrl-CS"/>
        </w:rPr>
        <w:t xml:space="preserve">Према средњорочној макроекономској пројекцији кумулативна стопа раста у периоду 2023–2025. године износиће 10,3% и биће вођена растом домаће тражње, а са опоравком глобалне трговине подржана и благим позитивним доприносом нето извоза. Овај извор раста је детерминисан како перманентним повећањем инвестиција, тако и растом потрошње домаћинстава услед раста животног стандарда становништва. Просечно годишње, српска привреда ће расти по стопи од 3,3%, што је ревизија наниже за 0,9 п.п. у односу на ранија очекивања услед оцењеног утицаја дешавања у међународном окружењу. Повећање реалне потрошње становништва ће пратити раст економске активности и у просеку ће износити 3,0%. Очекује се стабилан раст фиксних инвестиција, мада спорији него што се претходно пројектовало и у просеку ће износити 4,5% годишње. Са активирањем нових производних капацитета и опоравком спољне тражње повећаваће се и обим спољнотрговинске размене. </w:t>
      </w:r>
      <w:r w:rsidRPr="00F27A03">
        <w:rPr>
          <w:rFonts w:cstheme="minorHAnsi"/>
          <w:bCs/>
          <w:szCs w:val="72"/>
          <w:lang w:val="sr-Cyrl-CS"/>
        </w:rPr>
        <w:lastRenderedPageBreak/>
        <w:t>Поред тога, ефектуирање СДИ из претходног периода допринеће повећању конкуренције и утицати на ефикасност домаћих произвођача, док ће са друге стране бити активирани нови канали продаје и отворене нове тржишне нише. Извоз ће у просеку годишње расти по стопи од 8,1%, што је брже од очекиваног годишњег раста увоза који ће у просеку износити 6,5%. Посматрано на страни понуде, услужни сектор и индустрија ће задржати улогу доминантних извора раста и повећавати креирану БДВ са просечним годишњим растом од 3,5% и 3,4%, респективно. Позитиван допринос ће доћи и од повећања грађевинске активности који ће у просеку износити 4,0%. Достизање европских стандарда и подизање конкурентности у пољопривреди, смањиће варијабилност производње овог сектора изазвану агрометеоролошким условима.</w:t>
      </w:r>
    </w:p>
    <w:p w14:paraId="10A65630" w14:textId="6869CC9B" w:rsidR="00C02C3D" w:rsidRPr="00F27A03" w:rsidRDefault="00C02C3D" w:rsidP="008527D6">
      <w:pPr>
        <w:rPr>
          <w:rFonts w:cstheme="minorHAnsi"/>
          <w:bCs/>
          <w:szCs w:val="72"/>
          <w:lang w:val="sr-Cyrl-CS"/>
        </w:rPr>
      </w:pPr>
      <w:r w:rsidRPr="00F27A03">
        <w:rPr>
          <w:rFonts w:cstheme="minorHAnsi"/>
          <w:bCs/>
          <w:szCs w:val="72"/>
          <w:lang w:val="sr-Cyrl-CS"/>
        </w:rPr>
        <w:t xml:space="preserve">Влада и овим трогодишњим сценариом остаје посвећена очувању модела привредног раста који се заснива на инвестицијама и извозу, а који је подржан растом приватне потрошње на реалним и здравим изворима. Убрзање свих административних процедура, пореско растерећење привреде са циљем подизања њене конкурентности, потписивање споразума којима се обезбеђује очување постојећих и отварање нових ино тржишта, интензивније и ефикасније извођење инфраструктурних радова, очување енергетске стабилности и реализација пројеката из зелене агенде само </w:t>
      </w:r>
      <w:r w:rsidR="00174D34" w:rsidRPr="00F27A03">
        <w:rPr>
          <w:rFonts w:cstheme="minorHAnsi"/>
          <w:bCs/>
          <w:szCs w:val="72"/>
          <w:lang w:val="sr-Cyrl-CS"/>
        </w:rPr>
        <w:t xml:space="preserve">су </w:t>
      </w:r>
      <w:r w:rsidRPr="00F27A03">
        <w:rPr>
          <w:rFonts w:cstheme="minorHAnsi"/>
          <w:bCs/>
          <w:szCs w:val="72"/>
          <w:lang w:val="sr-Cyrl-CS"/>
        </w:rPr>
        <w:t>неке од мера које треба да обезбеде здраве фундаменте за раст БДП у условима растућих геополитичких тензија. Дигитална трансформација и изградња дигиталног екосистема остаје стратешка оријентација Владе. Ефикаснији рад државне администрације, скраћивање процедура становништву и привреди са фокусом на дигитализацију убрзаће конвергенцију наше привреде ка развијеним земљама. Нови систем фискализације и измене царинских прописа, смањује учешће сиве економије</w:t>
      </w:r>
      <w:r w:rsidR="00A60035" w:rsidRPr="00F27A03">
        <w:rPr>
          <w:rFonts w:cstheme="minorHAnsi"/>
          <w:bCs/>
          <w:szCs w:val="72"/>
          <w:lang w:val="sr-Cyrl-CS"/>
        </w:rPr>
        <w:t xml:space="preserve"> у укупним привредним токовима </w:t>
      </w:r>
      <w:r w:rsidRPr="00F27A03">
        <w:rPr>
          <w:rFonts w:cstheme="minorHAnsi"/>
          <w:bCs/>
          <w:szCs w:val="72"/>
          <w:lang w:val="sr-Cyrl-CS"/>
        </w:rPr>
        <w:t>обезбеђујући повољан привредни амбијент. Механизам подстицаја СДИ и даље ће имати за циљ њихову секторску и регионалну дисперзију како би биле обезбеђене претпоставке равномерног развоја и пуне искоришћености компаративних предности.</w:t>
      </w:r>
    </w:p>
    <w:p w14:paraId="58452875" w14:textId="77777777" w:rsidR="00C02C3D" w:rsidRPr="00F27A03" w:rsidRDefault="00C02C3D" w:rsidP="008527D6">
      <w:pPr>
        <w:rPr>
          <w:rFonts w:cstheme="minorHAnsi"/>
          <w:bCs/>
          <w:szCs w:val="72"/>
          <w:lang w:val="sr-Cyrl-CS"/>
        </w:rPr>
      </w:pPr>
      <w:r w:rsidRPr="00F27A03">
        <w:rPr>
          <w:rFonts w:cstheme="minorHAnsi"/>
          <w:bCs/>
          <w:szCs w:val="72"/>
          <w:lang w:val="sr-Cyrl-CS"/>
        </w:rPr>
        <w:t>Средњорочни сценарио кретања привредне активности Републике Србије је и даље под утицајем бројних ризика из међународног окружења. Ризици макроекономског оквира у највећој мери потичу од неизвесности у погледу развоја ситуације у Украјини и утицаја нових међународних економских и политичких односа. Кретања цена енергената, глобална ограничења трговине, као и већа неизвесност у односу на тренутна очекивања могу имати значајно већи утицај на домаћу економију. У складу са тим креиран је и алтернативни сценарио који подразумева материјализацију ризика из међународног окружења и последично мање стопе привредног раста, посебно у 2023. години. У том сценарију пошло се од претпоставке додатног смањења спољне тражње, услед мање производне активности еврозоне као последице недовољних количина енергената, а посебно гаса, које би условиле прекиде производње, као и поремећајe у ланцима снабдевања. Поред тога, геополитичке напетости биле би оштрије него у основном сценарију, што би довело до додатних финансијских поремећаја и продубљивања неизвесности. Материјализација ових ризика имала би за последицу мању стопу раста БДП за 2,0 п.п. у 2023. години од оне у основном сценарију, будући да би се наведени фактори у највећој мери одразили на извозну активност, динамику инвестиционе компоненте БДП, као и на приватну потрошњу. У 2024. и 2025. години разлике у односу на првобитна очекивања биле би мање због постепеног опоравка привреде од шокова и ниже базе.</w:t>
      </w:r>
    </w:p>
    <w:p w14:paraId="702DFE9C" w14:textId="77777777" w:rsidR="00C02C3D" w:rsidRPr="00F27A03" w:rsidRDefault="00C02C3D" w:rsidP="0065412F">
      <w:pPr>
        <w:spacing w:after="0"/>
        <w:jc w:val="center"/>
        <w:rPr>
          <w:b/>
          <w:color w:val="002060"/>
          <w:lang w:val="sr-Cyrl-CS"/>
        </w:rPr>
      </w:pPr>
      <w:r w:rsidRPr="00F27A03">
        <w:rPr>
          <w:b/>
          <w:color w:val="002060"/>
          <w:lang w:val="sr-Cyrl-CS"/>
        </w:rPr>
        <w:t>Пројекција кретања БДП, стопе раста, %</w:t>
      </w:r>
    </w:p>
    <w:p w14:paraId="2F8D909F" w14:textId="77777777" w:rsidR="00C02C3D" w:rsidRPr="00F27A03" w:rsidRDefault="00C02C3D" w:rsidP="0065412F">
      <w:pPr>
        <w:spacing w:after="0"/>
        <w:rPr>
          <w:rFonts w:cstheme="minorHAnsi"/>
          <w:sz w:val="16"/>
          <w:lang w:val="sr-Cyrl-CS"/>
        </w:rPr>
      </w:pPr>
      <w:r w:rsidRPr="00F27A03">
        <w:rPr>
          <w:noProof/>
          <w:lang w:val="sr-Cyrl-RS" w:eastAsia="sr-Cyrl-RS"/>
        </w:rPr>
        <w:drawing>
          <wp:inline distT="0" distB="0" distL="0" distR="0" wp14:anchorId="2CD4C1B8" wp14:editId="79187693">
            <wp:extent cx="2743200" cy="1692000"/>
            <wp:effectExtent l="0" t="0" r="0" b="3810"/>
            <wp:docPr id="44" name="Chart 44">
              <a:extLst xmlns:a="http://schemas.openxmlformats.org/drawingml/2006/main">
                <a:ext uri="{FF2B5EF4-FFF2-40B4-BE49-F238E27FC236}">
                  <a16:creationId xmlns:a16="http://schemas.microsoft.com/office/drawing/2014/main" id="{00000000-0008-0000-0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4F1F79B" w14:textId="77777777" w:rsidR="00C02C3D" w:rsidRPr="00F27A03" w:rsidRDefault="00C02C3D" w:rsidP="007C1783">
      <w:pPr>
        <w:rPr>
          <w:lang w:val="sr-Cyrl-CS"/>
        </w:rPr>
      </w:pPr>
      <w:r w:rsidRPr="00F27A03">
        <w:rPr>
          <w:rFonts w:cstheme="minorHAnsi"/>
          <w:sz w:val="16"/>
          <w:lang w:val="sr-Cyrl-CS"/>
        </w:rPr>
        <w:t>Извор: Министарство финансија</w:t>
      </w:r>
    </w:p>
    <w:p w14:paraId="14ECDE1A" w14:textId="77777777" w:rsidR="00F939E0" w:rsidRPr="00F27A03" w:rsidRDefault="00F939E0" w:rsidP="0065412F">
      <w:pPr>
        <w:rPr>
          <w:spacing w:val="-2"/>
          <w:lang w:val="sr-Cyrl-CS"/>
        </w:rPr>
      </w:pPr>
    </w:p>
    <w:p w14:paraId="31B4D8F7" w14:textId="282E57D9" w:rsidR="00C02C3D" w:rsidRPr="00F27A03" w:rsidRDefault="00C02C3D" w:rsidP="0065412F">
      <w:pPr>
        <w:rPr>
          <w:spacing w:val="-2"/>
          <w:lang w:val="sr-Cyrl-CS"/>
        </w:rPr>
      </w:pPr>
      <w:r w:rsidRPr="00F27A03">
        <w:rPr>
          <w:spacing w:val="-2"/>
          <w:lang w:val="sr-Cyrl-CS"/>
        </w:rPr>
        <w:lastRenderedPageBreak/>
        <w:t>Према централном сценарију, у средњорочном периоду очекује се наставак раста потенцијалног БДП, али споријом динамиком него у претходној пројекцији као последица фактора из међународног окружења. Потенцијални БДП у периоду 2023</w:t>
      </w:r>
      <w:r w:rsidR="00A958DE" w:rsidRPr="00F27A03">
        <w:rPr>
          <w:spacing w:val="-2"/>
          <w:lang w:val="sr-Cyrl-CS"/>
        </w:rPr>
        <w:t>–</w:t>
      </w:r>
      <w:r w:rsidRPr="00F27A03">
        <w:rPr>
          <w:spacing w:val="-2"/>
          <w:lang w:val="sr-Cyrl-CS"/>
        </w:rPr>
        <w:t>2025. година ће се постепено повећавати по просечној стопи од 3,7%. Реализације капиталних пројеката и наставак започетог инвестиционог циклуса подржани, како стабилним приливом СДИ, тако и домаћим иновативним активностима, обезбедиће све снажнији допринос капитала и факторске продуктивности расту потенцијалног БДП. Дигитализација ће значајно убрзати ове процесе и додатно подићи ефикасност искоришћености расположивих капацитета. Влада ће кроз значајна планирана улагања у енергетску инфраструктуру додатно утицати на подизање потенцијала привреде. Адекватна и синхронизована монетарна политика, даља унапређења финансијског система, подизање кредибилитета и атрактивности код инвеститора, трансфер знања и технологија из најразвијенијих земаља треба да обезбеде позитиван утицај на оба фактора производње. Са друге стране, јачање владавине закона, реформа законодавства из области привреде и пословања, убрзање процедура и подизање ефикасности администрације треба да обезбеде максимизацију факторске продуктивности у средњем року. Повољна кретања на тржишту рада ће такође допринети расту потенцијалног БДП.</w:t>
      </w:r>
    </w:p>
    <w:p w14:paraId="01F4458A" w14:textId="77777777" w:rsidR="00C02C3D" w:rsidRPr="00F27A03" w:rsidRDefault="00C02C3D" w:rsidP="0065412F">
      <w:pPr>
        <w:spacing w:after="40"/>
        <w:jc w:val="center"/>
        <w:rPr>
          <w:b/>
          <w:color w:val="002060"/>
          <w:lang w:val="sr-Cyrl-CS"/>
        </w:rPr>
      </w:pPr>
      <w:r w:rsidRPr="00F27A03">
        <w:rPr>
          <w:b/>
          <w:color w:val="002060"/>
          <w:lang w:val="sr-Cyrl-CS"/>
        </w:rPr>
        <w:t>Доприноси фактора производње потенцијалној стопи раста БДП, п.п.</w:t>
      </w:r>
    </w:p>
    <w:p w14:paraId="131C6F64" w14:textId="77777777" w:rsidR="00C02C3D" w:rsidRPr="00F27A03" w:rsidRDefault="00C02C3D" w:rsidP="0065412F">
      <w:pPr>
        <w:spacing w:after="0"/>
        <w:rPr>
          <w:rFonts w:cstheme="minorHAnsi"/>
          <w:sz w:val="16"/>
          <w:lang w:val="sr-Cyrl-CS"/>
        </w:rPr>
      </w:pPr>
      <w:r w:rsidRPr="00F27A03">
        <w:rPr>
          <w:noProof/>
          <w:lang w:val="sr-Cyrl-RS" w:eastAsia="sr-Cyrl-RS"/>
        </w:rPr>
        <w:drawing>
          <wp:inline distT="0" distB="0" distL="0" distR="0" wp14:anchorId="3A89D13A" wp14:editId="542C603B">
            <wp:extent cx="2743200" cy="2340000"/>
            <wp:effectExtent l="0" t="0" r="0" b="3175"/>
            <wp:docPr id="45" name="Chart 45">
              <a:extLst xmlns:a="http://schemas.openxmlformats.org/drawingml/2006/main">
                <a:ext uri="{FF2B5EF4-FFF2-40B4-BE49-F238E27FC236}">
                  <a16:creationId xmlns:a16="http://schemas.microsoft.com/office/drawing/2014/main" id="{00000000-0008-0000-0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4EA01E8" w14:textId="77777777" w:rsidR="00C02C3D" w:rsidRPr="00F27A03" w:rsidRDefault="00C02C3D" w:rsidP="0065412F">
      <w:pPr>
        <w:spacing w:after="0"/>
        <w:rPr>
          <w:lang w:val="sr-Cyrl-CS"/>
        </w:rPr>
      </w:pPr>
      <w:r w:rsidRPr="00F27A03">
        <w:rPr>
          <w:rFonts w:cstheme="minorHAnsi"/>
          <w:sz w:val="16"/>
          <w:lang w:val="sr-Cyrl-CS"/>
        </w:rPr>
        <w:t>Извор: Министарство финансија</w:t>
      </w:r>
    </w:p>
    <w:p w14:paraId="60580310" w14:textId="77777777" w:rsidR="00C02C3D" w:rsidRPr="00F27A03" w:rsidRDefault="00C02C3D" w:rsidP="00161001">
      <w:pPr>
        <w:spacing w:before="40"/>
        <w:rPr>
          <w:rFonts w:cstheme="minorHAnsi"/>
          <w:bCs/>
          <w:color w:val="2F5496" w:themeColor="accent1" w:themeShade="BF"/>
          <w:szCs w:val="72"/>
          <w:lang w:val="sr-Cyrl-CS"/>
        </w:rPr>
      </w:pPr>
      <w:r w:rsidRPr="00F27A03">
        <w:rPr>
          <w:rFonts w:cstheme="minorHAnsi"/>
          <w:b/>
          <w:color w:val="2F5496" w:themeColor="accent1" w:themeShade="BF"/>
          <w:sz w:val="22"/>
          <w:lang w:val="sr-Cyrl-CS"/>
        </w:rPr>
        <w:t>Тржиште рада</w:t>
      </w:r>
    </w:p>
    <w:p w14:paraId="2B7A583A" w14:textId="77777777" w:rsidR="00C02C3D" w:rsidRPr="00F27A03" w:rsidRDefault="00C02C3D" w:rsidP="008527D6">
      <w:pPr>
        <w:rPr>
          <w:rFonts w:cstheme="minorHAnsi"/>
          <w:bCs/>
          <w:szCs w:val="72"/>
          <w:lang w:val="sr-Cyrl-CS"/>
        </w:rPr>
      </w:pPr>
      <w:r w:rsidRPr="00F27A03">
        <w:rPr>
          <w:rFonts w:cstheme="minorHAnsi"/>
          <w:bCs/>
          <w:szCs w:val="72"/>
          <w:lang w:val="sr-Cyrl-CS"/>
        </w:rPr>
        <w:t>Трендови на тржишту рада у великој мери су остали отпорни на успоравање динамике привредне активности, захваљујући пре свега макроекономској стабилности успостављеној у претходном периоду. Тако су у 2022. години настављена позитивна кретања која се, пре свега одражавају кроз раст запослености и зарада, али под утицајем геополитичких тензија ипак по нешто успоренијој динамици.</w:t>
      </w:r>
    </w:p>
    <w:p w14:paraId="0F9773A1" w14:textId="2C6112B9" w:rsidR="00C02C3D" w:rsidRPr="00F27A03" w:rsidRDefault="00C02C3D" w:rsidP="008527D6">
      <w:pPr>
        <w:rPr>
          <w:rFonts w:cstheme="minorHAnsi"/>
          <w:bCs/>
          <w:szCs w:val="72"/>
          <w:lang w:val="sr-Cyrl-CS"/>
        </w:rPr>
      </w:pPr>
      <w:r w:rsidRPr="00F27A03">
        <w:rPr>
          <w:rFonts w:cstheme="minorHAnsi"/>
          <w:bCs/>
          <w:szCs w:val="72"/>
          <w:lang w:val="sr-Cyrl-CS"/>
        </w:rPr>
        <w:t>Према подацима Анкете о радној снази у другом кварталу 2022. године, стопа незапослености (15 и више</w:t>
      </w:r>
      <w:r w:rsidR="00174D34" w:rsidRPr="00F27A03">
        <w:rPr>
          <w:rFonts w:cstheme="minorHAnsi"/>
          <w:bCs/>
          <w:szCs w:val="72"/>
          <w:lang w:val="sr-Cyrl-CS"/>
        </w:rPr>
        <w:t xml:space="preserve"> година</w:t>
      </w:r>
      <w:r w:rsidRPr="00F27A03">
        <w:rPr>
          <w:rFonts w:cstheme="minorHAnsi"/>
          <w:bCs/>
          <w:szCs w:val="72"/>
          <w:lang w:val="sr-Cyrl-CS"/>
        </w:rPr>
        <w:t>) је износила 8,9%, што је ниже у поређењу са истим периодом из 2021. године када је износила 11,1%, док је стопа становништва ван радне снаге смањена за 1,5 п.п. Истовремено, укупна запосленост је била већа за 4,3%, уз раст формалне запослености за 74,9 хиљада и раст неформалне за 47,5 хиљада лица. Поред значајног смањења стопе незапослености и раста укупног броја запослених, забележена су и структурна побољшања на тржишту рада. Побољшан је положај код осетљивијих категорија становништва, односно код популације младих и жена. Тако је смањена стопа незапослености младих са 22,2% на 18,7%, док је код женског дела становништва смањена за 1,6 п.п, на 10,2%. Такође, смањена је стопа дугорочне незапослености за 0,9 п.п, на 4,5%. У истом периоду дошло је и до пораста стопе запослености у неформалном делу привреде за 1,1 п.п, на 14,3%.</w:t>
      </w:r>
    </w:p>
    <w:p w14:paraId="403B90B3" w14:textId="2DE2E4A6" w:rsidR="00C02C3D" w:rsidRPr="00F27A03" w:rsidRDefault="00C02C3D" w:rsidP="008527D6">
      <w:pPr>
        <w:rPr>
          <w:rFonts w:cstheme="minorHAnsi"/>
          <w:bCs/>
          <w:szCs w:val="72"/>
          <w:lang w:val="sr-Cyrl-CS"/>
        </w:rPr>
      </w:pPr>
      <w:r w:rsidRPr="00F27A03">
        <w:rPr>
          <w:rFonts w:cstheme="minorHAnsi"/>
          <w:bCs/>
          <w:szCs w:val="72"/>
          <w:lang w:val="sr-Cyrl-CS"/>
        </w:rPr>
        <w:t>Према подацима Централног регистра обавезног социјалног осигурања, у периоду јануар</w:t>
      </w:r>
      <w:r w:rsidR="00A958DE" w:rsidRPr="00F27A03">
        <w:rPr>
          <w:rFonts w:cstheme="minorHAnsi"/>
          <w:bCs/>
          <w:szCs w:val="72"/>
          <w:lang w:val="sr-Cyrl-CS"/>
        </w:rPr>
        <w:t>–</w:t>
      </w:r>
      <w:r w:rsidRPr="00F27A03">
        <w:rPr>
          <w:rFonts w:cstheme="minorHAnsi"/>
          <w:bCs/>
          <w:szCs w:val="72"/>
          <w:lang w:val="sr-Cyrl-CS"/>
        </w:rPr>
        <w:t>септембар, просечан број запослених био је већи за 1,6%, у поређењу са истим периодом претходне године, што је било, пре свега резултат раста запослености у приватном сектору за 1,9%, док је у јавном сектору раст износио 0,9%. Истовремено, најснажнији секторски допринос расту запослености долази од ИКТ, административно-услужних и научно-техничких делатности. Према подацима Националне службе за запошљавање, у истом периоду, број лица која активно траже запослење смањен је за 13,0%.</w:t>
      </w:r>
    </w:p>
    <w:p w14:paraId="482AF91F" w14:textId="76CFA59C" w:rsidR="00C02C3D" w:rsidRPr="00F27A03" w:rsidRDefault="00C02C3D" w:rsidP="00642143">
      <w:pPr>
        <w:spacing w:after="120"/>
        <w:rPr>
          <w:rFonts w:cstheme="minorHAnsi"/>
          <w:bCs/>
          <w:szCs w:val="72"/>
          <w:lang w:val="sr-Cyrl-CS"/>
        </w:rPr>
      </w:pPr>
      <w:r w:rsidRPr="00F27A03">
        <w:rPr>
          <w:rFonts w:cstheme="minorHAnsi"/>
          <w:bCs/>
          <w:szCs w:val="72"/>
          <w:lang w:val="sr-Cyrl-CS"/>
        </w:rPr>
        <w:t xml:space="preserve">У периоду јануар–август просечна нето зарада је износила 73.265 динара, што је реално повећање </w:t>
      </w:r>
      <w:r w:rsidRPr="00F27A03">
        <w:rPr>
          <w:rFonts w:cstheme="minorHAnsi"/>
          <w:bCs/>
          <w:szCs w:val="72"/>
          <w:lang w:val="sr-Cyrl-CS"/>
        </w:rPr>
        <w:lastRenderedPageBreak/>
        <w:t>за 3,0%, мг</w:t>
      </w:r>
      <w:r w:rsidR="00F47D01" w:rsidRPr="00F27A03">
        <w:rPr>
          <w:rFonts w:cstheme="minorHAnsi"/>
          <w:bCs/>
          <w:szCs w:val="72"/>
          <w:lang w:val="sr-Cyrl-CS"/>
        </w:rPr>
        <w:t>.</w:t>
      </w:r>
      <w:r w:rsidRPr="00F27A03">
        <w:rPr>
          <w:rFonts w:cstheme="minorHAnsi"/>
          <w:bCs/>
          <w:szCs w:val="72"/>
          <w:lang w:val="sr-Cyrl-CS"/>
        </w:rPr>
        <w:t>, и представља нешто спорији раст у поређењу са претходним периодом. Раст зарада био је у потпуности опредељен растом зарада у приватном сектору, који је у истом периоду износио 5,4%, реално.</w:t>
      </w:r>
      <w:r w:rsidRPr="00F27A03">
        <w:rPr>
          <w:lang w:val="sr-Cyrl-CS"/>
        </w:rPr>
        <w:t xml:space="preserve"> </w:t>
      </w:r>
      <w:r w:rsidRPr="00F27A03">
        <w:rPr>
          <w:rFonts w:cstheme="minorHAnsi"/>
          <w:bCs/>
          <w:szCs w:val="72"/>
          <w:lang w:val="sr-Cyrl-CS"/>
        </w:rPr>
        <w:t>На општи раст зарада утицало је и повећање минималне цене рада за 9,4% на 201,22 динара по радном часу од 2022. године. И поред повећања зарада у јавном сектору одлуком Владе у распону од 7% до 8%, њихов номинални раст је био у потпуности неутралисан растом инфлације, тако да је у реалним вредностима забележено смањење од 2,6%. Посматрано по делатностима, најзначајнији раст зарада био је у ИКТ, трговини и научно-техничким делатностима.</w:t>
      </w:r>
    </w:p>
    <w:p w14:paraId="33A3E8CA" w14:textId="77777777" w:rsidR="00C02C3D" w:rsidRPr="00F27A03" w:rsidRDefault="00C02C3D" w:rsidP="00642143">
      <w:pPr>
        <w:pStyle w:val="Caption"/>
        <w:keepNext/>
        <w:spacing w:after="80"/>
        <w:rPr>
          <w:rFonts w:cstheme="minorHAnsi"/>
          <w:b w:val="0"/>
          <w:i/>
          <w:iCs w:val="0"/>
          <w:szCs w:val="22"/>
          <w:lang w:val="sr-Cyrl-CS"/>
        </w:rPr>
      </w:pPr>
      <w:r w:rsidRPr="00F27A03">
        <w:rPr>
          <w:rFonts w:cstheme="minorHAnsi"/>
          <w:iCs w:val="0"/>
          <w:szCs w:val="22"/>
          <w:lang w:val="sr-Cyrl-CS"/>
        </w:rPr>
        <w:t>Кретање основних показатеља тржишта рада</w:t>
      </w:r>
    </w:p>
    <w:p w14:paraId="32264EA6" w14:textId="77777777" w:rsidR="00C02C3D" w:rsidRPr="00F27A03" w:rsidRDefault="00C02C3D" w:rsidP="0074685C">
      <w:pPr>
        <w:spacing w:after="0"/>
        <w:rPr>
          <w:rFonts w:cstheme="minorHAnsi"/>
          <w:bCs/>
          <w:szCs w:val="72"/>
          <w:lang w:val="sr-Cyrl-CS"/>
        </w:rPr>
      </w:pPr>
      <w:r w:rsidRPr="00F27A03">
        <w:rPr>
          <w:noProof/>
          <w:lang w:val="sr-Cyrl-RS" w:eastAsia="sr-Cyrl-RS"/>
        </w:rPr>
        <w:drawing>
          <wp:inline distT="0" distB="0" distL="0" distR="0" wp14:anchorId="4574A02F" wp14:editId="2632025E">
            <wp:extent cx="2743200" cy="1791835"/>
            <wp:effectExtent l="0" t="0" r="0" b="0"/>
            <wp:docPr id="47" name="Chart 47">
              <a:extLst xmlns:a="http://schemas.openxmlformats.org/drawingml/2006/main">
                <a:ext uri="{FF2B5EF4-FFF2-40B4-BE49-F238E27FC236}">
                  <a16:creationId xmlns:a16="http://schemas.microsoft.com/office/drawing/2014/main" id="{00000000-0008-0000-0E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02A3F1CD" w14:textId="77777777" w:rsidR="00C02C3D" w:rsidRPr="00F27A03" w:rsidRDefault="00C02C3D" w:rsidP="0074685C">
      <w:pPr>
        <w:spacing w:before="40"/>
        <w:rPr>
          <w:rFonts w:cstheme="minorHAnsi"/>
          <w:bCs/>
          <w:szCs w:val="72"/>
          <w:lang w:val="sr-Cyrl-CS"/>
        </w:rPr>
      </w:pPr>
      <w:r w:rsidRPr="00F27A03">
        <w:rPr>
          <w:rFonts w:cstheme="minorHAnsi"/>
          <w:bCs/>
          <w:sz w:val="16"/>
          <w:szCs w:val="72"/>
          <w:lang w:val="sr-Cyrl-CS"/>
        </w:rPr>
        <w:t>Извор: РЗС</w:t>
      </w:r>
    </w:p>
    <w:p w14:paraId="6680017D" w14:textId="07C648CA" w:rsidR="00C02C3D" w:rsidRPr="00F27A03" w:rsidRDefault="00C02C3D" w:rsidP="00C130D2">
      <w:pPr>
        <w:rPr>
          <w:rFonts w:cstheme="minorHAnsi"/>
          <w:bCs/>
          <w:szCs w:val="72"/>
          <w:lang w:val="sr-Cyrl-CS"/>
        </w:rPr>
      </w:pPr>
      <w:r w:rsidRPr="00F27A03">
        <w:rPr>
          <w:rFonts w:cstheme="minorHAnsi"/>
          <w:bCs/>
          <w:szCs w:val="72"/>
          <w:lang w:val="sr-Cyrl-CS"/>
        </w:rPr>
        <w:t xml:space="preserve">Очекује се да ће тржиште рада задржати позитивну трајекторију развоја, али по споријој динамици, пре свега </w:t>
      </w:r>
      <w:r w:rsidR="00174D34" w:rsidRPr="00F27A03">
        <w:rPr>
          <w:rFonts w:cstheme="minorHAnsi"/>
          <w:bCs/>
          <w:szCs w:val="72"/>
          <w:lang w:val="sr-Cyrl-CS"/>
        </w:rPr>
        <w:t xml:space="preserve">услед </w:t>
      </w:r>
      <w:r w:rsidRPr="00F27A03">
        <w:rPr>
          <w:rFonts w:cstheme="minorHAnsi"/>
          <w:bCs/>
          <w:szCs w:val="72"/>
          <w:lang w:val="sr-Cyrl-CS"/>
        </w:rPr>
        <w:t xml:space="preserve">слабијег раста привредне активности, а као последица великих неизвесности </w:t>
      </w:r>
      <w:r w:rsidR="00174D34" w:rsidRPr="00F27A03">
        <w:rPr>
          <w:rFonts w:cstheme="minorHAnsi"/>
          <w:bCs/>
          <w:szCs w:val="72"/>
          <w:lang w:val="sr-Cyrl-CS"/>
        </w:rPr>
        <w:t xml:space="preserve">због </w:t>
      </w:r>
      <w:r w:rsidRPr="00F27A03">
        <w:rPr>
          <w:rFonts w:cstheme="minorHAnsi"/>
          <w:bCs/>
          <w:szCs w:val="72"/>
          <w:lang w:val="sr-Cyrl-CS"/>
        </w:rPr>
        <w:t xml:space="preserve">сукоба у Украјини. Поред наведеног, позитивна очекивања су резултат континуираног рада на побољшању услова рада, унапређивању институција тржишта рада, подстицању запошљавања и укључивања на тржиште рада теже запошљивих лица, као и подршке регионалној и локалној политици запошљавања. Такође, континуирано се ради на унапређивању радне снаге у погледу квалитета, као и на улагању у људски капитал, све у циљу лакшег општег запошљавања, а нарочито у оном делу привреде који има већу додату вредност. Досадашњу успешност ових мера потврђују подаци о порасту броја запослених у периоду од 2014. до 2021. године у сектору ИКТ за 31.112 и научно-техничким делатностима за 26.389 лица. </w:t>
      </w:r>
      <w:r w:rsidRPr="00F27A03">
        <w:rPr>
          <w:rFonts w:cstheme="minorHAnsi"/>
          <w:bCs/>
          <w:szCs w:val="72"/>
          <w:lang w:val="sr-Cyrl-CS"/>
        </w:rPr>
        <w:t>Наставиће се са политикама које имају за циљ смањивање броја запослених у сивој зони и њихово превођење у контингент формално запослених, чиме би њихови услови рада били побољшани, а позитиван ефекат би се одразио и на приходе буџета. У средњорочном периоду очекују се позитивни резултати активних мера обука, преквалификација и подршке социјалном предузетништву, чиме ће се олакшати доступност радних места социјално рањивим категоријама друштва и тиме додатно обезбедити инклузивност привредног раста. Такође, планирано је повећање обухвата образовања базирано на дуалном моделу. Узимајући у обзир све наведено у средњем року се пројектује смањивање стопе незапослености и раст зарада, али под утицајем тренутних геополитичких неизвесности изазваних кризом у Украјини, очекује се да то буде по успоренијој динамици. Ради економске одрживости, раст зарада треба да буде заснован на расту продуктивности.</w:t>
      </w:r>
      <w:r w:rsidRPr="00F27A03">
        <w:rPr>
          <w:lang w:val="sr-Cyrl-CS"/>
        </w:rPr>
        <w:t xml:space="preserve"> </w:t>
      </w:r>
      <w:r w:rsidRPr="00F27A03">
        <w:rPr>
          <w:rFonts w:cstheme="minorHAnsi"/>
          <w:bCs/>
          <w:szCs w:val="72"/>
          <w:lang w:val="sr-Cyrl-CS"/>
        </w:rPr>
        <w:t>Раст зарада у наредном периоду биће подржан усвојеном Одлуком Владе о повећању минималне цене рада у 2023. години за 14,3%, као и најављеним повећањем зарада у јавном сектору од 12,5%.</w:t>
      </w:r>
    </w:p>
    <w:p w14:paraId="57C60535" w14:textId="77777777" w:rsidR="00C02C3D" w:rsidRPr="00F27A03" w:rsidRDefault="00C02C3D" w:rsidP="008527D6">
      <w:pPr>
        <w:rPr>
          <w:rFonts w:cstheme="minorHAnsi"/>
          <w:b/>
          <w:color w:val="2F5496" w:themeColor="accent1" w:themeShade="BF"/>
          <w:sz w:val="22"/>
          <w:lang w:val="sr-Cyrl-CS"/>
        </w:rPr>
      </w:pPr>
      <w:r w:rsidRPr="00F27A03">
        <w:rPr>
          <w:rFonts w:cstheme="minorHAnsi"/>
          <w:b/>
          <w:color w:val="2F5496" w:themeColor="accent1" w:themeShade="BF"/>
          <w:sz w:val="22"/>
          <w:lang w:val="sr-Cyrl-CS"/>
        </w:rPr>
        <w:t>Монетарна кретања</w:t>
      </w:r>
    </w:p>
    <w:p w14:paraId="62C2A934" w14:textId="77777777" w:rsidR="00C02C3D" w:rsidRPr="00F27A03" w:rsidRDefault="00C02C3D" w:rsidP="00871703">
      <w:pPr>
        <w:rPr>
          <w:bCs/>
          <w:lang w:val="sr-Cyrl-CS"/>
        </w:rPr>
      </w:pPr>
      <w:r w:rsidRPr="00F27A03">
        <w:rPr>
          <w:lang w:val="sr-Cyrl-CS"/>
        </w:rPr>
        <w:t>Међугодишња инфлација у Србији, као и у већини других земаља, наставила је да се креће узлазном путањом</w:t>
      </w:r>
      <w:r w:rsidRPr="00F27A03">
        <w:rPr>
          <w:bCs/>
          <w:lang w:val="sr-Cyrl-CS"/>
        </w:rPr>
        <w:t xml:space="preserve">. На овакво кретање инфлације утицала је, пре свега, тзв. увезена инфлација, тј. фактори екстерног карактера на које НБС нема директан утицај, као што су пораст светских цена енергената и примарних пољопривредних производа и застоји у глобалним ланцима снабдевања. Такође, у извесној мери на више стопе инфлације утицала је и њена ниска базна вредност. Раст потрошачких цена у септембру је био изнад горње границе дозвољеног одступања од циљане инфлације и на међугодишњем нивоу је износио 14,0%. </w:t>
      </w:r>
      <w:r w:rsidRPr="00F27A03">
        <w:rPr>
          <w:bCs/>
          <w:spacing w:val="-2"/>
          <w:lang w:val="sr-Cyrl-CS"/>
        </w:rPr>
        <w:t>У овом периоду више од две трећине инфлације било је опредељено повећањем цена хране и енергената. Истовремено базна инфлација је била знатно нижа и износила је 8,6%, на шта је значајно утицала очувана релативна стабилност девизног курса и очувано поверење привреде и потрошача.</w:t>
      </w:r>
    </w:p>
    <w:p w14:paraId="60E21FC2" w14:textId="5542B77A" w:rsidR="00C02C3D" w:rsidRPr="00F27A03" w:rsidRDefault="00C02C3D" w:rsidP="0021538A">
      <w:pPr>
        <w:rPr>
          <w:lang w:val="sr-Cyrl-CS"/>
        </w:rPr>
      </w:pPr>
      <w:r w:rsidRPr="00F27A03">
        <w:rPr>
          <w:lang w:val="sr-Cyrl-CS"/>
        </w:rPr>
        <w:t xml:space="preserve">Како би ублажила раст цена и инфлациона очекивања, НБС је у периоду од априла до октобра </w:t>
      </w:r>
      <w:r w:rsidRPr="00F27A03">
        <w:rPr>
          <w:lang w:val="sr-Cyrl-CS"/>
        </w:rPr>
        <w:lastRenderedPageBreak/>
        <w:t xml:space="preserve">2022. године у седам наврата доносила одлуку о повећању рестриктивности монетарне политике, подизањем референтне каматне стопе за укупно 3,0 </w:t>
      </w:r>
      <w:r w:rsidR="000E7385" w:rsidRPr="00F27A03">
        <w:rPr>
          <w:lang w:val="sr-Cyrl-CS"/>
        </w:rPr>
        <w:t>процентна</w:t>
      </w:r>
      <w:r w:rsidRPr="00F27A03">
        <w:rPr>
          <w:lang w:val="sr-Cyrl-CS"/>
        </w:rPr>
        <w:t xml:space="preserve"> поена, са 1,0% на 4,0%. Пре повећања референтне каматне стопе, НБС је користила флексибилност свог монетарног оквира, па је од октобра прошле године постепено повећавала просечну пондерисану </w:t>
      </w:r>
      <w:r w:rsidR="000E7385" w:rsidRPr="00F27A03">
        <w:rPr>
          <w:lang w:val="sr-Cyrl-CS"/>
        </w:rPr>
        <w:t xml:space="preserve">каматну </w:t>
      </w:r>
      <w:r w:rsidRPr="00F27A03">
        <w:rPr>
          <w:lang w:val="sr-Cyrl-CS"/>
        </w:rPr>
        <w:t xml:space="preserve">стопу </w:t>
      </w:r>
      <w:r w:rsidR="000E7385" w:rsidRPr="00F27A03">
        <w:rPr>
          <w:lang w:val="sr-Cyrl-CS"/>
        </w:rPr>
        <w:t xml:space="preserve">на једнонедељним реверзним репо аукцијама </w:t>
      </w:r>
      <w:r w:rsidRPr="00F27A03">
        <w:rPr>
          <w:lang w:val="sr-Cyrl-CS"/>
        </w:rPr>
        <w:t xml:space="preserve">и тиме започела процес пооштравања монетарних услова. Значајан антиинфлациони ефекат има и релативна стабилност курса динара према евру, која је очувана захваљујући правовременим интервенцијама НБС у условима најпре снажних депрецијацијских притисака који су били присутни од четвртог квартала 2021. године, а који су заустављени у априлу. Поред утицаја на стабилност девизног курса, интервенције на девизном тржишту су имале и антиинфлациони ефекат повлачењем динарске ликвидности из банкарског система. У оваквим условима очувана је и додатно ојачана </w:t>
      </w:r>
      <w:r w:rsidR="000E7385" w:rsidRPr="00F27A03">
        <w:rPr>
          <w:lang w:val="sr-Cyrl-CS"/>
        </w:rPr>
        <w:t>финансијска</w:t>
      </w:r>
      <w:r w:rsidRPr="00F27A03">
        <w:rPr>
          <w:lang w:val="sr-Cyrl-CS"/>
        </w:rPr>
        <w:t xml:space="preserve"> стабилност, уз даљи раст кредитне активности и смањење учешћа </w:t>
      </w:r>
      <w:r w:rsidR="000E7385" w:rsidRPr="00F27A03">
        <w:rPr>
          <w:lang w:val="sr-Cyrl-CS"/>
        </w:rPr>
        <w:t xml:space="preserve">проблематичних </w:t>
      </w:r>
      <w:r w:rsidRPr="00F27A03">
        <w:rPr>
          <w:lang w:val="sr-Cyrl-CS"/>
        </w:rPr>
        <w:t>потраживања</w:t>
      </w:r>
      <w:r w:rsidR="000E7385" w:rsidRPr="00F27A03">
        <w:rPr>
          <w:lang w:val="sr-Cyrl-CS"/>
        </w:rPr>
        <w:t xml:space="preserve"> у укупним</w:t>
      </w:r>
      <w:r w:rsidRPr="00F27A03">
        <w:rPr>
          <w:lang w:val="sr-Cyrl-CS"/>
        </w:rPr>
        <w:t>.</w:t>
      </w:r>
    </w:p>
    <w:p w14:paraId="5DE93695" w14:textId="77777777" w:rsidR="00C02C3D" w:rsidRPr="00F27A03" w:rsidRDefault="00C02C3D" w:rsidP="00871703">
      <w:pPr>
        <w:pStyle w:val="Caption"/>
        <w:keepNext/>
        <w:spacing w:after="40"/>
        <w:rPr>
          <w:rFonts w:cstheme="minorHAnsi"/>
          <w:b w:val="0"/>
          <w:iCs w:val="0"/>
          <w:szCs w:val="22"/>
          <w:lang w:val="sr-Cyrl-CS"/>
        </w:rPr>
      </w:pPr>
      <w:r w:rsidRPr="00F27A03">
        <w:rPr>
          <w:rFonts w:cstheme="minorHAnsi"/>
          <w:iCs w:val="0"/>
          <w:szCs w:val="22"/>
          <w:lang w:val="sr-Cyrl-CS"/>
        </w:rPr>
        <w:t>Инфлација и референтна каматна стопа, %</w:t>
      </w:r>
    </w:p>
    <w:p w14:paraId="56DFDB8D" w14:textId="77777777" w:rsidR="00C02C3D" w:rsidRPr="00F27A03" w:rsidRDefault="00C02C3D" w:rsidP="00871703">
      <w:pPr>
        <w:spacing w:after="40"/>
        <w:rPr>
          <w:rFonts w:cstheme="minorHAnsi"/>
          <w:bCs/>
          <w:szCs w:val="72"/>
          <w:highlight w:val="darkYellow"/>
          <w:lang w:val="sr-Cyrl-CS"/>
        </w:rPr>
      </w:pPr>
      <w:r w:rsidRPr="00F27A03">
        <w:rPr>
          <w:noProof/>
          <w:lang w:val="sr-Cyrl-RS" w:eastAsia="sr-Cyrl-RS"/>
        </w:rPr>
        <w:drawing>
          <wp:inline distT="0" distB="0" distL="0" distR="0" wp14:anchorId="67919B13" wp14:editId="3EC9919B">
            <wp:extent cx="2757170" cy="1767205"/>
            <wp:effectExtent l="0" t="0" r="5080" b="4445"/>
            <wp:docPr id="52" name="Chart 52">
              <a:extLst xmlns:a="http://schemas.openxmlformats.org/drawingml/2006/main">
                <a:ext uri="{FF2B5EF4-FFF2-40B4-BE49-F238E27FC236}">
                  <a16:creationId xmlns:a16="http://schemas.microsoft.com/office/drawing/2014/main" id="{00000000-0008-0000-0F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64F69FDD" w14:textId="77777777" w:rsidR="00C02C3D" w:rsidRPr="00F27A03" w:rsidRDefault="00C02C3D" w:rsidP="00871703">
      <w:pPr>
        <w:rPr>
          <w:rFonts w:cstheme="minorHAnsi"/>
          <w:bCs/>
          <w:szCs w:val="72"/>
          <w:lang w:val="sr-Cyrl-CS"/>
        </w:rPr>
      </w:pPr>
      <w:r w:rsidRPr="00F27A03">
        <w:rPr>
          <w:rFonts w:cstheme="minorHAnsi"/>
          <w:bCs/>
          <w:sz w:val="16"/>
          <w:szCs w:val="72"/>
          <w:lang w:val="sr-Cyrl-CS"/>
        </w:rPr>
        <w:t>Извор: РЗС и НБС</w:t>
      </w:r>
    </w:p>
    <w:p w14:paraId="645FD3D9" w14:textId="77777777" w:rsidR="00C02C3D" w:rsidRPr="00F27A03" w:rsidRDefault="00C02C3D" w:rsidP="00D651FB">
      <w:pPr>
        <w:rPr>
          <w:lang w:val="sr-Cyrl-CS"/>
        </w:rPr>
      </w:pPr>
      <w:r w:rsidRPr="00F27A03">
        <w:rPr>
          <w:lang w:val="sr-Cyrl-CS"/>
        </w:rPr>
        <w:t xml:space="preserve">Са истим циљем смиривања инфлације и негативних социјалних и економских ефеката раста светских цена хране и енергената, Влада је предузела низ мера административног ограничавања цена и мањим делом фискалних мера у виду смањења акцизе на деривате нафте. Ограничене су цене основних животних намирница (шећер, сунцокретово уље, брашно тип 400 и 500, свињско месо, пилећи труп). Уредба је последњи пут продужена до 30. новембра 2022. године. Уредбом о привременој мери ограничења </w:t>
      </w:r>
      <w:r w:rsidRPr="00F27A03">
        <w:rPr>
          <w:lang w:val="sr-Cyrl-CS"/>
        </w:rPr>
        <w:t xml:space="preserve">цена гаса утврђује се цена гаса за даљу продају и право на надокнаду разлике у цени гаса набављеног из увоза или произведеног у земљи. Уредбом о ограничењу висине цена нафтних деривата прописује се начин обрачуна највиших цена нафтних деривата у малопродаји, евродизела и европремијума </w:t>
      </w:r>
      <w:r w:rsidRPr="00F27A03">
        <w:rPr>
          <w:rFonts w:cstheme="minorHAnsi"/>
          <w:spacing w:val="-2"/>
          <w:lang w:val="sr-Cyrl-CS"/>
        </w:rPr>
        <w:t>БМБ 95. Посебно је ограничена цена деривата за пољопривреднике. Уз ову уредбу Влада је донела и одлуку о смањењу акциза на деривате нафте. Привремено је био забрањен и извоз појединих основних пољопривредних производа, као и сунцокретовог уља како би се спречила несташица ових производа на домаћем тржишту. Циљ ових мера је смањење</w:t>
      </w:r>
      <w:r w:rsidRPr="00F27A03">
        <w:rPr>
          <w:lang w:val="sr-Cyrl-CS"/>
        </w:rPr>
        <w:t xml:space="preserve"> инфлаторних притисака и инфлационих очекивања, као и редовно и несметано снабдевање тржишта храном и енергентима.</w:t>
      </w:r>
    </w:p>
    <w:p w14:paraId="4B4F219E" w14:textId="43ADC09D" w:rsidR="00C02C3D" w:rsidRPr="00F27A03" w:rsidRDefault="00C02C3D" w:rsidP="00161001">
      <w:pPr>
        <w:pStyle w:val="Caption"/>
        <w:keepNext/>
        <w:jc w:val="both"/>
        <w:rPr>
          <w:rFonts w:cstheme="minorHAnsi"/>
          <w:b w:val="0"/>
          <w:iCs w:val="0"/>
          <w:color w:val="44546A" w:themeColor="text2"/>
          <w:spacing w:val="-2"/>
          <w:szCs w:val="22"/>
          <w:lang w:val="sr-Cyrl-CS"/>
        </w:rPr>
      </w:pPr>
      <w:r w:rsidRPr="00F27A03">
        <w:rPr>
          <w:rFonts w:cstheme="minorHAnsi"/>
          <w:b w:val="0"/>
          <w:iCs w:val="0"/>
          <w:color w:val="44546A" w:themeColor="text2"/>
          <w:spacing w:val="-2"/>
          <w:szCs w:val="22"/>
          <w:lang w:val="sr-Cyrl-CS"/>
        </w:rPr>
        <w:t xml:space="preserve">И поред постепеног раста каматних стопа, како на домаћем тако и на међународном тржишту, кредитна активност наставља да бележи </w:t>
      </w:r>
      <w:r w:rsidR="00DD5E52" w:rsidRPr="00F27A03">
        <w:rPr>
          <w:rFonts w:cstheme="minorHAnsi"/>
          <w:b w:val="0"/>
          <w:iCs w:val="0"/>
          <w:color w:val="44546A" w:themeColor="text2"/>
          <w:spacing w:val="-2"/>
          <w:szCs w:val="22"/>
          <w:lang w:val="sr-Cyrl-CS"/>
        </w:rPr>
        <w:t xml:space="preserve">двоцифрени </w:t>
      </w:r>
      <w:r w:rsidRPr="00F27A03">
        <w:rPr>
          <w:rFonts w:cstheme="minorHAnsi"/>
          <w:b w:val="0"/>
          <w:iCs w:val="0"/>
          <w:color w:val="44546A" w:themeColor="text2"/>
          <w:spacing w:val="-2"/>
          <w:szCs w:val="22"/>
          <w:lang w:val="sr-Cyrl-CS"/>
        </w:rPr>
        <w:t xml:space="preserve">раст, </w:t>
      </w:r>
      <w:r w:rsidR="00DD5E52" w:rsidRPr="00F27A03">
        <w:rPr>
          <w:rFonts w:cstheme="minorHAnsi"/>
          <w:b w:val="0"/>
          <w:iCs w:val="0"/>
          <w:color w:val="44546A" w:themeColor="text2"/>
          <w:spacing w:val="-2"/>
          <w:szCs w:val="22"/>
          <w:lang w:val="sr-Cyrl-CS"/>
        </w:rPr>
        <w:t>који се од трећег квартала ипак успорава</w:t>
      </w:r>
      <w:r w:rsidRPr="00F27A03">
        <w:rPr>
          <w:rFonts w:cstheme="minorHAnsi"/>
          <w:b w:val="0"/>
          <w:iCs w:val="0"/>
          <w:color w:val="44546A" w:themeColor="text2"/>
          <w:spacing w:val="-2"/>
          <w:szCs w:val="22"/>
          <w:lang w:val="sr-Cyrl-CS"/>
        </w:rPr>
        <w:t xml:space="preserve">. Раст кредитне активности резултат је и даље </w:t>
      </w:r>
      <w:r w:rsidR="00DD5E52" w:rsidRPr="00F27A03">
        <w:rPr>
          <w:rFonts w:cstheme="minorHAnsi"/>
          <w:b w:val="0"/>
          <w:iCs w:val="0"/>
          <w:color w:val="44546A" w:themeColor="text2"/>
          <w:spacing w:val="-2"/>
          <w:szCs w:val="22"/>
          <w:lang w:val="sr-Cyrl-CS"/>
        </w:rPr>
        <w:t>повољних услова</w:t>
      </w:r>
      <w:r w:rsidRPr="00F27A03">
        <w:rPr>
          <w:rFonts w:cstheme="minorHAnsi"/>
          <w:b w:val="0"/>
          <w:iCs w:val="0"/>
          <w:color w:val="44546A" w:themeColor="text2"/>
          <w:spacing w:val="-2"/>
          <w:szCs w:val="22"/>
          <w:lang w:val="sr-Cyrl-CS"/>
        </w:rPr>
        <w:t xml:space="preserve"> финансирања, који су креирани у претходним годинама, захваљујући ефектима ублажавања монетарне политике, али и снажног пада премије ризика и поправљања кредитног рејтинга. На раст кредитне активности утицало је и одобравање динарских кредита из гарантне шеме по нижим каматним стопама, затим смањено обавезно учешће за куповину првог стана, смањен минимални степен изграђености објекта чију је куповину могуће финансирати стамбеним кредитима банака и продужавање рока отплате стамбених кредита. Такође, </w:t>
      </w:r>
      <w:r w:rsidR="00BD4467" w:rsidRPr="00F27A03">
        <w:rPr>
          <w:rFonts w:cstheme="minorHAnsi"/>
          <w:b w:val="0"/>
          <w:iCs w:val="0"/>
          <w:color w:val="44546A" w:themeColor="text2"/>
          <w:spacing w:val="-2"/>
          <w:szCs w:val="22"/>
          <w:lang w:val="sr-Cyrl-CS"/>
        </w:rPr>
        <w:t xml:space="preserve">у односу на период пре пандемије </w:t>
      </w:r>
      <w:r w:rsidRPr="00F27A03">
        <w:rPr>
          <w:rFonts w:cstheme="minorHAnsi"/>
          <w:b w:val="0"/>
          <w:iCs w:val="0"/>
          <w:color w:val="44546A" w:themeColor="text2"/>
          <w:spacing w:val="-2"/>
          <w:szCs w:val="22"/>
          <w:lang w:val="sr-Cyrl-CS"/>
        </w:rPr>
        <w:t xml:space="preserve">значајно је повећан удео динарских пласмана, што је резултат раста динарских кредита привреди (добрим делом из гарантне шеме), односно пада каматних стопа на динарске кредите, као и мере НБС у циљу подршке процесу динаризације. Позитиван допринос расту кредита долази и од кредита привреди и кредита становништву. Кредити привреди су били значајно подстакнути растом кредита за ликвидност и обртна средства, али важно је напоменути и растући значај инвестиционих кредита који су забележили опоравак и континуирано расту од трећег квартала 2021. године. Истовремено, као резултат мера за подстицање стамбених кредита, </w:t>
      </w:r>
      <w:r w:rsidRPr="00F27A03">
        <w:rPr>
          <w:rFonts w:cstheme="minorHAnsi"/>
          <w:b w:val="0"/>
          <w:iCs w:val="0"/>
          <w:color w:val="44546A" w:themeColor="text2"/>
          <w:spacing w:val="-2"/>
          <w:szCs w:val="22"/>
          <w:lang w:val="sr-Cyrl-CS"/>
        </w:rPr>
        <w:lastRenderedPageBreak/>
        <w:t>њихов допринос расту укупних кредита становништву је био најзначајнији. Крајем септембра 2022. године регистрован је номиналн</w:t>
      </w:r>
      <w:r w:rsidR="000A066D" w:rsidRPr="00F27A03">
        <w:rPr>
          <w:rFonts w:cstheme="minorHAnsi"/>
          <w:b w:val="0"/>
          <w:iCs w:val="0"/>
          <w:color w:val="44546A" w:themeColor="text2"/>
          <w:spacing w:val="-2"/>
          <w:szCs w:val="22"/>
          <w:lang w:val="sr-Cyrl-CS"/>
        </w:rPr>
        <w:t>и раст укупних кредита за 11,2%</w:t>
      </w:r>
      <w:r w:rsidRPr="00F27A03">
        <w:rPr>
          <w:rFonts w:cstheme="minorHAnsi"/>
          <w:b w:val="0"/>
          <w:iCs w:val="0"/>
          <w:color w:val="44546A" w:themeColor="text2"/>
          <w:spacing w:val="-2"/>
          <w:szCs w:val="22"/>
          <w:lang w:val="sr-Cyrl-CS"/>
        </w:rPr>
        <w:t xml:space="preserve"> мг</w:t>
      </w:r>
      <w:r w:rsidR="00F47D01" w:rsidRPr="00F27A03">
        <w:rPr>
          <w:rFonts w:cstheme="minorHAnsi"/>
          <w:b w:val="0"/>
          <w:iCs w:val="0"/>
          <w:color w:val="44546A" w:themeColor="text2"/>
          <w:spacing w:val="-2"/>
          <w:szCs w:val="22"/>
          <w:lang w:val="sr-Cyrl-CS"/>
        </w:rPr>
        <w:t>.</w:t>
      </w:r>
      <w:r w:rsidRPr="00F27A03">
        <w:rPr>
          <w:rFonts w:cstheme="minorHAnsi"/>
          <w:b w:val="0"/>
          <w:iCs w:val="0"/>
          <w:color w:val="44546A" w:themeColor="text2"/>
          <w:spacing w:val="-2"/>
          <w:szCs w:val="22"/>
          <w:lang w:val="sr-Cyrl-CS"/>
        </w:rPr>
        <w:t>, при чему су кредити привреди забележили раст од 13,9%, док су кредити становништву били већи за 8,1%. Раст кредитне активности није пратио и пораст удела проблематичних кредита. Стратегијом за решавање проблематичних кредита, чија је примена започета у другој половини 2015. године, учешће проблематичних кредита банкарског сектора у укупним кредитима значајно је смањено и на крају августа 2022. године износило је 3,</w:t>
      </w:r>
      <w:r w:rsidR="00CE5026" w:rsidRPr="00F27A03">
        <w:rPr>
          <w:rFonts w:cstheme="minorHAnsi"/>
          <w:b w:val="0"/>
          <w:iCs w:val="0"/>
          <w:color w:val="44546A" w:themeColor="text2"/>
          <w:spacing w:val="-2"/>
          <w:szCs w:val="22"/>
          <w:lang w:val="sr-Cyrl-CS"/>
        </w:rPr>
        <w:t>2</w:t>
      </w:r>
      <w:r w:rsidRPr="00F27A03">
        <w:rPr>
          <w:rFonts w:cstheme="minorHAnsi"/>
          <w:b w:val="0"/>
          <w:iCs w:val="0"/>
          <w:color w:val="44546A" w:themeColor="text2"/>
          <w:spacing w:val="-2"/>
          <w:szCs w:val="22"/>
          <w:lang w:val="sr-Cyrl-CS"/>
        </w:rPr>
        <w:t xml:space="preserve">%. То је у поређењу са периодом пре примене Стратегије смањење за 19,99 п.п. Наставак заоштравања монетарних услова неминовно ће утицати на даљи раст каматних стопа, што ће се одразити на </w:t>
      </w:r>
      <w:r w:rsidR="008C7EB5" w:rsidRPr="00F27A03">
        <w:rPr>
          <w:rFonts w:cstheme="minorHAnsi"/>
          <w:b w:val="0"/>
          <w:iCs w:val="0"/>
          <w:color w:val="44546A" w:themeColor="text2"/>
          <w:spacing w:val="-2"/>
          <w:szCs w:val="22"/>
          <w:lang w:val="sr-Cyrl-CS"/>
        </w:rPr>
        <w:t xml:space="preserve">успоравање </w:t>
      </w:r>
      <w:r w:rsidRPr="00F27A03">
        <w:rPr>
          <w:rFonts w:cstheme="minorHAnsi"/>
          <w:b w:val="0"/>
          <w:iCs w:val="0"/>
          <w:color w:val="44546A" w:themeColor="text2"/>
          <w:spacing w:val="-2"/>
          <w:szCs w:val="22"/>
          <w:lang w:val="sr-Cyrl-CS"/>
        </w:rPr>
        <w:t>раст</w:t>
      </w:r>
      <w:r w:rsidR="008C7EB5" w:rsidRPr="00F27A03">
        <w:rPr>
          <w:rFonts w:cstheme="minorHAnsi"/>
          <w:b w:val="0"/>
          <w:iCs w:val="0"/>
          <w:color w:val="44546A" w:themeColor="text2"/>
          <w:spacing w:val="-2"/>
          <w:szCs w:val="22"/>
          <w:lang w:val="sr-Cyrl-CS"/>
        </w:rPr>
        <w:t>а</w:t>
      </w:r>
      <w:r w:rsidRPr="00F27A03">
        <w:rPr>
          <w:rFonts w:cstheme="minorHAnsi"/>
          <w:b w:val="0"/>
          <w:iCs w:val="0"/>
          <w:color w:val="44546A" w:themeColor="text2"/>
          <w:spacing w:val="-2"/>
          <w:szCs w:val="22"/>
          <w:lang w:val="sr-Cyrl-CS"/>
        </w:rPr>
        <w:t xml:space="preserve"> кредитне активности.</w:t>
      </w:r>
    </w:p>
    <w:p w14:paraId="35C998EB" w14:textId="77777777" w:rsidR="00C02C3D" w:rsidRPr="00F27A03" w:rsidRDefault="00C02C3D" w:rsidP="008527D6">
      <w:pPr>
        <w:pStyle w:val="Caption"/>
        <w:keepNext/>
        <w:rPr>
          <w:rFonts w:cstheme="minorHAnsi"/>
          <w:b w:val="0"/>
          <w:i/>
          <w:iCs w:val="0"/>
          <w:szCs w:val="22"/>
          <w:lang w:val="sr-Cyrl-CS"/>
        </w:rPr>
      </w:pPr>
      <w:r w:rsidRPr="00F27A03">
        <w:rPr>
          <w:rFonts w:cstheme="minorHAnsi"/>
          <w:iCs w:val="0"/>
          <w:szCs w:val="22"/>
          <w:lang w:val="sr-Cyrl-CS"/>
        </w:rPr>
        <w:t>Проблематични кредити, млрд РСД</w:t>
      </w:r>
    </w:p>
    <w:p w14:paraId="11FC4624" w14:textId="77777777" w:rsidR="00C02C3D" w:rsidRPr="00F27A03" w:rsidRDefault="00C02C3D" w:rsidP="0021538A">
      <w:pPr>
        <w:spacing w:after="40"/>
        <w:rPr>
          <w:rFonts w:cstheme="minorHAnsi"/>
          <w:bCs/>
          <w:szCs w:val="72"/>
          <w:highlight w:val="yellow"/>
          <w:lang w:val="sr-Cyrl-CS"/>
        </w:rPr>
      </w:pPr>
      <w:r w:rsidRPr="00F27A03">
        <w:rPr>
          <w:noProof/>
          <w:lang w:val="sr-Cyrl-RS" w:eastAsia="sr-Cyrl-RS"/>
        </w:rPr>
        <w:drawing>
          <wp:inline distT="0" distB="0" distL="0" distR="0" wp14:anchorId="3DB97D47" wp14:editId="1007DD32">
            <wp:extent cx="2743200" cy="1674000"/>
            <wp:effectExtent l="0" t="0" r="0" b="2540"/>
            <wp:docPr id="53" name="Chart 53">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61B9398" w14:textId="77777777" w:rsidR="00C02C3D" w:rsidRPr="00F27A03" w:rsidRDefault="00C02C3D" w:rsidP="0021538A">
      <w:pPr>
        <w:spacing w:after="120"/>
        <w:rPr>
          <w:rFonts w:cstheme="minorHAnsi"/>
          <w:lang w:val="sr-Cyrl-CS"/>
        </w:rPr>
      </w:pPr>
      <w:r w:rsidRPr="00F27A03">
        <w:rPr>
          <w:rFonts w:cstheme="minorHAnsi"/>
          <w:bCs/>
          <w:sz w:val="16"/>
          <w:szCs w:val="72"/>
          <w:lang w:val="sr-Cyrl-CS"/>
        </w:rPr>
        <w:t>Извор: НБС</w:t>
      </w:r>
    </w:p>
    <w:p w14:paraId="3AF9F0C1" w14:textId="594B0A09" w:rsidR="00C02C3D" w:rsidRPr="00F27A03" w:rsidRDefault="00C02C3D" w:rsidP="00F762CA">
      <w:pPr>
        <w:rPr>
          <w:rFonts w:cstheme="minorHAnsi"/>
          <w:bCs/>
          <w:spacing w:val="-2"/>
          <w:szCs w:val="72"/>
          <w:lang w:val="sr-Cyrl-CS"/>
        </w:rPr>
      </w:pPr>
      <w:r w:rsidRPr="00F27A03">
        <w:rPr>
          <w:rFonts w:cstheme="minorHAnsi"/>
          <w:bCs/>
          <w:szCs w:val="72"/>
          <w:lang w:val="sr-Cyrl-CS"/>
        </w:rPr>
        <w:t xml:space="preserve">Већи део 2021. године обележила су релативно стабилна кретања на девизном тржишту, услед, пре свега добрих макроекономских резултата, </w:t>
      </w:r>
      <w:r w:rsidR="009C4AF9" w:rsidRPr="00F27A03">
        <w:rPr>
          <w:rFonts w:cstheme="minorHAnsi"/>
          <w:bCs/>
          <w:szCs w:val="72"/>
          <w:lang w:val="sr-Cyrl-CS"/>
        </w:rPr>
        <w:t xml:space="preserve">убрзања раста извоза </w:t>
      </w:r>
      <w:r w:rsidRPr="00F27A03">
        <w:rPr>
          <w:rFonts w:cstheme="minorHAnsi"/>
          <w:bCs/>
          <w:szCs w:val="72"/>
          <w:lang w:val="sr-Cyrl-CS"/>
        </w:rPr>
        <w:t>и солидног прилива СДИ. Међутим, почев од четвртог квартала 2021. године наступили су значајни депрецијацијски притисци на девизном тржишту и повећана тражња за девизама као резултат интензивније куповине девиза од стране увозника енергената, као и појачане глобалне неизвесности услед геополитичке кризе у Украјини</w:t>
      </w:r>
      <w:r w:rsidRPr="00F27A03">
        <w:rPr>
          <w:rFonts w:cstheme="minorHAnsi"/>
          <w:bCs/>
          <w:spacing w:val="-2"/>
          <w:szCs w:val="72"/>
          <w:lang w:val="sr-Cyrl-CS"/>
        </w:rPr>
        <w:t xml:space="preserve">. Адекватним мерама НБС оваква кретања су у највећој мери заустављена у априлу, умирена је тражња за девизама, те је однос тражње и понуде девиза на девизном тржишту значајно уравнотеженији, па је тако и у условима појачане глобалне неизвесности очувана релативна стабилност девизног курса. Од </w:t>
      </w:r>
      <w:r w:rsidRPr="00F27A03">
        <w:rPr>
          <w:rFonts w:cstheme="minorHAnsi"/>
          <w:bCs/>
          <w:spacing w:val="-2"/>
          <w:szCs w:val="72"/>
          <w:lang w:val="sr-Cyrl-CS"/>
        </w:rPr>
        <w:t>маја је понуда девиза надмашила тражњу, тако да је у периоду мај</w:t>
      </w:r>
      <w:r w:rsidR="00786277" w:rsidRPr="00F27A03">
        <w:rPr>
          <w:rFonts w:cstheme="minorHAnsi"/>
          <w:bCs/>
          <w:spacing w:val="-2"/>
          <w:szCs w:val="72"/>
          <w:lang w:val="sr-Cyrl-CS"/>
        </w:rPr>
        <w:t>–</w:t>
      </w:r>
      <w:r w:rsidRPr="00F27A03">
        <w:rPr>
          <w:rFonts w:cstheme="minorHAnsi"/>
          <w:bCs/>
          <w:spacing w:val="-2"/>
          <w:szCs w:val="72"/>
          <w:lang w:val="sr-Cyrl-CS"/>
        </w:rPr>
        <w:t>септембар НБС била нето купац девиза (1,8 млрд евра). У септембру 2022. године динар је на међугодишњем нивоу у просеку забележио апрецијацију</w:t>
      </w:r>
      <w:r w:rsidR="004E7EE8" w:rsidRPr="00F27A03">
        <w:rPr>
          <w:rFonts w:cstheme="minorHAnsi"/>
          <w:bCs/>
          <w:spacing w:val="-2"/>
          <w:szCs w:val="72"/>
          <w:lang w:val="sr-Cyrl-CS"/>
        </w:rPr>
        <w:t xml:space="preserve"> (номинално 0,2%, реално 3,9%).</w:t>
      </w:r>
    </w:p>
    <w:p w14:paraId="21960158" w14:textId="77777777" w:rsidR="00C02C3D" w:rsidRPr="00F27A03" w:rsidRDefault="00C02C3D" w:rsidP="005516BC">
      <w:pPr>
        <w:pStyle w:val="Caption"/>
        <w:keepNext/>
        <w:spacing w:after="0"/>
        <w:rPr>
          <w:rFonts w:cstheme="minorHAnsi"/>
          <w:b w:val="0"/>
          <w:i/>
          <w:iCs w:val="0"/>
          <w:szCs w:val="22"/>
          <w:lang w:val="sr-Cyrl-CS"/>
        </w:rPr>
      </w:pPr>
      <w:r w:rsidRPr="00F27A03">
        <w:rPr>
          <w:rFonts w:cstheme="minorHAnsi"/>
          <w:iCs w:val="0"/>
          <w:szCs w:val="22"/>
          <w:lang w:val="sr-Cyrl-CS"/>
        </w:rPr>
        <w:t>Девизни курс и интервенције НБС на девизном тржишту</w:t>
      </w:r>
    </w:p>
    <w:p w14:paraId="12BE4FA8" w14:textId="77777777" w:rsidR="00C02C3D" w:rsidRPr="00F27A03" w:rsidRDefault="00C02C3D" w:rsidP="00F762CA">
      <w:pPr>
        <w:spacing w:after="20"/>
        <w:rPr>
          <w:rFonts w:cstheme="minorHAnsi"/>
          <w:bCs/>
          <w:szCs w:val="72"/>
          <w:highlight w:val="darkYellow"/>
          <w:lang w:val="sr-Cyrl-CS"/>
        </w:rPr>
      </w:pPr>
      <w:r w:rsidRPr="00F27A03">
        <w:rPr>
          <w:noProof/>
          <w:lang w:val="sr-Cyrl-RS" w:eastAsia="sr-Cyrl-RS"/>
        </w:rPr>
        <w:drawing>
          <wp:inline distT="0" distB="0" distL="0" distR="0" wp14:anchorId="18BD76D2" wp14:editId="79E3D330">
            <wp:extent cx="2743200" cy="1699200"/>
            <wp:effectExtent l="0" t="0" r="0" b="0"/>
            <wp:docPr id="54" name="Chart 54">
              <a:extLst xmlns:a="http://schemas.openxmlformats.org/drawingml/2006/main">
                <a:ext uri="{FF2B5EF4-FFF2-40B4-BE49-F238E27FC236}">
                  <a16:creationId xmlns:a16="http://schemas.microsoft.com/office/drawing/2014/main" id="{00000000-0008-0000-1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2A02ACD6" w14:textId="77777777" w:rsidR="00C02C3D" w:rsidRPr="00F27A03" w:rsidRDefault="00C02C3D" w:rsidP="00852421">
      <w:pPr>
        <w:spacing w:after="120"/>
        <w:rPr>
          <w:rFonts w:cstheme="minorHAnsi"/>
          <w:bCs/>
          <w:szCs w:val="72"/>
          <w:lang w:val="sr-Cyrl-CS"/>
        </w:rPr>
      </w:pPr>
      <w:r w:rsidRPr="00F27A03">
        <w:rPr>
          <w:rFonts w:cstheme="minorHAnsi"/>
          <w:bCs/>
          <w:sz w:val="16"/>
          <w:szCs w:val="72"/>
          <w:lang w:val="sr-Cyrl-CS"/>
        </w:rPr>
        <w:t>Извор: НБС</w:t>
      </w:r>
    </w:p>
    <w:p w14:paraId="43AD4830" w14:textId="2F20B0CC" w:rsidR="00C02C3D" w:rsidRPr="00F27A03" w:rsidRDefault="00C02C3D" w:rsidP="00F762CA">
      <w:pPr>
        <w:rPr>
          <w:rFonts w:cstheme="minorHAnsi"/>
          <w:bCs/>
          <w:szCs w:val="72"/>
          <w:lang w:val="sr-Cyrl-CS"/>
        </w:rPr>
      </w:pPr>
      <w:r w:rsidRPr="00F27A03">
        <w:rPr>
          <w:rFonts w:cstheme="minorHAnsi"/>
          <w:bCs/>
          <w:szCs w:val="72"/>
          <w:lang w:val="sr-Cyrl-CS"/>
        </w:rPr>
        <w:t xml:space="preserve">Девизне резерве су задржане на високом нивоу, знатно изнад оног који се сматра адекватним. Тако су у септембру 2022. године износиле 16,5 млрд евра, што је </w:t>
      </w:r>
      <w:r w:rsidR="00EB05DF" w:rsidRPr="00F27A03">
        <w:rPr>
          <w:rFonts w:cstheme="minorHAnsi"/>
          <w:bCs/>
          <w:szCs w:val="72"/>
          <w:lang w:val="sr-Cyrl-CS"/>
        </w:rPr>
        <w:t xml:space="preserve">ниво и с краја 2021., који је до тада уједно и највиши. </w:t>
      </w:r>
      <w:r w:rsidRPr="00F27A03">
        <w:rPr>
          <w:rFonts w:cstheme="minorHAnsi"/>
          <w:bCs/>
          <w:szCs w:val="72"/>
          <w:lang w:val="sr-Cyrl-CS"/>
        </w:rPr>
        <w:t>То је било довољно за покривеност новчане масе М1 од 147,4% и приближно пет месеци увоза робе и услуга. Повећање девизних резерви у септембру пре свега је резултат активности Н</w:t>
      </w:r>
      <w:r w:rsidR="00EB05DF" w:rsidRPr="00F27A03">
        <w:rPr>
          <w:rFonts w:cstheme="minorHAnsi"/>
          <w:bCs/>
          <w:szCs w:val="72"/>
          <w:lang w:val="sr-Cyrl-CS"/>
        </w:rPr>
        <w:t>БС на домаћем девизном тржишту.</w:t>
      </w:r>
    </w:p>
    <w:p w14:paraId="69B726FC" w14:textId="77777777" w:rsidR="00C02C3D" w:rsidRPr="00F27A03" w:rsidRDefault="00C02C3D" w:rsidP="00F762CA">
      <w:pPr>
        <w:spacing w:after="40"/>
        <w:jc w:val="center"/>
        <w:rPr>
          <w:rFonts w:cstheme="minorHAnsi"/>
          <w:b/>
          <w:i/>
          <w:iCs/>
          <w:color w:val="002060"/>
          <w:lang w:val="sr-Cyrl-CS"/>
        </w:rPr>
      </w:pPr>
      <w:r w:rsidRPr="00F27A03">
        <w:rPr>
          <w:rFonts w:cstheme="minorHAnsi"/>
          <w:b/>
          <w:color w:val="002060"/>
          <w:lang w:val="sr-Cyrl-CS"/>
        </w:rPr>
        <w:t>Девизне резерве и девизна штедња, млрд евра</w:t>
      </w:r>
    </w:p>
    <w:p w14:paraId="325F91AD" w14:textId="77777777" w:rsidR="00C02C3D" w:rsidRPr="00F27A03" w:rsidRDefault="00C02C3D" w:rsidP="008A5B9A">
      <w:pPr>
        <w:spacing w:after="0"/>
        <w:rPr>
          <w:rFonts w:cstheme="minorHAnsi"/>
          <w:bCs/>
          <w:szCs w:val="72"/>
          <w:highlight w:val="darkYellow"/>
          <w:lang w:val="sr-Cyrl-CS"/>
        </w:rPr>
      </w:pPr>
      <w:r w:rsidRPr="00F27A03">
        <w:rPr>
          <w:noProof/>
          <w:lang w:val="sr-Cyrl-RS" w:eastAsia="sr-Cyrl-RS"/>
        </w:rPr>
        <w:drawing>
          <wp:inline distT="0" distB="0" distL="0" distR="0" wp14:anchorId="6279D337" wp14:editId="45F7064B">
            <wp:extent cx="2743200" cy="1800000"/>
            <wp:effectExtent l="0" t="0" r="0" b="0"/>
            <wp:docPr id="55" name="Chart 55">
              <a:extLst xmlns:a="http://schemas.openxmlformats.org/drawingml/2006/main">
                <a:ext uri="{FF2B5EF4-FFF2-40B4-BE49-F238E27FC236}">
                  <a16:creationId xmlns:a16="http://schemas.microsoft.com/office/drawing/2014/main" id="{00000000-0008-0000-1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1764648E" w14:textId="77777777" w:rsidR="00C02C3D" w:rsidRPr="00F27A03" w:rsidRDefault="00C02C3D" w:rsidP="008A5B9A">
      <w:pPr>
        <w:spacing w:after="120"/>
        <w:rPr>
          <w:rFonts w:cstheme="minorHAnsi"/>
          <w:bCs/>
          <w:szCs w:val="72"/>
          <w:lang w:val="sr-Cyrl-CS"/>
        </w:rPr>
      </w:pPr>
      <w:r w:rsidRPr="00F27A03">
        <w:rPr>
          <w:rFonts w:cstheme="minorHAnsi"/>
          <w:bCs/>
          <w:sz w:val="16"/>
          <w:szCs w:val="72"/>
          <w:lang w:val="sr-Cyrl-CS"/>
        </w:rPr>
        <w:t>Извор: НБС</w:t>
      </w:r>
    </w:p>
    <w:p w14:paraId="017252BD" w14:textId="306B1FCC" w:rsidR="00C02C3D" w:rsidRPr="00F27A03" w:rsidRDefault="00C02C3D" w:rsidP="00F762CA">
      <w:pPr>
        <w:spacing w:after="120"/>
        <w:rPr>
          <w:rFonts w:cstheme="minorHAnsi"/>
          <w:bCs/>
          <w:szCs w:val="72"/>
          <w:lang w:val="sr-Cyrl-CS"/>
        </w:rPr>
      </w:pPr>
      <w:r w:rsidRPr="00F27A03">
        <w:rPr>
          <w:rFonts w:cstheme="minorHAnsi"/>
          <w:bCs/>
          <w:szCs w:val="72"/>
          <w:lang w:val="sr-Cyrl-CS"/>
        </w:rPr>
        <w:t xml:space="preserve">Кретање инфлације биће и у наредном периоду под негативним утицајем фактора екстерног карактера, пре свега, раста светских цена примарних производа, енергената и више увозне инфлације, те ће се и у наставку године, као и у </w:t>
      </w:r>
      <w:r w:rsidRPr="00F27A03">
        <w:rPr>
          <w:rFonts w:cstheme="minorHAnsi"/>
          <w:bCs/>
          <w:szCs w:val="72"/>
          <w:lang w:val="sr-Cyrl-CS"/>
        </w:rPr>
        <w:lastRenderedPageBreak/>
        <w:t xml:space="preserve">2023. години кретати изнад горње границе циља. Са постепеним ишчезавањем дејства наведених фактора предвиђа се враћање инфлације у оквире циљаних вредности </w:t>
      </w:r>
      <w:r w:rsidR="00EB05DF" w:rsidRPr="00F27A03">
        <w:rPr>
          <w:rFonts w:cstheme="minorHAnsi"/>
          <w:bCs/>
          <w:szCs w:val="72"/>
          <w:lang w:val="sr-Cyrl-CS"/>
        </w:rPr>
        <w:t>током</w:t>
      </w:r>
      <w:r w:rsidRPr="00F27A03">
        <w:rPr>
          <w:rFonts w:cstheme="minorHAnsi"/>
          <w:bCs/>
          <w:szCs w:val="72"/>
          <w:lang w:val="sr-Cyrl-CS"/>
        </w:rPr>
        <w:t xml:space="preserve"> 2024. године. На смиривање инфлације деловаће и ефекти досадашњег заоштравања монетарних услова, али и ефекти економских мера Владе усмерених на цене основних животних намирница и енергената на домаћем тржишту, као и очек</w:t>
      </w:r>
      <w:r w:rsidR="00F42A52" w:rsidRPr="00F27A03">
        <w:rPr>
          <w:rFonts w:cstheme="minorHAnsi"/>
          <w:bCs/>
          <w:szCs w:val="72"/>
          <w:lang w:val="sr-Cyrl-CS"/>
        </w:rPr>
        <w:t xml:space="preserve">ивано успоравање домаће тражње. </w:t>
      </w:r>
      <w:r w:rsidRPr="00F27A03">
        <w:rPr>
          <w:rFonts w:cstheme="minorHAnsi"/>
          <w:bCs/>
          <w:szCs w:val="72"/>
          <w:lang w:val="sr-Cyrl-CS"/>
        </w:rPr>
        <w:t>Кључни ризици остварења пројекције инфлације односе се на ефекте дешавања у Украјини на расположивост енергената и њихове цене, али и на цене осталих примарних производа.</w:t>
      </w:r>
    </w:p>
    <w:p w14:paraId="19DCC426" w14:textId="77777777" w:rsidR="00C02C3D" w:rsidRPr="00F27A03" w:rsidRDefault="00C02C3D" w:rsidP="00C130D2">
      <w:pPr>
        <w:pStyle w:val="Caption"/>
        <w:keepNext/>
        <w:rPr>
          <w:rFonts w:cstheme="minorHAnsi"/>
          <w:iCs w:val="0"/>
          <w:szCs w:val="22"/>
          <w:lang w:val="sr-Cyrl-CS"/>
        </w:rPr>
      </w:pPr>
      <w:r w:rsidRPr="00F27A03">
        <w:rPr>
          <w:rFonts w:cstheme="minorHAnsi"/>
          <w:iCs w:val="0"/>
          <w:szCs w:val="22"/>
          <w:lang w:val="sr-Cyrl-CS"/>
        </w:rPr>
        <w:t>Пројекција инфлације, %</w:t>
      </w:r>
    </w:p>
    <w:p w14:paraId="455DB514" w14:textId="77777777" w:rsidR="00C02C3D" w:rsidRPr="00F27A03" w:rsidRDefault="00C02C3D" w:rsidP="00807FC3">
      <w:pPr>
        <w:spacing w:after="0"/>
        <w:rPr>
          <w:rFonts w:cstheme="minorHAnsi"/>
          <w:sz w:val="16"/>
          <w:szCs w:val="16"/>
          <w:lang w:val="sr-Cyrl-CS"/>
        </w:rPr>
      </w:pPr>
      <w:r w:rsidRPr="00F27A03">
        <w:rPr>
          <w:noProof/>
          <w:lang w:val="sr-Cyrl-RS" w:eastAsia="sr-Cyrl-RS"/>
        </w:rPr>
        <w:drawing>
          <wp:inline distT="0" distB="0" distL="0" distR="0" wp14:anchorId="43D282C5" wp14:editId="7DEF9A9A">
            <wp:extent cx="2757170" cy="1696720"/>
            <wp:effectExtent l="0" t="0" r="5080" b="0"/>
            <wp:docPr id="56" name="Chart 56">
              <a:extLst xmlns:a="http://schemas.openxmlformats.org/drawingml/2006/main">
                <a:ext uri="{FF2B5EF4-FFF2-40B4-BE49-F238E27FC236}">
                  <a16:creationId xmlns:a16="http://schemas.microsoft.com/office/drawing/2014/main" id="{00000000-0008-0000-1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6F8AC5A" w14:textId="77777777" w:rsidR="00C02C3D" w:rsidRPr="00F27A03" w:rsidRDefault="00C02C3D" w:rsidP="00161001">
      <w:pPr>
        <w:rPr>
          <w:rFonts w:cstheme="minorHAnsi"/>
          <w:bCs/>
          <w:sz w:val="16"/>
          <w:szCs w:val="72"/>
          <w:lang w:val="sr-Cyrl-CS"/>
        </w:rPr>
      </w:pPr>
      <w:r w:rsidRPr="00F27A03">
        <w:rPr>
          <w:rFonts w:cstheme="minorHAnsi"/>
          <w:bCs/>
          <w:sz w:val="16"/>
          <w:szCs w:val="72"/>
          <w:lang w:val="sr-Cyrl-CS"/>
        </w:rPr>
        <w:t>Изв</w:t>
      </w:r>
      <w:bookmarkStart w:id="7" w:name="_Toc23342463"/>
      <w:r w:rsidRPr="00F27A03">
        <w:rPr>
          <w:rFonts w:cstheme="minorHAnsi"/>
          <w:bCs/>
          <w:sz w:val="16"/>
          <w:szCs w:val="72"/>
          <w:lang w:val="sr-Cyrl-CS"/>
        </w:rPr>
        <w:t>ор: Министарство финансија</w:t>
      </w:r>
    </w:p>
    <w:bookmarkEnd w:id="7"/>
    <w:p w14:paraId="7CF8C006" w14:textId="77777777" w:rsidR="00C02C3D" w:rsidRPr="00F27A03" w:rsidRDefault="00C02C3D" w:rsidP="008527D6">
      <w:pPr>
        <w:jc w:val="left"/>
        <w:rPr>
          <w:rFonts w:cstheme="minorHAnsi"/>
          <w:b/>
          <w:color w:val="2F5496" w:themeColor="accent1" w:themeShade="BF"/>
          <w:sz w:val="22"/>
          <w:lang w:val="sr-Cyrl-CS"/>
        </w:rPr>
      </w:pPr>
      <w:r w:rsidRPr="00F27A03">
        <w:rPr>
          <w:rFonts w:cstheme="minorHAnsi"/>
          <w:b/>
          <w:color w:val="2F5496" w:themeColor="accent1" w:themeShade="BF"/>
          <w:sz w:val="22"/>
          <w:lang w:val="sr-Cyrl-CS"/>
        </w:rPr>
        <w:t>Екстерни сектор</w:t>
      </w:r>
    </w:p>
    <w:p w14:paraId="6DEBA362" w14:textId="77777777" w:rsidR="00C02C3D" w:rsidRPr="00F27A03" w:rsidRDefault="00C02C3D" w:rsidP="00E96528">
      <w:pPr>
        <w:rPr>
          <w:rFonts w:cstheme="minorHAnsi"/>
          <w:szCs w:val="20"/>
          <w:lang w:val="sr-Cyrl-CS"/>
        </w:rPr>
      </w:pPr>
      <w:r w:rsidRPr="00F27A03">
        <w:rPr>
          <w:rFonts w:eastAsia="Times New Roman" w:cstheme="minorHAnsi"/>
          <w:szCs w:val="24"/>
          <w:lang w:val="sr-Cyrl-CS"/>
        </w:rPr>
        <w:t>Након потпуног опоравка спољнотрговинске робне размене у 2021. години од шока изазваног пандемијом, настављен је снажан раст и у 2022. години. Укупан обим спољнотрговинске робне размене у првих девет месеци 2022. године износио је 47,9 млрд евра, и био је за 32,9% већи у односу на исти период у 2021. години. Томе је допринело више фактора, како на извозној, тако и на увозној страни.</w:t>
      </w:r>
    </w:p>
    <w:p w14:paraId="03E7D486" w14:textId="477D9074" w:rsidR="00C02C3D" w:rsidRPr="00F27A03" w:rsidRDefault="00C02C3D" w:rsidP="0065412F">
      <w:pPr>
        <w:rPr>
          <w:spacing w:val="-4"/>
          <w:highlight w:val="yellow"/>
          <w:lang w:val="sr-Cyrl-CS"/>
        </w:rPr>
      </w:pPr>
      <w:r w:rsidRPr="00F27A03">
        <w:rPr>
          <w:spacing w:val="-4"/>
          <w:lang w:val="sr-Cyrl-CS"/>
        </w:rPr>
        <w:t xml:space="preserve">Висок раст извоза резултат је раста екстерне тражње услед опоравка привреда главних спољнотрговинских партнера након примене рестриктивних мера у борби против пандемије, активирања нових извозно оријентисаних капацитета услед високог прилива СДИ из претходног периода, као и наставка тренда раста извозних цена. Током првих девет месеци 2022. године, извезено је робе у укупној вредности од 20,0 млрд евра, што представља повећање у односу на </w:t>
      </w:r>
      <w:r w:rsidRPr="00F27A03">
        <w:rPr>
          <w:spacing w:val="-4"/>
          <w:lang w:val="sr-Cyrl-CS"/>
        </w:rPr>
        <w:t xml:space="preserve">исти период прошлe годинe од 27,7%. Извоз прерађивачке индустрије, која је и главни генератор раста укупног извоза, већи је за чак 3,4 млрд евра или 24,8% у односу на исти период 2021. године, при чему је у оквиру </w:t>
      </w:r>
      <w:r w:rsidR="00A958DE" w:rsidRPr="00F27A03">
        <w:rPr>
          <w:spacing w:val="-4"/>
          <w:lang w:val="sr-Cyrl-CS"/>
        </w:rPr>
        <w:t>овог сектора</w:t>
      </w:r>
      <w:r w:rsidRPr="00F27A03">
        <w:rPr>
          <w:spacing w:val="-4"/>
          <w:lang w:val="sr-Cyrl-CS"/>
        </w:rPr>
        <w:t xml:space="preserve"> повећање остварено у свих 23 области.</w:t>
      </w:r>
      <w:r w:rsidRPr="00F27A03">
        <w:rPr>
          <w:spacing w:val="-4"/>
          <w:szCs w:val="20"/>
          <w:lang w:val="sr-Cyrl-CS"/>
        </w:rPr>
        <w:t xml:space="preserve"> </w:t>
      </w:r>
      <w:r w:rsidRPr="00F27A03">
        <w:rPr>
          <w:spacing w:val="-4"/>
          <w:lang w:val="sr-Cyrl-CS"/>
        </w:rPr>
        <w:t>Већем извозу прерађивачке индустрије највише је допринео раст извоза у прехрамбеној, електронској и хемијској индустрији. Поред прерађивачке индустрије, значајан допринос расту извоза долази и од експлоатације руда метала. Пољопривреда је, са друге стране, и поред раста цена житарица и примарних пољопривредних производа, забележила пад извоза од 4,5%, услед слабије пољопривредне сезоне током претходне и текуће године.</w:t>
      </w:r>
    </w:p>
    <w:p w14:paraId="6FD0DE23" w14:textId="24929A87" w:rsidR="00C02C3D" w:rsidRPr="00F27A03" w:rsidRDefault="00C02C3D" w:rsidP="00E96528">
      <w:pPr>
        <w:rPr>
          <w:rFonts w:eastAsia="Times New Roman" w:cstheme="minorHAnsi"/>
          <w:spacing w:val="-4"/>
          <w:lang w:val="sr-Cyrl-CS"/>
        </w:rPr>
      </w:pPr>
      <w:r w:rsidRPr="00F27A03">
        <w:rPr>
          <w:rFonts w:eastAsia="Times New Roman" w:cstheme="minorHAnsi"/>
          <w:spacing w:val="-4"/>
          <w:szCs w:val="24"/>
          <w:lang w:val="sr-Cyrl-CS"/>
        </w:rPr>
        <w:t>Поред раста економске активности и повећаног увоза репродукционих добара за потребе привреде, већи увоз током 2022. године пре свега је последица снажног раста увоза енергената. Повећан увоз гаса због растућих потреба привреде, као и за попуњавање подземног складишта Банатски Двор ради формирања стратешких резерви енергената, као и већи увоз нафте, електричне енергије и угља праћен значајним растом њихових цена довео је до снажног раста укупног увоза. У периоду јануар</w:t>
      </w:r>
      <w:r w:rsidR="00A958DE" w:rsidRPr="00F27A03">
        <w:rPr>
          <w:rFonts w:eastAsia="Times New Roman" w:cstheme="minorHAnsi"/>
          <w:spacing w:val="-4"/>
          <w:szCs w:val="24"/>
          <w:lang w:val="sr-Cyrl-CS"/>
        </w:rPr>
        <w:t>–</w:t>
      </w:r>
      <w:r w:rsidRPr="00F27A03">
        <w:rPr>
          <w:rFonts w:eastAsia="Times New Roman" w:cstheme="minorHAnsi"/>
          <w:spacing w:val="-4"/>
          <w:szCs w:val="24"/>
          <w:lang w:val="sr-Cyrl-CS"/>
        </w:rPr>
        <w:t>септембар 2022. године, увоз робе износио је 27,9 млрд евра, што је раст од 36,8% у односу на исти период претходне године. Близу 70% раста увоза опредељено је вишим увозом репроматеријала, што је раст од 46,3% мг. (прираст од 5,2 млрд евра), док је увоз потрошне робе и опреме повећан 20,4% и 18,2% мг</w:t>
      </w:r>
      <w:r w:rsidR="00F47D01" w:rsidRPr="00F27A03">
        <w:rPr>
          <w:rFonts w:eastAsia="Times New Roman" w:cstheme="minorHAnsi"/>
          <w:spacing w:val="-4"/>
          <w:szCs w:val="24"/>
          <w:lang w:val="sr-Cyrl-CS"/>
        </w:rPr>
        <w:t>.</w:t>
      </w:r>
      <w:r w:rsidRPr="00F27A03">
        <w:rPr>
          <w:rFonts w:eastAsia="Times New Roman" w:cstheme="minorHAnsi"/>
          <w:spacing w:val="-4"/>
          <w:szCs w:val="24"/>
          <w:lang w:val="sr-Cyrl-CS"/>
        </w:rPr>
        <w:t>, респективно.</w:t>
      </w:r>
    </w:p>
    <w:p w14:paraId="3AE6CD2A" w14:textId="77777777" w:rsidR="00C02C3D" w:rsidRPr="00F27A03" w:rsidRDefault="00C02C3D" w:rsidP="008527D6">
      <w:pPr>
        <w:pStyle w:val="NoSpacing"/>
        <w:jc w:val="center"/>
        <w:rPr>
          <w:rFonts w:cstheme="minorHAnsi"/>
          <w:color w:val="002060"/>
          <w:lang w:val="sr-Cyrl-CS"/>
        </w:rPr>
      </w:pPr>
      <w:r w:rsidRPr="00F27A03">
        <w:rPr>
          <w:rFonts w:cstheme="minorHAnsi"/>
          <w:color w:val="002060"/>
          <w:lang w:val="sr-Cyrl-CS"/>
        </w:rPr>
        <w:t>Доприноси стопи раста увоза, економска намена, п.п.</w:t>
      </w:r>
    </w:p>
    <w:p w14:paraId="4359A630" w14:textId="77777777" w:rsidR="00C02C3D" w:rsidRPr="00F27A03" w:rsidRDefault="00C02C3D" w:rsidP="008527D6">
      <w:pPr>
        <w:pStyle w:val="NoSpacing"/>
        <w:jc w:val="center"/>
        <w:rPr>
          <w:rFonts w:cstheme="minorHAnsi"/>
          <w:color w:val="44546A" w:themeColor="text2"/>
          <w:lang w:val="sr-Cyrl-CS"/>
        </w:rPr>
      </w:pPr>
      <w:r w:rsidRPr="00F27A03">
        <w:rPr>
          <w:noProof/>
          <w:lang w:val="sr-Cyrl-RS" w:eastAsia="sr-Cyrl-RS"/>
        </w:rPr>
        <w:drawing>
          <wp:inline distT="0" distB="0" distL="0" distR="0" wp14:anchorId="6C0AFA62" wp14:editId="7C3465ED">
            <wp:extent cx="2743200" cy="1867877"/>
            <wp:effectExtent l="0" t="0" r="0" b="0"/>
            <wp:docPr id="66" name="Chart 66">
              <a:extLst xmlns:a="http://schemas.openxmlformats.org/drawingml/2006/main">
                <a:ext uri="{FF2B5EF4-FFF2-40B4-BE49-F238E27FC236}">
                  <a16:creationId xmlns:a16="http://schemas.microsoft.com/office/drawing/2014/main" id="{00000000-0008-0000-1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614968C9" w14:textId="77777777" w:rsidR="00C02C3D" w:rsidRPr="00F27A03" w:rsidRDefault="00C02C3D" w:rsidP="00F762CA">
      <w:pPr>
        <w:rPr>
          <w:rFonts w:cstheme="minorHAnsi"/>
          <w:bCs/>
          <w:szCs w:val="72"/>
          <w:lang w:val="sr-Cyrl-CS"/>
        </w:rPr>
      </w:pPr>
      <w:r w:rsidRPr="00F27A03">
        <w:rPr>
          <w:rFonts w:cstheme="minorHAnsi"/>
          <w:bCs/>
          <w:sz w:val="16"/>
          <w:szCs w:val="72"/>
          <w:lang w:val="sr-Cyrl-CS"/>
        </w:rPr>
        <w:t>Извор: РЗС</w:t>
      </w:r>
    </w:p>
    <w:p w14:paraId="5845CFB1" w14:textId="1B4FCCDF" w:rsidR="00C02C3D" w:rsidRPr="00F27A03" w:rsidRDefault="00C02C3D" w:rsidP="00E96528">
      <w:pPr>
        <w:rPr>
          <w:rFonts w:eastAsia="Times New Roman" w:cstheme="minorHAnsi"/>
          <w:szCs w:val="24"/>
          <w:lang w:val="sr-Cyrl-CS"/>
        </w:rPr>
      </w:pPr>
      <w:r w:rsidRPr="00F27A03">
        <w:rPr>
          <w:rFonts w:eastAsia="Times New Roman" w:cstheme="minorHAnsi"/>
          <w:szCs w:val="24"/>
          <w:lang w:val="sr-Cyrl-CS"/>
        </w:rPr>
        <w:lastRenderedPageBreak/>
        <w:t>На раст дефицита у спољнотрговинској робној размени у 2022. години неповољно je утицало и погоршање односа размене, тј. снажни</w:t>
      </w:r>
      <w:r w:rsidR="00EB05DF" w:rsidRPr="00F27A03">
        <w:rPr>
          <w:rFonts w:eastAsia="Times New Roman" w:cstheme="minorHAnsi"/>
          <w:szCs w:val="24"/>
          <w:lang w:val="sr-Cyrl-CS"/>
        </w:rPr>
        <w:t>ји</w:t>
      </w:r>
      <w:r w:rsidRPr="00F27A03">
        <w:rPr>
          <w:rFonts w:eastAsia="Times New Roman" w:cstheme="minorHAnsi"/>
          <w:szCs w:val="24"/>
          <w:lang w:val="sr-Cyrl-CS"/>
        </w:rPr>
        <w:t xml:space="preserve"> раст увозних </w:t>
      </w:r>
      <w:r w:rsidR="00EB05DF" w:rsidRPr="00F27A03">
        <w:rPr>
          <w:rFonts w:eastAsia="Times New Roman" w:cstheme="minorHAnsi"/>
          <w:szCs w:val="24"/>
          <w:lang w:val="sr-Cyrl-CS"/>
        </w:rPr>
        <w:t xml:space="preserve">од извозних </w:t>
      </w:r>
      <w:r w:rsidRPr="00F27A03">
        <w:rPr>
          <w:rFonts w:eastAsia="Times New Roman" w:cstheme="minorHAnsi"/>
          <w:szCs w:val="24"/>
          <w:lang w:val="sr-Cyrl-CS"/>
        </w:rPr>
        <w:t>цена. Оваква кретања у спољнотрговинској размени резултирала су растом спољнотрговинског дефицита током првих девет месеци 2022. године за 3,2 милијарди евра, уз пад покривености увоза извозом ‒ са 76,6% у претходној на 71,5% у текућој години.</w:t>
      </w:r>
    </w:p>
    <w:p w14:paraId="093DAFFE" w14:textId="77777777" w:rsidR="00C02C3D" w:rsidRPr="00F27A03" w:rsidRDefault="00C02C3D" w:rsidP="008527D6">
      <w:pPr>
        <w:pStyle w:val="NoSpacing"/>
        <w:jc w:val="center"/>
        <w:rPr>
          <w:rFonts w:cstheme="minorHAnsi"/>
          <w:color w:val="002060"/>
          <w:lang w:val="sr-Cyrl-CS"/>
        </w:rPr>
      </w:pPr>
      <w:r w:rsidRPr="00F27A03">
        <w:rPr>
          <w:rFonts w:cstheme="minorHAnsi"/>
          <w:color w:val="002060"/>
          <w:lang w:val="sr-Cyrl-CS"/>
        </w:rPr>
        <w:t>Робна размена, мил. ЕУР</w:t>
      </w:r>
    </w:p>
    <w:p w14:paraId="1E954BF6" w14:textId="77777777" w:rsidR="00C02C3D" w:rsidRPr="00F27A03" w:rsidRDefault="00C02C3D" w:rsidP="008527D6">
      <w:pPr>
        <w:pStyle w:val="NoSpacing"/>
        <w:jc w:val="center"/>
        <w:rPr>
          <w:rFonts w:cstheme="minorHAnsi"/>
          <w:b w:val="0"/>
          <w:color w:val="44546A" w:themeColor="text2"/>
          <w:lang w:val="sr-Cyrl-CS"/>
        </w:rPr>
      </w:pPr>
      <w:r w:rsidRPr="00F27A03">
        <w:rPr>
          <w:noProof/>
          <w:lang w:val="sr-Cyrl-RS" w:eastAsia="sr-Cyrl-RS"/>
        </w:rPr>
        <w:drawing>
          <wp:inline distT="0" distB="0" distL="0" distR="0" wp14:anchorId="01373DB2" wp14:editId="6714564F">
            <wp:extent cx="2743200" cy="1659255"/>
            <wp:effectExtent l="0" t="0" r="0" b="0"/>
            <wp:docPr id="67" name="Chart 67">
              <a:extLst xmlns:a="http://schemas.openxmlformats.org/drawingml/2006/main">
                <a:ext uri="{FF2B5EF4-FFF2-40B4-BE49-F238E27FC236}">
                  <a16:creationId xmlns:a16="http://schemas.microsoft.com/office/drawing/2014/main" id="{00000000-0008-0000-1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608FE80B" w14:textId="77777777" w:rsidR="00C02C3D" w:rsidRPr="00F27A03" w:rsidRDefault="00C02C3D" w:rsidP="00A958DE">
      <w:pPr>
        <w:spacing w:before="40"/>
        <w:rPr>
          <w:rFonts w:cstheme="minorHAnsi"/>
          <w:sz w:val="16"/>
          <w:lang w:val="sr-Cyrl-CS"/>
        </w:rPr>
      </w:pPr>
      <w:r w:rsidRPr="00F27A03">
        <w:rPr>
          <w:rFonts w:cstheme="minorHAnsi"/>
          <w:sz w:val="16"/>
          <w:lang w:val="sr-Cyrl-CS"/>
        </w:rPr>
        <w:t>Извор: РЗС</w:t>
      </w:r>
    </w:p>
    <w:p w14:paraId="4030D027" w14:textId="77777777" w:rsidR="00C02C3D" w:rsidRPr="00F27A03" w:rsidRDefault="00C02C3D" w:rsidP="0065412F">
      <w:pPr>
        <w:rPr>
          <w:lang w:val="sr-Cyrl-CS"/>
        </w:rPr>
      </w:pPr>
      <w:r w:rsidRPr="00F27A03">
        <w:rPr>
          <w:lang w:val="sr-Cyrl-CS"/>
        </w:rPr>
        <w:t>Најважнији спољнотрговински партнери током првих девет месеци 2022. године су земље ЕУ, на које се односило 64,5% укупног извоза и 54,5% укупног увоза. Највећи део укупног извоза (38,4%) у том периоду био је усмерен на тржиште пет земаља: Немачка, Италија, БиХ, Мађарска и Румунија. Увоз из Кине, Немачке, Русије, Италије и Мађарске чинио је 45,0% укупног увоза. Спољнотрговински суфицит у овом периоду остварен је са БиХ, Црном Гором, Северном Македонијом, Словачком, Хрватском, Румунијом, Великом Британијом, Шведском, Шпанијом, Бугарском, и у нешто мањој мери са Чешком. Суфицит са овим земљама у посматраном периоду износио је 2,5 млрд евра. Највећи дефицит јавља се у трговини са Кином, Русијом, Турском, Ираком и Мађарском.</w:t>
      </w:r>
    </w:p>
    <w:p w14:paraId="2BAE3C50" w14:textId="77777777" w:rsidR="00C02C3D" w:rsidRPr="00F27A03" w:rsidRDefault="00C02C3D" w:rsidP="00E96528">
      <w:pPr>
        <w:jc w:val="center"/>
        <w:rPr>
          <w:rFonts w:eastAsia="Times New Roman" w:cstheme="minorHAnsi"/>
          <w:b/>
          <w:szCs w:val="24"/>
          <w:lang w:val="sr-Cyrl-CS"/>
        </w:rPr>
      </w:pPr>
      <w:r w:rsidRPr="00F27A03">
        <w:rPr>
          <w:rFonts w:eastAsia="Times New Roman" w:cstheme="minorHAnsi"/>
          <w:b/>
          <w:szCs w:val="24"/>
          <w:lang w:val="sr-Cyrl-CS"/>
        </w:rPr>
        <w:br w:type="column"/>
      </w:r>
      <w:r w:rsidRPr="00F27A03">
        <w:rPr>
          <w:rFonts w:eastAsia="Times New Roman" w:cstheme="minorHAnsi"/>
          <w:b/>
          <w:szCs w:val="24"/>
          <w:lang w:val="sr-Cyrl-CS"/>
        </w:rPr>
        <w:t>Утицај енергетске кризе на екстерни сектор</w:t>
      </w:r>
    </w:p>
    <w:p w14:paraId="564CA23A" w14:textId="46CBA361" w:rsidR="00C02C3D" w:rsidRPr="00F27A03" w:rsidRDefault="00C02C3D" w:rsidP="00E96528">
      <w:pPr>
        <w:rPr>
          <w:rFonts w:eastAsia="Times New Roman" w:cstheme="minorHAnsi"/>
          <w:szCs w:val="24"/>
          <w:lang w:val="sr-Cyrl-CS"/>
        </w:rPr>
      </w:pPr>
      <w:r w:rsidRPr="00F27A03">
        <w:rPr>
          <w:rFonts w:cstheme="minorHAnsi"/>
          <w:b/>
          <w:noProof/>
          <w:sz w:val="24"/>
          <w:lang w:val="sr-Cyrl-RS" w:eastAsia="sr-Cyrl-RS"/>
        </w:rPr>
        <mc:AlternateContent>
          <mc:Choice Requires="wps">
            <w:drawing>
              <wp:anchor distT="0" distB="0" distL="114300" distR="114300" simplePos="0" relativeHeight="251674112" behindDoc="1" locked="0" layoutInCell="1" allowOverlap="1" wp14:anchorId="10CB72F6" wp14:editId="6805FA2B">
                <wp:simplePos x="0" y="0"/>
                <wp:positionH relativeFrom="column">
                  <wp:posOffset>-113323</wp:posOffset>
                </wp:positionH>
                <wp:positionV relativeFrom="paragraph">
                  <wp:posOffset>-299867</wp:posOffset>
                </wp:positionV>
                <wp:extent cx="2954655" cy="6307016"/>
                <wp:effectExtent l="0" t="0" r="0" b="0"/>
                <wp:wrapNone/>
                <wp:docPr id="61" name="Rectangle 61"/>
                <wp:cNvGraphicFramePr/>
                <a:graphic xmlns:a="http://schemas.openxmlformats.org/drawingml/2006/main">
                  <a:graphicData uri="http://schemas.microsoft.com/office/word/2010/wordprocessingShape">
                    <wps:wsp>
                      <wps:cNvSpPr/>
                      <wps:spPr>
                        <a:xfrm>
                          <a:off x="0" y="0"/>
                          <a:ext cx="2954655" cy="6307016"/>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39F381" id="Rectangle 61" o:spid="_x0000_s1026" style="position:absolute;margin-left:-8.9pt;margin-top:-23.6pt;width:232.65pt;height:496.6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" fillcolor="#d9d9d9" stroked="f" strokeweight="1pt">
                <v:fill r:id="rId21" o:title="" color2="window" type="pattern"/>
              </v:rect>
            </w:pict>
          </mc:Fallback>
        </mc:AlternateContent>
      </w:r>
      <w:r w:rsidRPr="00F27A03">
        <w:rPr>
          <w:rFonts w:eastAsia="Times New Roman" w:cstheme="minorHAnsi"/>
          <w:szCs w:val="24"/>
          <w:lang w:val="sr-Cyrl-CS"/>
        </w:rPr>
        <w:t>Целокупно повећање дефицита текућег рачуна у првих осам месеци у односу на исти период прошле године резултат је повећаног увоза енергената. Раст увоза енергије, првенствено због раста светских цена енергије али и формирања ст</w:t>
      </w:r>
      <w:r w:rsidR="007C1783" w:rsidRPr="00F27A03">
        <w:rPr>
          <w:rFonts w:eastAsia="Times New Roman" w:cstheme="minorHAnsi"/>
          <w:szCs w:val="24"/>
          <w:lang w:val="sr-Cyrl-CS"/>
        </w:rPr>
        <w:t>р</w:t>
      </w:r>
      <w:r w:rsidRPr="00F27A03">
        <w:rPr>
          <w:rFonts w:eastAsia="Times New Roman" w:cstheme="minorHAnsi"/>
          <w:szCs w:val="24"/>
          <w:lang w:val="sr-Cyrl-CS"/>
        </w:rPr>
        <w:t>атешких резерви, одразио се на повећање дефицита текућег рачуна, који је износио 2,8 милијарди евра. Увоз енергената у првих осам месеци 2022. године износио је 3,9 милијарди евра, што је за 2,5 милијарди евра више у односу на првих осам месеци 2021. Преко 80% повећања увоза енергије резултат је раста увозних цена, док се остатак може приписати повећању увезених количина. Ефекат више увозне цене био је најизраженији код гаса, чинио је чак 96,2% веће увозне вредности, док је код нафтних деривата (укључујући сирову нафту) ефекат цене био нешто нижи и износио је 78,8%. Истовремено, ценовни ефекат код угља, кокса и брикета износио је 57,7%.</w:t>
      </w:r>
    </w:p>
    <w:p w14:paraId="54F86AC1" w14:textId="77777777" w:rsidR="00C02C3D" w:rsidRPr="00F27A03" w:rsidRDefault="00C02C3D" w:rsidP="00E96528">
      <w:pPr>
        <w:rPr>
          <w:rFonts w:eastAsia="Times New Roman" w:cstheme="minorHAnsi"/>
          <w:szCs w:val="24"/>
          <w:lang w:val="sr-Cyrl-CS"/>
        </w:rPr>
      </w:pPr>
      <w:r w:rsidRPr="00F27A03">
        <w:rPr>
          <w:rFonts w:eastAsia="Times New Roman" w:cstheme="minorHAnsi"/>
          <w:szCs w:val="24"/>
          <w:lang w:val="sr-Cyrl-CS"/>
        </w:rPr>
        <w:t>Нижи обим експлоатације угља крајем 2021. године утицао је на смањење производње електричне енергије. То је довело до повећања увоза гаса за потребе производње електричне енергије, као и до раста увоза угља, али и електричне енергије. Већи увоз електричне енергије такође је био последица неповољне хидролошке ситуације и последично смањеног хидролошког потенцијала (нешто више од четвртине укупне производње електричне енергије потиче из хидроелектрана). Док је увоз свих енергената порастао у односу на исти период 2021. године, највећи раст је забележен код увоза сирове нафте и нафтних деривата (2,1 милијарде евра наспрам 901,3 милион евра у првих осам месеци 2021. године.</w:t>
      </w:r>
    </w:p>
    <w:p w14:paraId="5924463A" w14:textId="77777777" w:rsidR="00C02C3D" w:rsidRPr="00F27A03" w:rsidRDefault="00C02C3D">
      <w:pPr>
        <w:jc w:val="left"/>
        <w:rPr>
          <w:lang w:val="sr-Cyrl-CS"/>
        </w:rPr>
      </w:pPr>
      <w:r w:rsidRPr="00F27A03">
        <w:rPr>
          <w:lang w:val="sr-Cyrl-CS"/>
        </w:rPr>
        <w:br w:type="page"/>
      </w:r>
    </w:p>
    <w:p w14:paraId="5FA71049" w14:textId="35EEC59F" w:rsidR="00C02C3D" w:rsidRPr="00F27A03" w:rsidRDefault="00C02C3D" w:rsidP="0065412F">
      <w:pPr>
        <w:rPr>
          <w:lang w:val="sr-Cyrl-CS"/>
        </w:rPr>
      </w:pPr>
      <w:r w:rsidRPr="00F27A03">
        <w:rPr>
          <w:lang w:val="sr-Cyrl-CS"/>
        </w:rPr>
        <w:lastRenderedPageBreak/>
        <w:t>Платнобилансна кретања током 2022. године карактерисало је продубљивање дефицита текућег рачуна платног биланса са 4,3% у 2021. години на процењених 9,0% БДП на крају 2022. године, тј. на 5,4 млрд евра. Дефицит текућег рачуна у првих осам месеци износио је 2,8 млрд евра. Расту дефицита текућег рачуна у највећој мери допринео је раст дефицита у размени робе са иностранством, првенствено услед раста домаће тражње и повећаног увоза енергената по значајно вишим ценама. Робни дефицит је повећан за 2,4 млрд евра, док је на рачуну услуга забележен суфицит који је био виши за 27,7% и износио је 1,1 млрд евра. Позитиван нето извоз услуга у првих осам месеци у највећој мери резултат је већег извоза ИКТ услуга који је повећан је за 49,5% међугодишње и износио је 1,2 млрд евра, као и извоза осталих пословних услуга који је био виши за 81,8% и износио је 605,</w:t>
      </w:r>
      <w:r w:rsidR="00A958DE" w:rsidRPr="00F27A03">
        <w:rPr>
          <w:lang w:val="sr-Cyrl-CS"/>
        </w:rPr>
        <w:t>8</w:t>
      </w:r>
      <w:r w:rsidRPr="00F27A03">
        <w:rPr>
          <w:lang w:val="sr-Cyrl-CS"/>
        </w:rPr>
        <w:t xml:space="preserve"> милиона евра. Дефицит примарног дохотка повећан је за 488,9 мил. евра, односно за 42,6%, док је суфицит секундарног дохотка био међугодишње виши за 37,4% и износио је 3,7 млрд евра, првенствено услед повећаног прилива дознака из иностранства (раст од 60,7%).</w:t>
      </w:r>
    </w:p>
    <w:p w14:paraId="2728ABF8" w14:textId="79F22316" w:rsidR="00C02C3D" w:rsidRPr="00F27A03" w:rsidRDefault="00C02C3D" w:rsidP="0065412F">
      <w:pPr>
        <w:rPr>
          <w:lang w:val="sr-Cyrl-CS"/>
        </w:rPr>
      </w:pPr>
      <w:r w:rsidRPr="00F27A03">
        <w:rPr>
          <w:lang w:val="sr-Cyrl-CS"/>
        </w:rPr>
        <w:t xml:space="preserve">Нето прилив СДИ у првих осам месеци 2022. године износио је 2,5 млрд евра, док је укупан прилив по основу СДИ износио 2,7 млрд евра, што је приближно нивоу оствареном у претходној години. Оваква кретања потврђују да је успоравање прилива у априлу и мају било привременог карактера и изазвано првобитним шоком након избијања сукоба у Украјини. Посматрано према делатностима, највећи нето прилив СДИ у овом периоду остварен је у прерађивачкој индустрији, сектору који традиционално привлачи највише СДИ, са остварених 904,5 мил. евра. Истовремено висок прилив СДИ остварен је и у грађевинарству и трговини, у износу од 554,6 и 253,7 мил. евра, респективно. Осим производне разноврсности, СДИ су и географски диверсификоване, са растућим уделом земаља из азијско-пацифичког региона. Посматрано према географском пореклу, највећи део СДИ долази са европског континента. Укупан прилив инвестиција из Европске уније у </w:t>
      </w:r>
      <w:r w:rsidRPr="00F27A03">
        <w:rPr>
          <w:lang w:val="sr-Cyrl-CS"/>
        </w:rPr>
        <w:t xml:space="preserve">првих шест месеци текуће године износио је 401 милион евра, односно 24,9% од укупног прилива СДИ, </w:t>
      </w:r>
      <w:r w:rsidR="00901078" w:rsidRPr="00F27A03">
        <w:rPr>
          <w:lang w:val="sr-Cyrl-CS"/>
        </w:rPr>
        <w:t>док је значајан и удео Швајцарс</w:t>
      </w:r>
      <w:r w:rsidRPr="00F27A03">
        <w:rPr>
          <w:lang w:val="sr-Cyrl-CS"/>
        </w:rPr>
        <w:t>ке (10.5%) и Велике Британије (8,9%). Са друге стране, посматрано по земљама, највећи нето прилив страних директних улагања долази из Кине</w:t>
      </w:r>
      <w:r w:rsidRPr="00F27A03">
        <w:rPr>
          <w:rStyle w:val="FootnoteReference"/>
          <w:rFonts w:eastAsia="Times New Roman" w:cstheme="minorHAnsi"/>
          <w:szCs w:val="24"/>
          <w:lang w:val="sr-Cyrl-CS"/>
        </w:rPr>
        <w:footnoteReference w:id="1"/>
      </w:r>
      <w:r w:rsidRPr="00F27A03">
        <w:rPr>
          <w:lang w:val="sr-Cyrl-CS"/>
        </w:rPr>
        <w:t>, Немачке, Швајцарске, Велике Британије и Јапана, које чине нешто мање од три четвртине укупних доспелих инвестиција. Удео прилива СДИ из Кине значајно је порастао у последњих шест година, са 3,1% у 2015. на 30,4% у првој половини 2022. године. У 2022. години Кина је појединачно била највећи инвеститор, са 489,3 мил. евра улагања, што износи 32,5% укупно остварених нето СДИ у првој половини године. У првих осам месеци 2022. забележен је нето прилив портфолио инвестиција у износу од 140,1 мил. евра.</w:t>
      </w:r>
    </w:p>
    <w:p w14:paraId="5E5A0EB3" w14:textId="77777777" w:rsidR="00C02C3D" w:rsidRPr="00F27A03" w:rsidRDefault="00C02C3D" w:rsidP="0065412F">
      <w:pPr>
        <w:rPr>
          <w:lang w:val="sr-Cyrl-CS"/>
        </w:rPr>
      </w:pPr>
      <w:r w:rsidRPr="00F27A03">
        <w:rPr>
          <w:lang w:val="sr-Cyrl-CS"/>
        </w:rPr>
        <w:t>Екстерну позицију Србије током 2022. године карактерише отпорност на финансијске шокове из међународног окружења. Рацио девизних резерви и краткорочног дуга на крају јуна смањен је у односу на крај 2021. године, услед истовременог раста краткорочног дуга и смањења девизних резерви због повећане тражње за девизама неопходним за додатни увоз енергената током прве половине године. Са друге стране, учешће спољног дуга у БДП смањено је са 68,4% у 2021.</w:t>
      </w:r>
      <w:r w:rsidRPr="00F27A03">
        <w:rPr>
          <w:bCs/>
          <w:szCs w:val="72"/>
          <w:lang w:val="sr-Cyrl-CS"/>
        </w:rPr>
        <w:t xml:space="preserve"> </w:t>
      </w:r>
      <w:r w:rsidRPr="00F27A03">
        <w:rPr>
          <w:bCs/>
          <w:lang w:val="sr-Cyrl-CS"/>
        </w:rPr>
        <w:t xml:space="preserve">години </w:t>
      </w:r>
      <w:r w:rsidRPr="00F27A03">
        <w:rPr>
          <w:lang w:val="sr-Cyrl-CS"/>
        </w:rPr>
        <w:t>на 67,7% на крају јуна 2022. године, уз истовремено смањење удела краткорочног дуга у БДП и рациа спољног дуга и извоза робе и услуга. Учешће спољног дуга у извозу роба и услуга на крају јуна 2022. године износило је 116,1%, што је значајно испод критеријума Светске банке од 220% и гарант је одрживости његовог сервисирања. Девизне резерве на крају септембра текуће године повећане су за 47,8 мил. евра у односу на крај 2021. године и износиле су 16,5 млрд евра.</w:t>
      </w:r>
    </w:p>
    <w:p w14:paraId="3FF2DF6A" w14:textId="77777777" w:rsidR="00C02C3D" w:rsidRPr="00F27A03" w:rsidRDefault="00C02C3D" w:rsidP="0065412F">
      <w:pPr>
        <w:rPr>
          <w:szCs w:val="20"/>
          <w:lang w:val="sr-Cyrl-CS"/>
        </w:rPr>
      </w:pPr>
      <w:r w:rsidRPr="00F27A03">
        <w:rPr>
          <w:lang w:val="sr-Cyrl-CS"/>
        </w:rPr>
        <w:t xml:space="preserve">Очекује се да ће укупан дефицит текућег рачуна у 2022. години износити 5,4 млрд евра, односно 9,0% БДП, након чега ће се његово учешће у БДП постепено смањивати до нивоа од 6,0% БДП у 2025. години као резултат очекиваног позитивног доприноса нето извоза и побољшаних односа размене. Раст робног извоза у еврима по просечној стопи од 11,7% и увоза за 9,0% у </w:t>
      </w:r>
      <w:r w:rsidRPr="00F27A03">
        <w:rPr>
          <w:lang w:val="sr-Cyrl-CS"/>
        </w:rPr>
        <w:lastRenderedPageBreak/>
        <w:t>пројектованом трогодишњем периоду смањиће спољнотрговински дефицит роба на 11,1% БДП у 2025. години, са овогодишњих 14,8%. Предвиђа се наставак повољних кретања на рачуну услуга, где ће суфицит у пројектованом трогодишњем периоду износити у просеку 2,0 млрд евра. Прилив по основу текућих трансфера износиће у просеку 7,4% БДП годишње, при чему ће приходи од дознака задржати улогу доминантне компоненте. Нето ефекат текућих трансфера и нето факторских плаћања у наредном трогодишњем периоду биће позитиван и износиће око 1,9 млрд евра просечно годишње, што ће значајно ублажити дефицит спољнотрговинског биланса роба и услуга. Оваква кретања уз пројектовану динамику економске активности имаће за резултат смањење учешћа дефицита текућег рачуна платног биланса на 6,0% БДП на крају пројектованог периода.</w:t>
      </w:r>
    </w:p>
    <w:p w14:paraId="6371BF0C" w14:textId="77777777" w:rsidR="00C02C3D" w:rsidRPr="00F27A03" w:rsidRDefault="00C02C3D" w:rsidP="0065412F">
      <w:pPr>
        <w:spacing w:after="120"/>
        <w:jc w:val="center"/>
        <w:rPr>
          <w:rFonts w:cstheme="minorHAnsi"/>
          <w:b/>
          <w:color w:val="002060"/>
          <w:lang w:val="sr-Cyrl-CS"/>
        </w:rPr>
      </w:pPr>
      <w:r w:rsidRPr="00F27A03">
        <w:rPr>
          <w:rFonts w:cstheme="minorHAnsi"/>
          <w:b/>
          <w:color w:val="002060"/>
          <w:lang w:val="sr-Cyrl-CS"/>
        </w:rPr>
        <w:t>Структура текућег рачуна, % БДП</w:t>
      </w:r>
    </w:p>
    <w:p w14:paraId="1DBB0B86" w14:textId="77777777" w:rsidR="00C02C3D" w:rsidRPr="00F27A03" w:rsidRDefault="00C02C3D" w:rsidP="007635E3">
      <w:pPr>
        <w:spacing w:after="40"/>
        <w:rPr>
          <w:rFonts w:cstheme="minorHAnsi"/>
          <w:sz w:val="16"/>
          <w:lang w:val="sr-Cyrl-CS"/>
        </w:rPr>
      </w:pPr>
      <w:r w:rsidRPr="00F27A03">
        <w:rPr>
          <w:noProof/>
          <w:lang w:val="sr-Cyrl-RS" w:eastAsia="sr-Cyrl-RS"/>
        </w:rPr>
        <w:drawing>
          <wp:inline distT="0" distB="0" distL="0" distR="0" wp14:anchorId="485B234E" wp14:editId="42FBBBDC">
            <wp:extent cx="2743200" cy="2159635"/>
            <wp:effectExtent l="0" t="0" r="0" b="0"/>
            <wp:docPr id="68" name="Chart 68">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2BB5D731" w14:textId="77777777" w:rsidR="00C02C3D" w:rsidRPr="00F27A03" w:rsidRDefault="00C02C3D" w:rsidP="007635E3">
      <w:pPr>
        <w:spacing w:after="0"/>
        <w:rPr>
          <w:rFonts w:cstheme="minorHAnsi"/>
          <w:sz w:val="16"/>
          <w:lang w:val="sr-Cyrl-CS"/>
        </w:rPr>
      </w:pPr>
      <w:r w:rsidRPr="00F27A03">
        <w:rPr>
          <w:rFonts w:cstheme="minorHAnsi"/>
          <w:sz w:val="16"/>
          <w:lang w:val="sr-Cyrl-CS"/>
        </w:rPr>
        <w:t>Извор: Министарство финансија, НБС, РЗС</w:t>
      </w:r>
    </w:p>
    <w:p w14:paraId="7A0D3F86" w14:textId="77777777" w:rsidR="00C02C3D" w:rsidRPr="00F27A03" w:rsidRDefault="00C02C3D" w:rsidP="00E96528">
      <w:pPr>
        <w:rPr>
          <w:rFonts w:cstheme="minorHAnsi"/>
          <w:sz w:val="16"/>
          <w:lang w:val="sr-Cyrl-CS"/>
        </w:rPr>
      </w:pPr>
      <w:r w:rsidRPr="00F27A03">
        <w:rPr>
          <w:rFonts w:cstheme="minorHAnsi"/>
          <w:sz w:val="16"/>
          <w:lang w:val="sr-Cyrl-CS"/>
        </w:rPr>
        <w:t>* Процена МФИН.</w:t>
      </w:r>
    </w:p>
    <w:p w14:paraId="694AF7E1" w14:textId="20347C36" w:rsidR="00C02C3D" w:rsidRPr="00F27A03" w:rsidRDefault="00C02C3D" w:rsidP="0065412F">
      <w:pPr>
        <w:spacing w:line="264" w:lineRule="auto"/>
        <w:rPr>
          <w:lang w:val="sr-Cyrl-CS"/>
        </w:rPr>
      </w:pPr>
      <w:r w:rsidRPr="00F27A03">
        <w:rPr>
          <w:lang w:val="sr-Cyrl-CS"/>
        </w:rPr>
        <w:t>У структури финансијског рачуна доминираће удео СДИ са учешћем у БДП од 5,4% просечно годишње. Овај прилив ће уједно бити главни извор финансирања дефицита текућег рачуна. Задржана повољна инвестициона перспектива наше земље и очекиван наставак високог прилива СДИ, као и њихова даља диверсификација ка сектору разменљивих добара, допринеће наставку раста извоза и јачању спољне и унутрашње макроекономске равнотеже.</w:t>
      </w:r>
    </w:p>
    <w:p w14:paraId="188DDBE4" w14:textId="77777777" w:rsidR="00363C14" w:rsidRPr="00F27A03" w:rsidRDefault="00363C14" w:rsidP="0065412F">
      <w:pPr>
        <w:spacing w:line="264" w:lineRule="auto"/>
        <w:rPr>
          <w:lang w:val="sr-Cyrl-CS"/>
        </w:rPr>
      </w:pPr>
    </w:p>
    <w:p w14:paraId="7C146AD8" w14:textId="77777777" w:rsidR="00C02C3D" w:rsidRPr="00F27A03" w:rsidRDefault="00C02C3D" w:rsidP="008527D6">
      <w:pPr>
        <w:jc w:val="center"/>
        <w:rPr>
          <w:rFonts w:cstheme="minorHAnsi"/>
          <w:b/>
          <w:color w:val="002060"/>
          <w:lang w:val="sr-Cyrl-CS"/>
        </w:rPr>
      </w:pPr>
      <w:r w:rsidRPr="00F27A03">
        <w:rPr>
          <w:rFonts w:cstheme="minorHAnsi"/>
          <w:b/>
          <w:color w:val="002060"/>
          <w:lang w:val="sr-Cyrl-CS"/>
        </w:rPr>
        <w:t>Дефицит текућег рачуна и СДИ, % БДП</w:t>
      </w:r>
    </w:p>
    <w:p w14:paraId="3653E731" w14:textId="77777777" w:rsidR="00C02C3D" w:rsidRPr="00F27A03" w:rsidRDefault="00C02C3D" w:rsidP="00E96528">
      <w:pPr>
        <w:spacing w:after="80"/>
        <w:jc w:val="center"/>
        <w:rPr>
          <w:rFonts w:cstheme="minorHAnsi"/>
          <w:lang w:val="sr-Cyrl-CS"/>
        </w:rPr>
      </w:pPr>
      <w:r w:rsidRPr="00F27A03">
        <w:rPr>
          <w:noProof/>
          <w:lang w:val="sr-Cyrl-RS" w:eastAsia="sr-Cyrl-RS"/>
        </w:rPr>
        <w:drawing>
          <wp:inline distT="0" distB="0" distL="0" distR="0" wp14:anchorId="4C9D0FFE" wp14:editId="407B6ECC">
            <wp:extent cx="2743200" cy="2015490"/>
            <wp:effectExtent l="0" t="0" r="0" b="3810"/>
            <wp:docPr id="69" name="Chart 69">
              <a:extLst xmlns:a="http://schemas.openxmlformats.org/drawingml/2006/main">
                <a:ext uri="{FF2B5EF4-FFF2-40B4-BE49-F238E27FC236}">
                  <a16:creationId xmlns:a16="http://schemas.microsoft.com/office/drawing/2014/main" id="{00000000-0008-0000-1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BD90D0E" w14:textId="77777777" w:rsidR="00C02C3D" w:rsidRPr="00F27A03" w:rsidRDefault="00C02C3D" w:rsidP="008527D6">
      <w:pPr>
        <w:rPr>
          <w:lang w:val="sr-Cyrl-CS"/>
        </w:rPr>
      </w:pPr>
      <w:r w:rsidRPr="00F27A03">
        <w:rPr>
          <w:rFonts w:cstheme="minorHAnsi"/>
          <w:sz w:val="16"/>
          <w:lang w:val="sr-Cyrl-CS"/>
        </w:rPr>
        <w:t>Извор: НБС и Министарство финансија</w:t>
      </w:r>
    </w:p>
    <w:p w14:paraId="60D6AC26" w14:textId="77777777" w:rsidR="00C02C3D" w:rsidRPr="00F27A03" w:rsidRDefault="00C02C3D" w:rsidP="00E96528">
      <w:pPr>
        <w:rPr>
          <w:lang w:val="sr-Cyrl-CS"/>
        </w:rPr>
      </w:pPr>
    </w:p>
    <w:p w14:paraId="26971462" w14:textId="77777777" w:rsidR="00C02C3D" w:rsidRPr="00F27A03" w:rsidRDefault="00C02C3D" w:rsidP="00E96528">
      <w:pPr>
        <w:rPr>
          <w:lang w:val="sr-Cyrl-CS"/>
        </w:rPr>
      </w:pPr>
    </w:p>
    <w:p w14:paraId="0CF5C0A2" w14:textId="77777777" w:rsidR="00C02C3D" w:rsidRPr="00F27A03" w:rsidRDefault="00C02C3D" w:rsidP="00E96528">
      <w:pPr>
        <w:rPr>
          <w:lang w:val="sr-Cyrl-CS"/>
        </w:rPr>
      </w:pPr>
    </w:p>
    <w:p w14:paraId="4AEBAFD6" w14:textId="77777777" w:rsidR="00C02C3D" w:rsidRPr="00F27A03" w:rsidRDefault="00C02C3D" w:rsidP="00E96528">
      <w:pPr>
        <w:rPr>
          <w:lang w:val="sr-Cyrl-CS"/>
        </w:rPr>
      </w:pPr>
    </w:p>
    <w:p w14:paraId="4EC58C4B" w14:textId="77777777" w:rsidR="00C02C3D" w:rsidRPr="00F27A03" w:rsidRDefault="00C02C3D" w:rsidP="00E96528">
      <w:pPr>
        <w:rPr>
          <w:lang w:val="sr-Cyrl-CS"/>
        </w:rPr>
      </w:pPr>
    </w:p>
    <w:p w14:paraId="0BA3F423" w14:textId="77777777" w:rsidR="00C02C3D" w:rsidRPr="00F27A03" w:rsidRDefault="00C02C3D" w:rsidP="008527D6">
      <w:pPr>
        <w:rPr>
          <w:rFonts w:eastAsia="Times New Roman" w:cstheme="minorHAnsi"/>
          <w:szCs w:val="24"/>
          <w:lang w:val="sr-Cyrl-CS"/>
        </w:rPr>
      </w:pPr>
    </w:p>
    <w:p w14:paraId="2BD9A2DB" w14:textId="77777777" w:rsidR="00C02C3D" w:rsidRPr="00F27A03" w:rsidRDefault="00C02C3D" w:rsidP="008527D6">
      <w:pPr>
        <w:rPr>
          <w:rFonts w:eastAsia="Times New Roman" w:cstheme="minorHAnsi"/>
          <w:szCs w:val="24"/>
          <w:lang w:val="sr-Cyrl-CS"/>
        </w:rPr>
      </w:pPr>
    </w:p>
    <w:p w14:paraId="5749719E" w14:textId="77777777" w:rsidR="00C02C3D" w:rsidRPr="00F27A03" w:rsidRDefault="00C02C3D" w:rsidP="008527D6">
      <w:pPr>
        <w:rPr>
          <w:rFonts w:eastAsia="Times New Roman" w:cstheme="minorHAnsi"/>
          <w:szCs w:val="24"/>
          <w:lang w:val="sr-Cyrl-CS"/>
        </w:rPr>
      </w:pPr>
    </w:p>
    <w:p w14:paraId="37988DDF" w14:textId="77777777" w:rsidR="00C02C3D" w:rsidRPr="00F27A03" w:rsidRDefault="00C02C3D" w:rsidP="008527D6">
      <w:pPr>
        <w:rPr>
          <w:rFonts w:eastAsia="Times New Roman" w:cstheme="minorHAnsi"/>
          <w:szCs w:val="24"/>
          <w:lang w:val="sr-Cyrl-CS"/>
        </w:rPr>
      </w:pPr>
    </w:p>
    <w:p w14:paraId="728764D2" w14:textId="77777777" w:rsidR="00C02C3D" w:rsidRPr="00F27A03" w:rsidRDefault="00C02C3D" w:rsidP="008527D6">
      <w:pPr>
        <w:rPr>
          <w:rFonts w:eastAsia="Times New Roman" w:cstheme="minorHAnsi"/>
          <w:szCs w:val="24"/>
          <w:lang w:val="sr-Cyrl-CS"/>
        </w:rPr>
      </w:pPr>
    </w:p>
    <w:p w14:paraId="4F33D110" w14:textId="77777777" w:rsidR="00C02C3D" w:rsidRPr="00F27A03" w:rsidRDefault="00C02C3D" w:rsidP="008527D6">
      <w:pPr>
        <w:rPr>
          <w:rFonts w:eastAsia="Times New Roman" w:cstheme="minorHAnsi"/>
          <w:szCs w:val="24"/>
          <w:lang w:val="sr-Cyrl-CS"/>
        </w:rPr>
      </w:pPr>
    </w:p>
    <w:p w14:paraId="11E8278F" w14:textId="77777777" w:rsidR="00C02C3D" w:rsidRPr="00F27A03" w:rsidRDefault="00C02C3D" w:rsidP="008527D6">
      <w:pPr>
        <w:rPr>
          <w:rFonts w:eastAsia="Times New Roman" w:cstheme="minorHAnsi"/>
          <w:szCs w:val="24"/>
          <w:lang w:val="sr-Cyrl-CS"/>
        </w:rPr>
      </w:pPr>
    </w:p>
    <w:p w14:paraId="12425D23" w14:textId="77777777" w:rsidR="00C02C3D" w:rsidRPr="00F27A03" w:rsidRDefault="00C02C3D" w:rsidP="008527D6">
      <w:pPr>
        <w:rPr>
          <w:rFonts w:eastAsia="Times New Roman" w:cstheme="minorHAnsi"/>
          <w:szCs w:val="24"/>
          <w:lang w:val="sr-Cyrl-CS"/>
        </w:rPr>
      </w:pPr>
    </w:p>
    <w:p w14:paraId="16FBC66F" w14:textId="77777777" w:rsidR="00C02C3D" w:rsidRPr="00F27A03" w:rsidRDefault="00C02C3D" w:rsidP="008527D6">
      <w:pPr>
        <w:rPr>
          <w:rFonts w:eastAsia="Times New Roman" w:cstheme="minorHAnsi"/>
          <w:szCs w:val="24"/>
          <w:lang w:val="sr-Cyrl-CS"/>
        </w:rPr>
      </w:pPr>
    </w:p>
    <w:p w14:paraId="53F84513" w14:textId="77777777" w:rsidR="00C02C3D" w:rsidRPr="00F27A03" w:rsidRDefault="00C02C3D" w:rsidP="008527D6">
      <w:pPr>
        <w:rPr>
          <w:rFonts w:eastAsia="Times New Roman" w:cstheme="minorHAnsi"/>
          <w:szCs w:val="24"/>
          <w:lang w:val="sr-Cyrl-CS"/>
        </w:rPr>
      </w:pPr>
    </w:p>
    <w:p w14:paraId="767EBEF1" w14:textId="77777777" w:rsidR="00C02C3D" w:rsidRPr="00F27A03" w:rsidRDefault="00C02C3D" w:rsidP="008527D6">
      <w:pPr>
        <w:rPr>
          <w:rFonts w:eastAsia="Times New Roman" w:cstheme="minorHAnsi"/>
          <w:szCs w:val="24"/>
          <w:lang w:val="sr-Cyrl-CS"/>
        </w:rPr>
      </w:pPr>
    </w:p>
    <w:p w14:paraId="777029F8" w14:textId="77777777" w:rsidR="00C02C3D" w:rsidRPr="00F27A03" w:rsidRDefault="00C02C3D" w:rsidP="008527D6">
      <w:pPr>
        <w:rPr>
          <w:rFonts w:eastAsia="Times New Roman" w:cstheme="minorHAnsi"/>
          <w:szCs w:val="24"/>
          <w:lang w:val="sr-Cyrl-CS"/>
        </w:rPr>
      </w:pPr>
    </w:p>
    <w:p w14:paraId="25070A34" w14:textId="77777777" w:rsidR="00C02C3D" w:rsidRPr="00F27A03" w:rsidRDefault="00C02C3D" w:rsidP="008527D6">
      <w:pPr>
        <w:rPr>
          <w:rFonts w:eastAsia="Times New Roman" w:cstheme="minorHAnsi"/>
          <w:szCs w:val="24"/>
          <w:lang w:val="sr-Cyrl-CS"/>
        </w:rPr>
      </w:pPr>
    </w:p>
    <w:p w14:paraId="1A1F3127" w14:textId="77777777" w:rsidR="00C02C3D" w:rsidRPr="00F27A03" w:rsidRDefault="00C02C3D" w:rsidP="008527D6">
      <w:pPr>
        <w:rPr>
          <w:rFonts w:eastAsia="Times New Roman" w:cstheme="minorHAnsi"/>
          <w:szCs w:val="24"/>
          <w:lang w:val="sr-Cyrl-CS"/>
        </w:rPr>
      </w:pPr>
    </w:p>
    <w:p w14:paraId="39AD6ADA" w14:textId="77777777" w:rsidR="00C02C3D" w:rsidRPr="00F27A03" w:rsidRDefault="00C02C3D" w:rsidP="008527D6">
      <w:pPr>
        <w:rPr>
          <w:rFonts w:eastAsia="Times New Roman" w:cstheme="minorHAnsi"/>
          <w:szCs w:val="24"/>
          <w:lang w:val="sr-Cyrl-CS"/>
        </w:rPr>
      </w:pPr>
    </w:p>
    <w:p w14:paraId="4CE90430" w14:textId="77777777" w:rsidR="00C02C3D" w:rsidRPr="00F27A03" w:rsidRDefault="00C02C3D" w:rsidP="008527D6">
      <w:pPr>
        <w:rPr>
          <w:rFonts w:eastAsia="Times New Roman" w:cstheme="minorHAnsi"/>
          <w:szCs w:val="24"/>
          <w:lang w:val="sr-Cyrl-CS"/>
        </w:rPr>
        <w:sectPr w:rsidR="00C02C3D" w:rsidRPr="00F27A03" w:rsidSect="0021538A">
          <w:headerReference w:type="default" r:id="rId87"/>
          <w:footerReference w:type="default" r:id="rId88"/>
          <w:type w:val="continuous"/>
          <w:pgSz w:w="12240" w:h="15840" w:code="1"/>
          <w:pgMar w:top="1440" w:right="1440" w:bottom="1440" w:left="1440" w:header="720" w:footer="720" w:gutter="0"/>
          <w:cols w:num="2" w:space="720"/>
          <w:docGrid w:linePitch="360"/>
          <w15:footnoteColumns w:val="1"/>
        </w:sectPr>
      </w:pPr>
    </w:p>
    <w:p w14:paraId="22527ADC" w14:textId="05C9C12A" w:rsidR="00E45081" w:rsidRPr="00F27A03" w:rsidRDefault="00E45081">
      <w:pPr>
        <w:jc w:val="left"/>
        <w:rPr>
          <w:lang w:val="sr-Cyrl-CS"/>
        </w:rPr>
      </w:pPr>
      <w:r w:rsidRPr="00F27A03">
        <w:rPr>
          <w:lang w:val="sr-Cyrl-CS"/>
        </w:rPr>
        <w:br w:type="page"/>
      </w:r>
    </w:p>
    <w:p w14:paraId="1BD2AFFE" w14:textId="77777777" w:rsidR="00603DF0" w:rsidRPr="00F27A03" w:rsidRDefault="00603DF0" w:rsidP="00D35692">
      <w:pPr>
        <w:keepNext/>
        <w:keepLines/>
        <w:spacing w:before="240" w:after="0"/>
        <w:jc w:val="center"/>
        <w:outlineLvl w:val="0"/>
        <w:rPr>
          <w:rFonts w:eastAsiaTheme="majorEastAsia" w:cstheme="minorHAnsi"/>
          <w:b/>
          <w:color w:val="2F5496" w:themeColor="accent1" w:themeShade="BF"/>
          <w:sz w:val="24"/>
          <w:szCs w:val="24"/>
          <w:lang w:val="sr-Cyrl-CS"/>
        </w:rPr>
      </w:pPr>
      <w:bookmarkStart w:id="8" w:name="_Toc11155989"/>
      <w:bookmarkStart w:id="9" w:name="_Toc56667074"/>
      <w:bookmarkStart w:id="10" w:name="_Toc86923720"/>
      <w:bookmarkStart w:id="11" w:name="_Toc119326592"/>
      <w:bookmarkStart w:id="12" w:name="_Toc57013542"/>
      <w:bookmarkStart w:id="13" w:name="_Toc23342461"/>
      <w:bookmarkStart w:id="14" w:name="_Toc530041993"/>
      <w:r w:rsidRPr="00F27A03">
        <w:rPr>
          <w:rFonts w:eastAsiaTheme="majorEastAsia" w:cstheme="minorHAnsi"/>
          <w:b/>
          <w:color w:val="2F5496" w:themeColor="accent1" w:themeShade="BF"/>
          <w:sz w:val="24"/>
          <w:szCs w:val="24"/>
          <w:lang w:val="sr-Cyrl-CS"/>
        </w:rPr>
        <w:lastRenderedPageBreak/>
        <w:t>II. ФИСКАЛНИ ОКВИР ЗА ПЕРИОД ОД 2023. ДО 2025. ГОДИНЕ</w:t>
      </w:r>
      <w:bookmarkStart w:id="15" w:name="_Toc528909823"/>
      <w:bookmarkStart w:id="16" w:name="_Toc530635104"/>
      <w:bookmarkEnd w:id="8"/>
      <w:bookmarkEnd w:id="9"/>
      <w:bookmarkEnd w:id="10"/>
      <w:bookmarkEnd w:id="11"/>
    </w:p>
    <w:p w14:paraId="7CB662A9" w14:textId="77777777" w:rsidR="00603DF0" w:rsidRPr="00F27A03" w:rsidRDefault="00603DF0" w:rsidP="00D35692">
      <w:pPr>
        <w:keepNext/>
        <w:keepLines/>
        <w:spacing w:before="40" w:after="360"/>
        <w:jc w:val="center"/>
        <w:outlineLvl w:val="1"/>
        <w:rPr>
          <w:rFonts w:eastAsiaTheme="majorEastAsia" w:cstheme="minorHAnsi"/>
          <w:b/>
          <w:color w:val="2F5496" w:themeColor="accent1" w:themeShade="BF"/>
          <w:sz w:val="24"/>
          <w:szCs w:val="26"/>
          <w:lang w:val="sr-Cyrl-CS"/>
        </w:rPr>
      </w:pPr>
      <w:bookmarkStart w:id="17" w:name="_Toc11155990"/>
      <w:bookmarkStart w:id="18" w:name="_Toc56667075"/>
      <w:bookmarkStart w:id="19" w:name="_Toc86923721"/>
      <w:bookmarkStart w:id="20" w:name="_Toc119326593"/>
      <w:r w:rsidRPr="00F27A03">
        <w:rPr>
          <w:rFonts w:eastAsiaTheme="majorEastAsia" w:cstheme="minorHAnsi"/>
          <w:b/>
          <w:color w:val="2F5496" w:themeColor="accent1" w:themeShade="BF"/>
          <w:sz w:val="24"/>
          <w:szCs w:val="26"/>
          <w:lang w:val="sr-Cyrl-CS"/>
        </w:rPr>
        <w:t xml:space="preserve">1. </w:t>
      </w:r>
      <w:bookmarkEnd w:id="15"/>
      <w:r w:rsidRPr="00F27A03">
        <w:rPr>
          <w:rFonts w:eastAsiaTheme="majorEastAsia" w:cstheme="minorHAnsi"/>
          <w:b/>
          <w:color w:val="2F5496" w:themeColor="accent1" w:themeShade="BF"/>
          <w:sz w:val="24"/>
          <w:szCs w:val="26"/>
          <w:lang w:val="sr-Cyrl-CS"/>
        </w:rPr>
        <w:t>Средњорочни циљеви фискалне политике</w:t>
      </w:r>
      <w:bookmarkEnd w:id="16"/>
      <w:bookmarkEnd w:id="17"/>
      <w:bookmarkEnd w:id="18"/>
      <w:bookmarkEnd w:id="19"/>
      <w:bookmarkEnd w:id="20"/>
    </w:p>
    <w:p w14:paraId="7BF3E0DB" w14:textId="77777777" w:rsidR="00603DF0" w:rsidRPr="00F27A03" w:rsidRDefault="00603DF0" w:rsidP="000A125C">
      <w:pPr>
        <w:rPr>
          <w:rFonts w:ascii="Calibri" w:hAnsi="Calibri" w:cs="Calibri"/>
          <w:bCs/>
          <w:szCs w:val="20"/>
          <w:lang w:val="sr-Cyrl-CS"/>
        </w:rPr>
        <w:sectPr w:rsidR="00603DF0" w:rsidRPr="00F27A03" w:rsidSect="00A42963">
          <w:headerReference w:type="even" r:id="rId89"/>
          <w:headerReference w:type="default" r:id="rId90"/>
          <w:footerReference w:type="even" r:id="rId91"/>
          <w:footerReference w:type="default" r:id="rId92"/>
          <w:headerReference w:type="first" r:id="rId93"/>
          <w:type w:val="continuous"/>
          <w:pgSz w:w="12240" w:h="15840" w:code="1"/>
          <w:pgMar w:top="1418" w:right="1418" w:bottom="1418" w:left="1418" w:header="720" w:footer="720" w:gutter="0"/>
          <w:cols w:space="720"/>
          <w:docGrid w:linePitch="272"/>
        </w:sectPr>
      </w:pPr>
    </w:p>
    <w:p w14:paraId="56062E50" w14:textId="77777777" w:rsidR="00603DF0" w:rsidRPr="00F27A03" w:rsidRDefault="00603DF0" w:rsidP="000A125C">
      <w:pPr>
        <w:rPr>
          <w:rFonts w:ascii="Calibri" w:hAnsi="Calibri" w:cs="Calibri"/>
          <w:bCs/>
          <w:szCs w:val="20"/>
          <w:lang w:val="sr-Cyrl-CS"/>
        </w:rPr>
      </w:pPr>
      <w:r w:rsidRPr="00F27A03">
        <w:rPr>
          <w:rFonts w:ascii="Calibri" w:hAnsi="Calibri" w:cs="Calibri"/>
          <w:bCs/>
          <w:szCs w:val="20"/>
          <w:lang w:val="sr-Cyrl-CS"/>
        </w:rPr>
        <w:t>Смиривање пандемије коронавируса, висока инфлација изазвана кризом на међународним тржиштима енергије и сировина и сукоб у Украјини обележили су 2022. годину у свету, уз опасност да неизвесност и криза потрају дужи временски период. У таквој ситуацији задатак економске и фискалне политике је да обезбеди стабилност привредних токова и очува стандард грађана.</w:t>
      </w:r>
    </w:p>
    <w:p w14:paraId="462B9D89" w14:textId="77777777" w:rsidR="00603DF0" w:rsidRPr="00F27A03" w:rsidRDefault="00603DF0" w:rsidP="00A42963">
      <w:pPr>
        <w:rPr>
          <w:rFonts w:ascii="Calibri" w:hAnsi="Calibri" w:cs="Calibri"/>
          <w:bCs/>
          <w:szCs w:val="20"/>
          <w:lang w:val="sr-Cyrl-CS"/>
        </w:rPr>
      </w:pPr>
      <w:r w:rsidRPr="00F27A03">
        <w:rPr>
          <w:rFonts w:ascii="Calibri" w:hAnsi="Calibri" w:cs="Calibri"/>
          <w:bCs/>
          <w:szCs w:val="20"/>
          <w:lang w:val="sr-Cyrl-CS"/>
        </w:rPr>
        <w:t>Током 2022. године већ су покренуте одређене мере у правцу спречавања већих шокова који би били изазвани растом цена енергената и хране, као што су субвенционисање цене гаса, привремено смањење акциза на нафтне деривате и контрола цена основних животних намирница.</w:t>
      </w:r>
    </w:p>
    <w:p w14:paraId="12476EE2" w14:textId="77777777" w:rsidR="00603DF0" w:rsidRPr="00F27A03" w:rsidRDefault="00603DF0" w:rsidP="000A125C">
      <w:pPr>
        <w:rPr>
          <w:rFonts w:ascii="Calibri" w:hAnsi="Calibri" w:cs="Calibri"/>
          <w:bCs/>
          <w:szCs w:val="20"/>
          <w:lang w:val="sr-Cyrl-CS"/>
        </w:rPr>
      </w:pPr>
      <w:r w:rsidRPr="00F27A03">
        <w:rPr>
          <w:rFonts w:ascii="Calibri" w:hAnsi="Calibri" w:cs="Calibri"/>
          <w:bCs/>
          <w:szCs w:val="20"/>
          <w:lang w:val="sr-Cyrl-CS"/>
        </w:rPr>
        <w:t>Планирање економске и, посебно, фискалне политике, у наредном периоду, првенствено ће зависити од процене ефеката украјинске кризе на међународно окружење и домаће прилике. Опредељење је да се и поред неповољне ситуације иде на уравнотежење и стабилизацију јавних финансија, како би се смањило учешће јавног дуга у БДП и створиле основе за стабилан привредни раст. Паралелно са тим потребно је обезбедити простор за правовремену реакцију фискалне политике на економске шокове. Евентуална фискална интервенција државе у циљу минимизирања ефеката кризе свакако ће бити комбинована са настојањима да се не зауставе развојни програми и инфраструктурни пројекти финансирани из буџета.</w:t>
      </w:r>
    </w:p>
    <w:p w14:paraId="59758CF9" w14:textId="77777777" w:rsidR="00603DF0" w:rsidRPr="00F27A03" w:rsidRDefault="00603DF0" w:rsidP="000A125C">
      <w:pPr>
        <w:rPr>
          <w:rFonts w:ascii="Calibri" w:hAnsi="Calibri" w:cs="Calibri"/>
          <w:bCs/>
          <w:szCs w:val="20"/>
          <w:lang w:val="sr-Cyrl-CS"/>
        </w:rPr>
      </w:pPr>
      <w:r w:rsidRPr="00F27A03">
        <w:rPr>
          <w:rFonts w:ascii="Calibri" w:hAnsi="Calibri" w:cs="Calibri"/>
          <w:bCs/>
          <w:szCs w:val="20"/>
          <w:lang w:val="sr-Cyrl-CS"/>
        </w:rPr>
        <w:t xml:space="preserve">Средњорочни фискални оквир предвиђа умерено напуштање експанзивне фискалне политике која је била присутна током пандемије, с тим да ће и у наредном периоду значајан део буџетских </w:t>
      </w:r>
      <w:r w:rsidRPr="00F27A03">
        <w:rPr>
          <w:rFonts w:ascii="Calibri" w:hAnsi="Calibri" w:cs="Calibri"/>
          <w:bCs/>
          <w:szCs w:val="20"/>
          <w:lang w:val="sr-Cyrl-CS"/>
        </w:rPr>
        <w:t>средстава бити опредељен за ублажавање енергетске кризе. С обзиром на неизвесну економску ситуацију, буџет ће свакако представљати „сигурносну мрежу” у случају ескалације неповољних кретања. Са једне стране обезбедиће се континуитет развојних и социјалних програма, а са друге стране одрживост јавних финансија и наставак смањења нивоа јавног дуга у смислу учешћа у БДП. Имајући у виду очекивана макроекономска кретања, предвиђени годишњи фискални дефицити омогућавају смањење учешћа дуга опште државе у БДП и у наредном периоду.</w:t>
      </w:r>
    </w:p>
    <w:p w14:paraId="0DAE0121" w14:textId="77777777" w:rsidR="00603DF0" w:rsidRPr="00F27A03" w:rsidRDefault="00603DF0" w:rsidP="000A125C">
      <w:pPr>
        <w:rPr>
          <w:rFonts w:ascii="Calibri" w:hAnsi="Calibri" w:cs="Calibri"/>
          <w:bCs/>
          <w:szCs w:val="20"/>
          <w:lang w:val="sr-Cyrl-CS"/>
        </w:rPr>
      </w:pPr>
      <w:r w:rsidRPr="00F27A03">
        <w:rPr>
          <w:rFonts w:ascii="Calibri" w:hAnsi="Calibri" w:cs="Calibri"/>
          <w:bCs/>
          <w:szCs w:val="20"/>
          <w:lang w:val="sr-Cyrl-CS"/>
        </w:rPr>
        <w:t>Фискална политика ће у наредном периоду бити фокусирана, у складу са расположивим фискалним простором, на даље смањење укупног пореског оптерећења рада чиме се додатно растерећује привреда, односно повећава конкурентност приватног сектора. На расходној страни, приоритет ће имати инфраструктурни и капитални пројекти, те политика пензија и плата. При томе ће се водити рачуна да се повећањем ових, највећих, категорија расхода не изађе из планираног одрживог оквира.</w:t>
      </w:r>
    </w:p>
    <w:p w14:paraId="676E0C34" w14:textId="77777777" w:rsidR="00603DF0" w:rsidRPr="00F27A03" w:rsidRDefault="00603DF0" w:rsidP="000A125C">
      <w:pPr>
        <w:rPr>
          <w:rFonts w:ascii="Calibri" w:hAnsi="Calibri" w:cs="Calibri"/>
          <w:bCs/>
          <w:szCs w:val="20"/>
          <w:lang w:val="sr-Cyrl-CS"/>
        </w:rPr>
      </w:pPr>
      <w:r w:rsidRPr="00F27A03">
        <w:rPr>
          <w:rFonts w:ascii="Calibri" w:hAnsi="Calibri" w:cs="Calibri"/>
          <w:bCs/>
          <w:szCs w:val="20"/>
          <w:lang w:val="sr-Cyrl-CS"/>
        </w:rPr>
        <w:t>Стабилности јавних финансија и одрживом фискалном оквиру допринеће планиране измене Закона о буџетском систему, којима ће, између осталог, бити редизајниран скуп фискалних правила, општих и посебних, те дефинисане посебне мере и консеквенце у случају њиховог непоштовања. Посебан акценат је стављен на измену општих правила која се односе на јавни дуг и дефицит опште државе, те посебних правила везаних за одрживи ниво расхода за плате и пензије.</w:t>
      </w:r>
    </w:p>
    <w:bookmarkEnd w:id="12"/>
    <w:bookmarkEnd w:id="13"/>
    <w:bookmarkEnd w:id="14"/>
    <w:p w14:paraId="03D71018" w14:textId="77777777" w:rsidR="00603DF0" w:rsidRPr="00F27A03" w:rsidRDefault="00603DF0" w:rsidP="00E124CF">
      <w:pPr>
        <w:rPr>
          <w:lang w:val="sr-Cyrl-CS" w:eastAsia="ja-JP"/>
        </w:rPr>
        <w:sectPr w:rsidR="00603DF0" w:rsidRPr="00F27A03" w:rsidSect="00A42963">
          <w:headerReference w:type="even" r:id="rId94"/>
          <w:headerReference w:type="default" r:id="rId95"/>
          <w:footerReference w:type="even" r:id="rId96"/>
          <w:footerReference w:type="default" r:id="rId97"/>
          <w:headerReference w:type="first" r:id="rId98"/>
          <w:type w:val="continuous"/>
          <w:pgSz w:w="12240" w:h="15840" w:code="1"/>
          <w:pgMar w:top="1440" w:right="1440" w:bottom="1440" w:left="1440" w:header="720" w:footer="720" w:gutter="0"/>
          <w:cols w:num="2" w:space="720"/>
          <w:docGrid w:linePitch="360"/>
          <w15:footnoteColumns w:val="1"/>
        </w:sectPr>
      </w:pPr>
    </w:p>
    <w:p w14:paraId="642F90F8" w14:textId="77777777" w:rsidR="00603DF0" w:rsidRPr="00F27A03" w:rsidRDefault="00603DF0" w:rsidP="00A42963">
      <w:pPr>
        <w:rPr>
          <w:lang w:val="sr-Cyrl-CS"/>
        </w:rPr>
      </w:pPr>
    </w:p>
    <w:p w14:paraId="7F2E4157" w14:textId="77777777" w:rsidR="00E45081" w:rsidRPr="00F27A03" w:rsidRDefault="00E45081">
      <w:pPr>
        <w:jc w:val="left"/>
        <w:rPr>
          <w:lang w:val="sr-Cyrl-CS"/>
        </w:rPr>
      </w:pPr>
    </w:p>
    <w:p w14:paraId="040ED1B9" w14:textId="6B02542D" w:rsidR="00E45081" w:rsidRPr="00F27A03" w:rsidRDefault="00E45081">
      <w:pPr>
        <w:jc w:val="left"/>
        <w:rPr>
          <w:lang w:val="sr-Cyrl-CS"/>
        </w:rPr>
      </w:pPr>
      <w:r w:rsidRPr="00F27A03">
        <w:rPr>
          <w:lang w:val="sr-Cyrl-CS"/>
        </w:rPr>
        <w:br w:type="page"/>
      </w:r>
    </w:p>
    <w:p w14:paraId="54CE8EDF" w14:textId="53D92543" w:rsidR="00ED5386" w:rsidRPr="00F27A03" w:rsidRDefault="00AF48C6" w:rsidP="00175A7F">
      <w:pPr>
        <w:keepNext/>
        <w:keepLines/>
        <w:spacing w:after="360"/>
        <w:jc w:val="center"/>
        <w:outlineLvl w:val="1"/>
        <w:rPr>
          <w:rFonts w:eastAsia="MS PGothic" w:cstheme="minorHAnsi"/>
          <w:b/>
          <w:color w:val="2F5496" w:themeColor="accent1" w:themeShade="BF"/>
          <w:sz w:val="24"/>
          <w:szCs w:val="26"/>
          <w:lang w:val="sr-Cyrl-CS" w:eastAsia="ja-JP"/>
        </w:rPr>
      </w:pPr>
      <w:bookmarkStart w:id="21" w:name="_Toc73364969"/>
      <w:bookmarkStart w:id="22" w:name="_Toc119326594"/>
      <w:bookmarkStart w:id="23" w:name="_Toc11155993"/>
      <w:r w:rsidRPr="00F27A03">
        <w:rPr>
          <w:rFonts w:eastAsia="MS PGothic" w:cstheme="minorHAnsi"/>
          <w:b/>
          <w:color w:val="2F5496" w:themeColor="accent1" w:themeShade="BF"/>
          <w:sz w:val="24"/>
          <w:szCs w:val="26"/>
          <w:lang w:val="sr-Cyrl-CS" w:eastAsia="ja-JP"/>
        </w:rPr>
        <w:lastRenderedPageBreak/>
        <w:t>2</w:t>
      </w:r>
      <w:r w:rsidR="00ED5386" w:rsidRPr="00F27A03">
        <w:rPr>
          <w:rFonts w:eastAsia="MS PGothic" w:cstheme="minorHAnsi"/>
          <w:b/>
          <w:color w:val="2F5496" w:themeColor="accent1" w:themeShade="BF"/>
          <w:sz w:val="24"/>
          <w:szCs w:val="26"/>
          <w:lang w:val="sr-Cyrl-CS" w:eastAsia="ja-JP"/>
        </w:rPr>
        <w:t>. Текућа фискална кретања и изгледи за 2022. годину</w:t>
      </w:r>
      <w:bookmarkEnd w:id="21"/>
      <w:bookmarkEnd w:id="22"/>
    </w:p>
    <w:p w14:paraId="0B1B29F6" w14:textId="77777777" w:rsidR="00CE7EDF" w:rsidRPr="00F27A03" w:rsidRDefault="00CE7EDF" w:rsidP="00ED5386">
      <w:pPr>
        <w:keepNext/>
        <w:keepLines/>
        <w:jc w:val="center"/>
        <w:outlineLvl w:val="1"/>
        <w:rPr>
          <w:rFonts w:eastAsia="MS PGothic" w:cstheme="minorHAnsi"/>
          <w:b/>
          <w:color w:val="2F5496" w:themeColor="accent1" w:themeShade="BF"/>
          <w:sz w:val="24"/>
          <w:szCs w:val="26"/>
          <w:lang w:val="sr-Cyrl-CS" w:eastAsia="ja-JP"/>
        </w:rPr>
        <w:sectPr w:rsidR="00CE7EDF" w:rsidRPr="00F27A03" w:rsidSect="00ED5386">
          <w:headerReference w:type="even" r:id="rId99"/>
          <w:headerReference w:type="default" r:id="rId100"/>
          <w:footerReference w:type="even" r:id="rId101"/>
          <w:footerReference w:type="default" r:id="rId102"/>
          <w:headerReference w:type="first" r:id="rId103"/>
          <w:type w:val="continuous"/>
          <w:pgSz w:w="12240" w:h="15840" w:code="1"/>
          <w:pgMar w:top="1440" w:right="1440" w:bottom="1440" w:left="1440" w:header="720" w:footer="720" w:gutter="0"/>
          <w:cols w:space="720"/>
          <w:docGrid w:linePitch="360"/>
        </w:sectPr>
      </w:pPr>
    </w:p>
    <w:p w14:paraId="134BF60E" w14:textId="22EC5B87" w:rsidR="00ED5386" w:rsidRPr="00F27A03" w:rsidRDefault="00ED5386" w:rsidP="00ED5386">
      <w:pPr>
        <w:spacing w:after="120"/>
        <w:rPr>
          <w:rFonts w:eastAsia="MS PGothic" w:cstheme="minorHAnsi"/>
          <w:szCs w:val="20"/>
          <w:lang w:val="sr-Cyrl-CS" w:eastAsia="ja-JP"/>
        </w:rPr>
      </w:pPr>
      <w:r w:rsidRPr="00F27A03">
        <w:rPr>
          <w:rFonts w:eastAsia="MS PGothic" w:cstheme="minorHAnsi"/>
          <w:b/>
          <w:szCs w:val="20"/>
          <w:lang w:val="sr-Cyrl-CS" w:eastAsia="ja-JP"/>
        </w:rPr>
        <w:t>Фискални оквир за 2022. годину планиран је у околностима постепеног изласка из здравствено-економске к</w:t>
      </w:r>
      <w:r w:rsidR="004B3880" w:rsidRPr="00F27A03">
        <w:rPr>
          <w:rFonts w:eastAsia="MS PGothic" w:cstheme="minorHAnsi"/>
          <w:b/>
          <w:szCs w:val="20"/>
          <w:lang w:val="sr-Cyrl-CS" w:eastAsia="ja-JP"/>
        </w:rPr>
        <w:t>ризе изазване пандемијом корона</w:t>
      </w:r>
      <w:r w:rsidRPr="00F27A03">
        <w:rPr>
          <w:rFonts w:eastAsia="MS PGothic" w:cstheme="minorHAnsi"/>
          <w:b/>
          <w:szCs w:val="20"/>
          <w:lang w:val="sr-Cyrl-CS" w:eastAsia="ja-JP"/>
        </w:rPr>
        <w:t xml:space="preserve">вируса. </w:t>
      </w:r>
      <w:r w:rsidRPr="00F27A03">
        <w:rPr>
          <w:rFonts w:eastAsia="MS PGothic" w:cstheme="minorHAnsi"/>
          <w:bCs/>
          <w:szCs w:val="20"/>
          <w:lang w:val="sr-Cyrl-CS" w:eastAsia="ja-JP"/>
        </w:rPr>
        <w:t xml:space="preserve">Крајем 2021. године забележени су веома добри резултати у наплати скоро свих приходних облика, што је условило значајне ревизије пројекције навише током године. Ипак, пројекцији прихода за 2022. годину приступило се опрезно. Током 2021. године спровођен је програм економске помоћи становништву и привреди, а дошло је и до промена у понашању потрошача, те је у односу на пред-пандемијски период смањено прекогранично кретање становништва, повећана потрошња на домаћем тржишту, промењене су навике у коришћењу саобраћајних средстава и повећана потрошња производа код којих је мање изражена сива економија. </w:t>
      </w:r>
      <w:r w:rsidRPr="00F27A03">
        <w:rPr>
          <w:rFonts w:eastAsia="MS PGothic" w:cstheme="minorHAnsi"/>
          <w:szCs w:val="20"/>
          <w:lang w:val="sr-Cyrl-CS" w:eastAsia="ja-JP"/>
        </w:rPr>
        <w:t xml:space="preserve">У обзир су узети и процењени ефекти наплате одложених пореских обавеза, као и ефекти наставка процеса смањења пореског оптерећења зарада. На крају, услед неизвесности у погледу даљег тока пандемије </w:t>
      </w:r>
      <w:r w:rsidR="00063949" w:rsidRPr="00F27A03">
        <w:rPr>
          <w:rFonts w:eastAsia="MS PGothic" w:cstheme="minorHAnsi"/>
          <w:szCs w:val="20"/>
          <w:lang w:val="sr-Cyrl-CS" w:eastAsia="ja-JP"/>
        </w:rPr>
        <w:t>COVID</w:t>
      </w:r>
      <w:r w:rsidRPr="00F27A03">
        <w:rPr>
          <w:rFonts w:eastAsia="MS PGothic" w:cstheme="minorHAnsi"/>
          <w:szCs w:val="20"/>
          <w:lang w:val="sr-Cyrl-CS" w:eastAsia="ja-JP"/>
        </w:rPr>
        <w:t>-19 приходи су конзервативно пројектовани како би у случају реализације негативних ризика, одступање наниже било минима</w:t>
      </w:r>
      <w:r w:rsidR="00E24E9F" w:rsidRPr="00F27A03">
        <w:rPr>
          <w:rFonts w:eastAsia="MS PGothic" w:cstheme="minorHAnsi"/>
          <w:szCs w:val="20"/>
          <w:lang w:val="sr-Cyrl-CS" w:eastAsia="ja-JP"/>
        </w:rPr>
        <w:t>лно.</w:t>
      </w:r>
    </w:p>
    <w:p w14:paraId="642B1FEC" w14:textId="1EBDC28E" w:rsidR="00ED5386" w:rsidRPr="00F27A03" w:rsidRDefault="00ED5386" w:rsidP="00ED5386">
      <w:pPr>
        <w:spacing w:after="120"/>
        <w:rPr>
          <w:rFonts w:eastAsia="MS PGothic" w:cstheme="minorHAnsi"/>
          <w:szCs w:val="20"/>
          <w:lang w:val="sr-Cyrl-CS" w:eastAsia="ja-JP"/>
        </w:rPr>
      </w:pPr>
      <w:r w:rsidRPr="00F27A03">
        <w:rPr>
          <w:rFonts w:eastAsia="MS PGothic" w:cstheme="minorHAnsi"/>
          <w:b/>
          <w:szCs w:val="20"/>
          <w:lang w:val="sr-Cyrl-CS" w:eastAsia="ja-JP"/>
        </w:rPr>
        <w:t>Политичко и економско окружење у коме је планиран фискални оквир за 2022. годину значајно је измењено.</w:t>
      </w:r>
      <w:r w:rsidRPr="00F27A03">
        <w:rPr>
          <w:rFonts w:eastAsia="MS PGothic" w:cstheme="minorHAnsi"/>
          <w:bCs/>
          <w:szCs w:val="20"/>
          <w:lang w:val="sr-Cyrl-CS" w:eastAsia="ja-JP"/>
        </w:rPr>
        <w:t xml:space="preserve"> </w:t>
      </w:r>
      <w:r w:rsidRPr="00F27A03">
        <w:rPr>
          <w:rFonts w:eastAsia="MS PGothic" w:cstheme="minorHAnsi"/>
          <w:szCs w:val="20"/>
          <w:lang w:val="sr-Cyrl-CS" w:eastAsia="ja-JP"/>
        </w:rPr>
        <w:t xml:space="preserve">Оружани конфликт у Украјини, довео је, поред осталог, до повећања неизвесности у пословању, као и до прекида традиционалних економских токова, нарочито на пољу снабдевања енергентима. Тренд повећања цена природног гаса, електричне енергије и нафте присутан је </w:t>
      </w:r>
      <w:r w:rsidR="00B11235" w:rsidRPr="00F27A03">
        <w:rPr>
          <w:rFonts w:eastAsia="MS PGothic" w:cstheme="minorHAnsi"/>
          <w:szCs w:val="20"/>
          <w:lang w:val="sr-Cyrl-CS" w:eastAsia="ja-JP"/>
        </w:rPr>
        <w:t>био већ</w:t>
      </w:r>
      <w:r w:rsidRPr="00F27A03">
        <w:rPr>
          <w:rFonts w:eastAsia="MS PGothic" w:cstheme="minorHAnsi"/>
          <w:szCs w:val="20"/>
          <w:lang w:val="sr-Cyrl-CS" w:eastAsia="ja-JP"/>
        </w:rPr>
        <w:t xml:space="preserve"> у другој половини 2021. године, али је током 2022. године значајно ескалирао. Повећану неизвесност уноси и нередовност у снабдевању енергентима</w:t>
      </w:r>
      <w:r w:rsidR="00B11235" w:rsidRPr="00F27A03">
        <w:rPr>
          <w:rFonts w:eastAsia="MS PGothic" w:cstheme="minorHAnsi"/>
          <w:szCs w:val="20"/>
          <w:lang w:val="sr-Cyrl-CS" w:eastAsia="ja-JP"/>
        </w:rPr>
        <w:t>,</w:t>
      </w:r>
      <w:r w:rsidRPr="00F27A03">
        <w:rPr>
          <w:rFonts w:eastAsia="MS PGothic" w:cstheme="minorHAnsi"/>
          <w:szCs w:val="20"/>
          <w:lang w:val="sr-Cyrl-CS" w:eastAsia="ja-JP"/>
        </w:rPr>
        <w:t xml:space="preserve"> што додатно утиче на цене. Долази до општег повећања цена на међународном нивоу, при чему се монетарне власти одлучују на заоштравање политике и подизање општих каматних стопа. У перспективи то утиче на неповољније изгледе раста привредне активности.</w:t>
      </w:r>
    </w:p>
    <w:p w14:paraId="65747A59" w14:textId="77777777" w:rsidR="00ED5386" w:rsidRPr="00F27A03" w:rsidRDefault="00ED5386" w:rsidP="00ED5386">
      <w:pPr>
        <w:spacing w:after="120"/>
        <w:rPr>
          <w:rFonts w:eastAsia="MS PGothic" w:cstheme="minorHAnsi"/>
          <w:szCs w:val="20"/>
          <w:lang w:val="sr-Cyrl-CS" w:eastAsia="ja-JP"/>
        </w:rPr>
      </w:pPr>
    </w:p>
    <w:p w14:paraId="04A113A0" w14:textId="5B1D05BE" w:rsidR="00ED5386" w:rsidRPr="00F27A03" w:rsidRDefault="00ED5386" w:rsidP="00ED5386">
      <w:pPr>
        <w:spacing w:after="120"/>
        <w:rPr>
          <w:rFonts w:eastAsia="MS PGothic" w:cstheme="minorHAnsi"/>
          <w:b/>
          <w:szCs w:val="20"/>
          <w:lang w:val="sr-Cyrl-CS" w:eastAsia="ja-JP"/>
        </w:rPr>
      </w:pPr>
      <w:r w:rsidRPr="00F27A03">
        <w:rPr>
          <w:rFonts w:eastAsia="MS PGothic" w:cstheme="minorHAnsi"/>
          <w:b/>
          <w:szCs w:val="20"/>
          <w:lang w:val="sr-Cyrl-CS" w:eastAsia="ja-JP"/>
        </w:rPr>
        <w:t>Промене у међународном окружењу утичу на привредну активност и јавне финансије у Републици Србији.</w:t>
      </w:r>
      <w:r w:rsidRPr="00F27A03">
        <w:rPr>
          <w:rFonts w:eastAsia="MS PGothic" w:cstheme="minorHAnsi"/>
          <w:szCs w:val="20"/>
          <w:lang w:val="sr-Cyrl-CS" w:eastAsia="ja-JP"/>
        </w:rPr>
        <w:t xml:space="preserve"> Процена раста привредне активности у 2022. години, ревидирана је наниже за 1,5 п</w:t>
      </w:r>
      <w:r w:rsidR="00BC6F6C" w:rsidRPr="00F27A03">
        <w:rPr>
          <w:rFonts w:eastAsia="MS PGothic" w:cstheme="minorHAnsi"/>
          <w:szCs w:val="20"/>
          <w:lang w:val="sr-Cyrl-CS" w:eastAsia="ja-JP"/>
        </w:rPr>
        <w:t>.п.</w:t>
      </w:r>
      <w:r w:rsidRPr="00F27A03">
        <w:rPr>
          <w:rFonts w:eastAsia="MS PGothic" w:cstheme="minorHAnsi"/>
          <w:szCs w:val="20"/>
          <w:lang w:val="sr-Cyrl-CS" w:eastAsia="ja-JP"/>
        </w:rPr>
        <w:t xml:space="preserve"> у односу на оригинални план, а раст је ревидиран наниже и у средњем року. Упркос успоравању економске активности, на тржишту радне снаге нема изражених негативних тенденција што резултира стабилном наплатом пореза на рад. Инфлација има тренутне ефекте на кретање номиналног износа пореза на потрошњу у смислу њиховог бржег раста. Истовремено, на раст наплате прихода утиче и знатно бржи раст дохотка становништва, што је потврђено реалним растом потрошње током прва три квартала 2022</w:t>
      </w:r>
      <w:r w:rsidR="00BC6F6C" w:rsidRPr="00F27A03">
        <w:rPr>
          <w:rFonts w:eastAsia="MS PGothic" w:cstheme="minorHAnsi"/>
          <w:szCs w:val="20"/>
          <w:lang w:val="sr-Cyrl-CS" w:eastAsia="ja-JP"/>
        </w:rPr>
        <w:t>.</w:t>
      </w:r>
      <w:r w:rsidRPr="00F27A03">
        <w:rPr>
          <w:rFonts w:eastAsia="MS PGothic" w:cstheme="minorHAnsi"/>
          <w:szCs w:val="20"/>
          <w:lang w:val="sr-Cyrl-CS" w:eastAsia="ja-JP"/>
        </w:rPr>
        <w:t xml:space="preserve"> године. Приходи буџета у 2022. години изнад су очекиваних, а вишак прихода искоришћен је за набавку енергената и обуздавање раста цена уз минималан утицај на стандард становништва, као и на мере смањења акцизног оптерећења нафтних деривата. Истовремено, операционализују се мере популационе политике донете почетком 2022. године, повећане су субвенције у пољопривреди, као исплаћена помоћ одређеним категоријама становништва.</w:t>
      </w:r>
    </w:p>
    <w:p w14:paraId="327A87DD" w14:textId="77777777" w:rsidR="00ED5386" w:rsidRPr="00F27A03" w:rsidRDefault="00ED5386" w:rsidP="00ED5386">
      <w:pPr>
        <w:spacing w:after="120"/>
        <w:rPr>
          <w:rFonts w:eastAsia="MS PGothic" w:cstheme="minorHAnsi"/>
          <w:szCs w:val="20"/>
          <w:lang w:val="sr-Cyrl-CS" w:eastAsia="ja-JP"/>
        </w:rPr>
      </w:pPr>
      <w:r w:rsidRPr="00F27A03">
        <w:rPr>
          <w:rFonts w:eastAsia="MS PGothic" w:cstheme="minorHAnsi"/>
          <w:b/>
          <w:szCs w:val="20"/>
          <w:lang w:val="sr-Cyrl-CS" w:eastAsia="ja-JP"/>
        </w:rPr>
        <w:t>Основни циљ измене фискалног оквира за 2022. годину је прилагођавање новонасталим негативним глобалним економским токовима, у последњих неколико деценија незабележеном светском енергетском кризом и последично знатно већим растом цена.</w:t>
      </w:r>
      <w:r w:rsidRPr="00F27A03">
        <w:rPr>
          <w:rFonts w:eastAsia="MS PGothic" w:cstheme="minorHAnsi"/>
          <w:szCs w:val="20"/>
          <w:lang w:val="sr-Cyrl-CS" w:eastAsia="ja-JP"/>
        </w:rPr>
        <w:t xml:space="preserve"> Фискални дефицит опште државе у 2022. години, према последњим проценама, износиће 3,8% БДП, што је за 0,8 п.п. више од оригинално планираног за текућу годину. Поред измена у висини планираног резултата, знатне су промене у висини и структури приходне и расходне стране. Процењује се да ће учешће јавног дуга у БДП, на крају 2022. године опасти на 56,9%. У наредном периоду се очекује да ће услед планираног кретања фискалног резултата у средњем року, путања јавног дуга бити континуирано опадајућа.</w:t>
      </w:r>
    </w:p>
    <w:p w14:paraId="21BAFF9B" w14:textId="78818F4A" w:rsidR="00ED5386" w:rsidRPr="00F27A03" w:rsidRDefault="00ED5386" w:rsidP="00ED5386">
      <w:pPr>
        <w:rPr>
          <w:lang w:val="sr-Cyrl-CS"/>
        </w:rPr>
      </w:pPr>
    </w:p>
    <w:p w14:paraId="1D630CB6" w14:textId="77777777" w:rsidR="002B26DE" w:rsidRPr="00F27A03" w:rsidRDefault="002B26DE" w:rsidP="00ED5386">
      <w:pPr>
        <w:rPr>
          <w:lang w:val="sr-Cyrl-CS"/>
        </w:rPr>
      </w:pPr>
    </w:p>
    <w:p w14:paraId="1DEC9A61" w14:textId="77777777" w:rsidR="00ED5386" w:rsidRPr="00F27A03" w:rsidRDefault="00ED5386" w:rsidP="001D5B47">
      <w:pPr>
        <w:spacing w:after="120"/>
        <w:jc w:val="center"/>
        <w:rPr>
          <w:rFonts w:eastAsia="MS PGothic" w:cstheme="minorHAnsi"/>
          <w:szCs w:val="20"/>
          <w:lang w:val="sr-Cyrl-CS" w:eastAsia="ja-JP"/>
        </w:rPr>
      </w:pPr>
      <w:r w:rsidRPr="00F27A03">
        <w:rPr>
          <w:rFonts w:cstheme="minorHAnsi"/>
          <w:b/>
          <w:color w:val="002060"/>
          <w:lang w:val="sr-Cyrl-CS"/>
        </w:rPr>
        <w:lastRenderedPageBreak/>
        <w:t>Фискални резултат опште државе у периоду од 2015. до 2022. године, % БДП</w:t>
      </w:r>
    </w:p>
    <w:p w14:paraId="18EB3024" w14:textId="77777777" w:rsidR="00ED5386" w:rsidRPr="00F27A03" w:rsidRDefault="00ED5386" w:rsidP="00E124CF">
      <w:pPr>
        <w:spacing w:after="0" w:line="276" w:lineRule="auto"/>
        <w:jc w:val="center"/>
        <w:rPr>
          <w:lang w:val="sr-Cyrl-CS"/>
        </w:rPr>
      </w:pPr>
      <w:r w:rsidRPr="00F27A03">
        <w:rPr>
          <w:noProof/>
          <w:lang w:val="sr-Cyrl-RS" w:eastAsia="sr-Cyrl-RS"/>
        </w:rPr>
        <w:drawing>
          <wp:inline distT="0" distB="0" distL="0" distR="0" wp14:anchorId="79F66D87" wp14:editId="7DD4BE70">
            <wp:extent cx="2743200" cy="2238375"/>
            <wp:effectExtent l="0" t="0" r="0" b="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11A291B3" w14:textId="77777777" w:rsidR="00ED5386" w:rsidRPr="00F27A03" w:rsidRDefault="00ED5386" w:rsidP="00781143">
      <w:pPr>
        <w:spacing w:line="240" w:lineRule="auto"/>
        <w:rPr>
          <w:rFonts w:cstheme="minorHAnsi"/>
          <w:bCs/>
          <w:sz w:val="16"/>
          <w:szCs w:val="72"/>
          <w:lang w:val="sr-Cyrl-CS"/>
        </w:rPr>
      </w:pPr>
      <w:r w:rsidRPr="00F27A03">
        <w:rPr>
          <w:rFonts w:cstheme="minorHAnsi"/>
          <w:bCs/>
          <w:sz w:val="16"/>
          <w:szCs w:val="72"/>
          <w:lang w:val="sr-Cyrl-CS"/>
        </w:rPr>
        <w:t>Извор: Министарство финансија</w:t>
      </w:r>
    </w:p>
    <w:p w14:paraId="62C31106" w14:textId="1FAE0A99"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Пандемија изазвана коронавирусом током 2020. и 2021. године имала је изразито негативне здравствене, економске и шире друштвене последице, како у читавом свету, тако и у Републици Србији. Током ове две године реализовани су пакети мера економске подршке привреди и становништву за превазилажење кризе изазване пандемијом. Реализоване су мере у вредности од 15,6% БДП</w:t>
      </w:r>
      <w:r w:rsidR="001444DA" w:rsidRPr="00F27A03">
        <w:rPr>
          <w:rFonts w:eastAsia="MS PGothic" w:cstheme="minorHAnsi"/>
          <w:szCs w:val="20"/>
          <w:lang w:val="sr-Cyrl-CS" w:eastAsia="ja-JP"/>
        </w:rPr>
        <w:t xml:space="preserve"> (планирано 17,3% БДП)</w:t>
      </w:r>
      <w:r w:rsidRPr="00F27A03">
        <w:rPr>
          <w:rFonts w:eastAsia="MS PGothic" w:cstheme="minorHAnsi"/>
          <w:szCs w:val="20"/>
          <w:lang w:val="sr-Cyrl-CS" w:eastAsia="ja-JP"/>
        </w:rPr>
        <w:t>, чиме су значајно ублажени негативни ефекти кризе, забележен је мањи пад економске активности у поређењу са другим европским економијама, а избегнуте су и турбуленције на тржишту радне снаге.</w:t>
      </w:r>
    </w:p>
    <w:p w14:paraId="70710F1C" w14:textId="78C9E75E" w:rsidR="00ED5386" w:rsidRPr="00F27A03" w:rsidRDefault="00ED5386" w:rsidP="00E124CF">
      <w:pPr>
        <w:spacing w:after="120"/>
        <w:rPr>
          <w:lang w:val="sr-Cyrl-CS"/>
        </w:rPr>
      </w:pPr>
      <w:r w:rsidRPr="00F27A03">
        <w:rPr>
          <w:rFonts w:eastAsia="MS PGothic" w:cstheme="minorHAnsi"/>
          <w:szCs w:val="20"/>
          <w:lang w:val="sr-Cyrl-CS" w:eastAsia="ja-JP"/>
        </w:rPr>
        <w:t xml:space="preserve">Крајем 2021. и почетком 2022. године долази до слабљења пандемије. </w:t>
      </w:r>
      <w:r w:rsidRPr="00F27A03">
        <w:rPr>
          <w:lang w:val="sr-Cyrl-CS"/>
        </w:rPr>
        <w:t xml:space="preserve">Изласком из ове кризе очекивао се мирнији период који би омогућио економској, пре свега фискалној политици, довољно времена да се врати на одрживу путању. Међутим, престанком здравствене кризе нису </w:t>
      </w:r>
      <w:r w:rsidRPr="00F27A03">
        <w:rPr>
          <w:lang w:val="sr-Cyrl-CS"/>
        </w:rPr>
        <w:t>нестале све негативне економске последице које је проузроковала. Убрзан раст цена подстакнут ранијом експанзивном глобалном монетарном и фискалном политиком, још увек нарушеним ланцима снабдевања и л</w:t>
      </w:r>
      <w:r w:rsidR="00C03657" w:rsidRPr="00F27A03">
        <w:rPr>
          <w:lang w:val="sr-Cyrl-CS"/>
        </w:rPr>
        <w:t>огистичким проблемима, постепен</w:t>
      </w:r>
      <w:r w:rsidRPr="00F27A03">
        <w:rPr>
          <w:lang w:val="sr-Cyrl-CS"/>
        </w:rPr>
        <w:t xml:space="preserve"> па затим убрзан раст цена енергије</w:t>
      </w:r>
      <w:r w:rsidR="00C03657" w:rsidRPr="00F27A03">
        <w:rPr>
          <w:lang w:val="sr-Cyrl-CS"/>
        </w:rPr>
        <w:t>,</w:t>
      </w:r>
      <w:r w:rsidRPr="00F27A03">
        <w:rPr>
          <w:lang w:val="sr-Cyrl-CS"/>
        </w:rPr>
        <w:t xml:space="preserve"> само су неки од горућих проблема који пред креаторе економске политике постављају нове изазове. Сукоб у Украјини додатно је интензивирао постојеће и донео нове изазове посебно у сфери енергетике и прехрамбених производа. Транзиторни инфлаторни притисци постају перманентни, док започето пооштравање монетарне политике у свету додатно отежава могућности за финансирање растућих фискалних дефицита, а у перспективи утиче на неповољније изгледе раста привредне активности.</w:t>
      </w:r>
    </w:p>
    <w:p w14:paraId="3C5D8FA5" w14:textId="5E6E16F0" w:rsidR="00ED5386" w:rsidRPr="00F27A03" w:rsidRDefault="00ED5386" w:rsidP="00E124CF">
      <w:pPr>
        <w:spacing w:after="120"/>
        <w:rPr>
          <w:rFonts w:eastAsia="MS PGothic" w:cstheme="minorHAnsi"/>
          <w:szCs w:val="20"/>
          <w:lang w:val="sr-Cyrl-CS" w:eastAsia="ja-JP"/>
        </w:rPr>
      </w:pPr>
      <w:r w:rsidRPr="00F27A03">
        <w:rPr>
          <w:lang w:val="sr-Cyrl-CS"/>
        </w:rPr>
        <w:t xml:space="preserve">Фискални оквир за 2022. годину је усвајањем прве Фискалне стратегије, током пролећног дела буџетског циклуса, био значајно ревидиран у погледу висине и структуре прихода и расхода, при чему није мењана процена фискалног резултата у БДП од 3% БДП. У том моменту су се назирали фактори који би могли значајно да утичу на материјализацију негативних ризика по економска кретања у 2022. години. Постојала је доза неизвесности у погледу трајања и обима утицаја новонастале кризе на укупна фискална кретања, посебно на страни расхода. Иновирани фискални оквир за 2022. годину рефлектује свеукупне последице, али и одговоре на наведене изазове, и предвиђа ревидирани фискални </w:t>
      </w:r>
      <w:r w:rsidRPr="00F27A03">
        <w:rPr>
          <w:rFonts w:eastAsia="MS PGothic" w:cstheme="minorHAnsi"/>
          <w:szCs w:val="20"/>
          <w:lang w:val="sr-Cyrl-CS" w:eastAsia="ja-JP"/>
        </w:rPr>
        <w:t>дефицит од 3,8% БДП. У односу на оригинално планиране, процена прихода је повећана за 236,4 млрд динара, док су расходи већи за 307,4 млрд динара, уз значајне промене у структури.</w:t>
      </w:r>
    </w:p>
    <w:p w14:paraId="2B2F40C9" w14:textId="77777777" w:rsidR="00ED5386" w:rsidRPr="00F27A03" w:rsidRDefault="00ED5386" w:rsidP="00E124CF">
      <w:pPr>
        <w:spacing w:after="120"/>
        <w:rPr>
          <w:rFonts w:eastAsia="MS PGothic" w:cstheme="minorHAnsi"/>
          <w:szCs w:val="20"/>
          <w:lang w:val="sr-Cyrl-CS" w:eastAsia="ja-JP"/>
        </w:rPr>
        <w:sectPr w:rsidR="00ED5386" w:rsidRPr="00F27A03" w:rsidSect="00ED5386">
          <w:type w:val="continuous"/>
          <w:pgSz w:w="12240" w:h="15840" w:code="1"/>
          <w:pgMar w:top="1440" w:right="1440" w:bottom="1440" w:left="1440" w:header="720" w:footer="720" w:gutter="0"/>
          <w:cols w:num="2" w:space="720"/>
          <w:docGrid w:linePitch="360"/>
        </w:sectPr>
      </w:pPr>
    </w:p>
    <w:p w14:paraId="6C5C8B20" w14:textId="77777777" w:rsidR="00ED5386" w:rsidRPr="00F27A03" w:rsidRDefault="00ED5386" w:rsidP="00E124CF">
      <w:pPr>
        <w:spacing w:after="120" w:line="276" w:lineRule="auto"/>
        <w:rPr>
          <w:rFonts w:eastAsia="MS PGothic" w:cstheme="minorHAnsi"/>
          <w:szCs w:val="20"/>
          <w:lang w:val="sr-Cyrl-CS" w:eastAsia="ja-JP"/>
        </w:rPr>
        <w:sectPr w:rsidR="00ED5386" w:rsidRPr="00F27A03" w:rsidSect="00ED5386">
          <w:type w:val="continuous"/>
          <w:pgSz w:w="12240" w:h="15840" w:code="1"/>
          <w:pgMar w:top="1440" w:right="1440" w:bottom="1440" w:left="1440" w:header="720" w:footer="720" w:gutter="0"/>
          <w:cols w:num="2" w:space="720"/>
          <w:docGrid w:linePitch="360"/>
        </w:sectPr>
      </w:pPr>
    </w:p>
    <w:p w14:paraId="355230D4" w14:textId="77777777" w:rsidR="00ED5386" w:rsidRPr="00F27A03" w:rsidRDefault="00ED5386" w:rsidP="00ED5386">
      <w:pPr>
        <w:rPr>
          <w:lang w:val="sr-Cyrl-CS" w:eastAsia="ja-JP"/>
        </w:rPr>
      </w:pPr>
    </w:p>
    <w:p w14:paraId="2D280591" w14:textId="77777777" w:rsidR="00ED5386" w:rsidRPr="00F27A03" w:rsidRDefault="00ED5386" w:rsidP="00ED5386">
      <w:pPr>
        <w:rPr>
          <w:lang w:val="sr-Cyrl-CS" w:eastAsia="ja-JP"/>
        </w:rPr>
      </w:pPr>
    </w:p>
    <w:p w14:paraId="736A4944" w14:textId="77777777" w:rsidR="00ED5386" w:rsidRPr="00F27A03" w:rsidRDefault="00ED5386" w:rsidP="00ED5386">
      <w:pPr>
        <w:rPr>
          <w:lang w:val="sr-Cyrl-CS" w:eastAsia="ja-JP"/>
        </w:rPr>
      </w:pPr>
    </w:p>
    <w:p w14:paraId="4F899B61" w14:textId="77777777" w:rsidR="00ED5386" w:rsidRPr="00F27A03" w:rsidRDefault="00ED5386" w:rsidP="00ED5386">
      <w:pPr>
        <w:rPr>
          <w:lang w:val="sr-Cyrl-CS" w:eastAsia="ja-JP"/>
        </w:rPr>
      </w:pPr>
    </w:p>
    <w:p w14:paraId="6D1AC4CF" w14:textId="77777777" w:rsidR="00ED5386" w:rsidRPr="00F27A03" w:rsidRDefault="00ED5386" w:rsidP="00ED5386">
      <w:pPr>
        <w:rPr>
          <w:lang w:val="sr-Cyrl-CS" w:eastAsia="ja-JP"/>
        </w:rPr>
      </w:pPr>
    </w:p>
    <w:p w14:paraId="36FD1A9B" w14:textId="1FE88988" w:rsidR="00ED5386" w:rsidRPr="00F27A03" w:rsidRDefault="00ED5386" w:rsidP="00ED5386">
      <w:pPr>
        <w:rPr>
          <w:lang w:val="sr-Cyrl-CS" w:eastAsia="ja-JP"/>
        </w:rPr>
      </w:pPr>
    </w:p>
    <w:p w14:paraId="41D4A8AF" w14:textId="75EA545F" w:rsidR="00ED5386" w:rsidRPr="00F27A03" w:rsidRDefault="00ED5386" w:rsidP="00E124CF">
      <w:pPr>
        <w:spacing w:after="120"/>
        <w:jc w:val="center"/>
        <w:rPr>
          <w:rFonts w:eastAsia="MS PGothic" w:cstheme="minorHAnsi"/>
          <w:b/>
          <w:color w:val="002060"/>
          <w:szCs w:val="20"/>
          <w:lang w:val="sr-Cyrl-CS" w:eastAsia="ja-JP"/>
        </w:rPr>
      </w:pPr>
      <w:r w:rsidRPr="00F27A03">
        <w:rPr>
          <w:rFonts w:eastAsia="MS PGothic" w:cstheme="minorHAnsi"/>
          <w:b/>
          <w:color w:val="002060"/>
          <w:szCs w:val="20"/>
          <w:lang w:val="sr-Cyrl-CS" w:eastAsia="ja-JP"/>
        </w:rPr>
        <w:lastRenderedPageBreak/>
        <w:t xml:space="preserve">Табела </w:t>
      </w:r>
      <w:r w:rsidR="00524F94" w:rsidRPr="00F27A03">
        <w:rPr>
          <w:rFonts w:eastAsia="MS PGothic" w:cstheme="minorHAnsi"/>
          <w:b/>
          <w:color w:val="002060"/>
          <w:szCs w:val="20"/>
          <w:lang w:val="sr-Cyrl-CS" w:eastAsia="ja-JP"/>
        </w:rPr>
        <w:t>5</w:t>
      </w:r>
      <w:r w:rsidRPr="00F27A03">
        <w:rPr>
          <w:rFonts w:eastAsia="MS PGothic" w:cstheme="minorHAnsi"/>
          <w:b/>
          <w:color w:val="002060"/>
          <w:szCs w:val="20"/>
          <w:lang w:val="sr-Cyrl-CS" w:eastAsia="ja-JP"/>
        </w:rPr>
        <w:t>. Приходи, расходи и резултат сектора државе у 2022. години, у млрд динара</w:t>
      </w:r>
    </w:p>
    <w:tbl>
      <w:tblPr>
        <w:tblW w:w="5000" w:type="pct"/>
        <w:jc w:val="center"/>
        <w:tblLook w:val="04A0" w:firstRow="1" w:lastRow="0" w:firstColumn="1" w:lastColumn="0" w:noHBand="0" w:noVBand="1"/>
      </w:tblPr>
      <w:tblGrid>
        <w:gridCol w:w="2543"/>
        <w:gridCol w:w="1136"/>
        <w:gridCol w:w="1136"/>
        <w:gridCol w:w="1138"/>
        <w:gridCol w:w="1138"/>
        <w:gridCol w:w="1138"/>
        <w:gridCol w:w="1131"/>
      </w:tblGrid>
      <w:tr w:rsidR="000810C0" w:rsidRPr="00F27A03" w14:paraId="0EB4B5A3" w14:textId="77777777" w:rsidTr="000810C0">
        <w:trPr>
          <w:trHeight w:val="391"/>
          <w:tblHeader/>
          <w:jc w:val="center"/>
        </w:trPr>
        <w:tc>
          <w:tcPr>
            <w:tcW w:w="1202" w:type="pct"/>
            <w:tcBorders>
              <w:top w:val="single" w:sz="4" w:space="0" w:color="002060"/>
            </w:tcBorders>
            <w:shd w:val="clear" w:color="auto" w:fill="auto"/>
            <w:noWrap/>
            <w:vAlign w:val="center"/>
            <w:hideMark/>
          </w:tcPr>
          <w:p w14:paraId="16580F47" w14:textId="77777777" w:rsidR="00ED5386" w:rsidRPr="00F27A03" w:rsidRDefault="00ED5386" w:rsidP="00E124CF">
            <w:pPr>
              <w:spacing w:after="0" w:line="240" w:lineRule="auto"/>
              <w:jc w:val="center"/>
              <w:rPr>
                <w:rFonts w:eastAsia="Times New Roman" w:cstheme="minorHAnsi"/>
                <w:bCs/>
                <w:color w:val="002060"/>
                <w:sz w:val="18"/>
                <w:szCs w:val="18"/>
                <w:lang w:val="sr-Cyrl-CS" w:eastAsia="sr-Cyrl-RS"/>
              </w:rPr>
            </w:pPr>
            <w:r w:rsidRPr="00F27A03">
              <w:rPr>
                <w:rFonts w:eastAsia="Times New Roman" w:cstheme="minorHAnsi"/>
                <w:bCs/>
                <w:color w:val="002060"/>
                <w:sz w:val="18"/>
                <w:szCs w:val="18"/>
                <w:lang w:val="sr-Cyrl-CS" w:eastAsia="sr-Cyrl-RS"/>
              </w:rPr>
              <w:t> </w:t>
            </w:r>
          </w:p>
        </w:tc>
        <w:tc>
          <w:tcPr>
            <w:tcW w:w="633" w:type="pct"/>
            <w:tcBorders>
              <w:top w:val="single" w:sz="4" w:space="0" w:color="002060"/>
              <w:bottom w:val="single" w:sz="4" w:space="0" w:color="002060"/>
            </w:tcBorders>
            <w:shd w:val="clear" w:color="auto" w:fill="auto"/>
            <w:vAlign w:val="center"/>
            <w:hideMark/>
          </w:tcPr>
          <w:p w14:paraId="4B4ED821" w14:textId="77777777" w:rsidR="00ED5386" w:rsidRPr="00F27A03" w:rsidRDefault="00ED5386" w:rsidP="000810C0">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буџет 2022</w:t>
            </w:r>
          </w:p>
        </w:tc>
        <w:tc>
          <w:tcPr>
            <w:tcW w:w="633" w:type="pct"/>
            <w:tcBorders>
              <w:top w:val="single" w:sz="4" w:space="0" w:color="002060"/>
              <w:bottom w:val="single" w:sz="4" w:space="0" w:color="002060"/>
            </w:tcBorders>
            <w:vAlign w:val="center"/>
          </w:tcPr>
          <w:p w14:paraId="2AC652D1" w14:textId="77777777" w:rsidR="00ED5386" w:rsidRPr="00F27A03" w:rsidRDefault="00ED5386" w:rsidP="000810C0">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процена април 2022</w:t>
            </w:r>
          </w:p>
        </w:tc>
        <w:tc>
          <w:tcPr>
            <w:tcW w:w="634" w:type="pct"/>
            <w:tcBorders>
              <w:top w:val="single" w:sz="4" w:space="0" w:color="002060"/>
              <w:bottom w:val="single" w:sz="4" w:space="0" w:color="002060"/>
            </w:tcBorders>
            <w:shd w:val="clear" w:color="auto" w:fill="auto"/>
            <w:vAlign w:val="center"/>
            <w:hideMark/>
          </w:tcPr>
          <w:p w14:paraId="1563D3D3" w14:textId="77777777" w:rsidR="00ED5386" w:rsidRPr="00F27A03" w:rsidRDefault="00ED5386" w:rsidP="000810C0">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нова процена 2022</w:t>
            </w:r>
          </w:p>
        </w:tc>
        <w:tc>
          <w:tcPr>
            <w:tcW w:w="634" w:type="pct"/>
            <w:tcBorders>
              <w:top w:val="single" w:sz="4" w:space="0" w:color="002060"/>
              <w:bottom w:val="single" w:sz="4" w:space="0" w:color="002060"/>
            </w:tcBorders>
            <w:shd w:val="clear" w:color="auto" w:fill="auto"/>
            <w:vAlign w:val="center"/>
            <w:hideMark/>
          </w:tcPr>
          <w:p w14:paraId="31C20C76" w14:textId="77777777" w:rsidR="00ED5386" w:rsidRPr="00F27A03" w:rsidRDefault="00ED5386" w:rsidP="000810C0">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Разлика новa/буџет</w:t>
            </w:r>
          </w:p>
        </w:tc>
        <w:tc>
          <w:tcPr>
            <w:tcW w:w="634" w:type="pct"/>
            <w:tcBorders>
              <w:top w:val="single" w:sz="4" w:space="0" w:color="002060"/>
              <w:bottom w:val="single" w:sz="4" w:space="0" w:color="002060"/>
            </w:tcBorders>
            <w:shd w:val="clear" w:color="auto" w:fill="auto"/>
            <w:vAlign w:val="center"/>
            <w:hideMark/>
          </w:tcPr>
          <w:p w14:paraId="7C64D74A" w14:textId="77777777" w:rsidR="00ED5386" w:rsidRPr="00F27A03" w:rsidRDefault="00ED5386" w:rsidP="000810C0">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 промена</w:t>
            </w:r>
          </w:p>
        </w:tc>
        <w:tc>
          <w:tcPr>
            <w:tcW w:w="631" w:type="pct"/>
            <w:tcBorders>
              <w:top w:val="single" w:sz="4" w:space="0" w:color="002060"/>
              <w:bottom w:val="single" w:sz="4" w:space="0" w:color="002060"/>
            </w:tcBorders>
            <w:shd w:val="clear" w:color="auto" w:fill="auto"/>
            <w:vAlign w:val="center"/>
            <w:hideMark/>
          </w:tcPr>
          <w:p w14:paraId="43A43C93" w14:textId="77777777" w:rsidR="00ED5386" w:rsidRPr="00F27A03" w:rsidRDefault="00ED5386" w:rsidP="000810C0">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2022 нова пр. % БДП</w:t>
            </w:r>
          </w:p>
        </w:tc>
      </w:tr>
      <w:tr w:rsidR="000810C0" w:rsidRPr="00F27A03" w14:paraId="050A91C7" w14:textId="77777777" w:rsidTr="000810C0">
        <w:trPr>
          <w:trHeight w:val="223"/>
          <w:jc w:val="center"/>
        </w:trPr>
        <w:tc>
          <w:tcPr>
            <w:tcW w:w="1202" w:type="pct"/>
            <w:shd w:val="clear" w:color="auto" w:fill="E7E6E6" w:themeFill="background2"/>
            <w:noWrap/>
            <w:vAlign w:val="center"/>
            <w:hideMark/>
          </w:tcPr>
          <w:p w14:paraId="45A8E6B6" w14:textId="77777777" w:rsidR="00ED5386" w:rsidRPr="00F27A03" w:rsidRDefault="00ED5386" w:rsidP="00ED5386">
            <w:pPr>
              <w:spacing w:after="0" w:line="240" w:lineRule="auto"/>
              <w:jc w:val="left"/>
              <w:rPr>
                <w:rFonts w:cstheme="minorHAnsi"/>
                <w:color w:val="002060"/>
                <w:sz w:val="18"/>
                <w:szCs w:val="18"/>
                <w:lang w:val="sr-Cyrl-CS"/>
              </w:rPr>
            </w:pPr>
            <w:r w:rsidRPr="00F27A03">
              <w:rPr>
                <w:rFonts w:eastAsia="MS PGothic" w:cstheme="minorHAnsi"/>
                <w:color w:val="002060"/>
                <w:sz w:val="18"/>
                <w:szCs w:val="18"/>
                <w:lang w:val="sr-Cyrl-CS" w:eastAsia="ja-JP"/>
              </w:rPr>
              <w:t>ЈАВНИ ПРИХОДИ</w:t>
            </w:r>
          </w:p>
        </w:tc>
        <w:tc>
          <w:tcPr>
            <w:tcW w:w="633" w:type="pct"/>
            <w:tcBorders>
              <w:top w:val="single" w:sz="4" w:space="0" w:color="002060"/>
            </w:tcBorders>
            <w:shd w:val="clear" w:color="auto" w:fill="E7E6E6" w:themeFill="background2"/>
            <w:hideMark/>
          </w:tcPr>
          <w:p w14:paraId="7BA7AC4E"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2.804,1</w:t>
            </w:r>
          </w:p>
        </w:tc>
        <w:tc>
          <w:tcPr>
            <w:tcW w:w="633" w:type="pct"/>
            <w:tcBorders>
              <w:top w:val="single" w:sz="4" w:space="0" w:color="002060"/>
            </w:tcBorders>
            <w:shd w:val="clear" w:color="auto" w:fill="E7E6E6" w:themeFill="background2"/>
          </w:tcPr>
          <w:p w14:paraId="6A8A2485"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2.901,0</w:t>
            </w:r>
          </w:p>
        </w:tc>
        <w:tc>
          <w:tcPr>
            <w:tcW w:w="634" w:type="pct"/>
            <w:tcBorders>
              <w:top w:val="single" w:sz="4" w:space="0" w:color="002060"/>
            </w:tcBorders>
            <w:shd w:val="clear" w:color="auto" w:fill="E7E6E6" w:themeFill="background2"/>
            <w:noWrap/>
            <w:hideMark/>
          </w:tcPr>
          <w:p w14:paraId="50A7E9A4"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3.040,5</w:t>
            </w:r>
          </w:p>
        </w:tc>
        <w:tc>
          <w:tcPr>
            <w:tcW w:w="634" w:type="pct"/>
            <w:tcBorders>
              <w:top w:val="single" w:sz="4" w:space="0" w:color="002060"/>
            </w:tcBorders>
            <w:shd w:val="clear" w:color="auto" w:fill="E7E6E6" w:themeFill="background2"/>
            <w:hideMark/>
          </w:tcPr>
          <w:p w14:paraId="54BB24EC"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236,4</w:t>
            </w:r>
          </w:p>
        </w:tc>
        <w:tc>
          <w:tcPr>
            <w:tcW w:w="634" w:type="pct"/>
            <w:tcBorders>
              <w:top w:val="single" w:sz="4" w:space="0" w:color="002060"/>
            </w:tcBorders>
            <w:shd w:val="clear" w:color="auto" w:fill="E7E6E6" w:themeFill="background2"/>
            <w:hideMark/>
          </w:tcPr>
          <w:p w14:paraId="2A84649A"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8,4</w:t>
            </w:r>
          </w:p>
        </w:tc>
        <w:tc>
          <w:tcPr>
            <w:tcW w:w="631" w:type="pct"/>
            <w:tcBorders>
              <w:top w:val="single" w:sz="4" w:space="0" w:color="002060"/>
            </w:tcBorders>
            <w:shd w:val="clear" w:color="auto" w:fill="E7E6E6" w:themeFill="background2"/>
            <w:noWrap/>
            <w:hideMark/>
          </w:tcPr>
          <w:p w14:paraId="34142CE1"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42,9</w:t>
            </w:r>
          </w:p>
        </w:tc>
      </w:tr>
      <w:tr w:rsidR="000810C0" w:rsidRPr="00F27A03" w14:paraId="700F6A60" w14:textId="77777777" w:rsidTr="000810C0">
        <w:trPr>
          <w:trHeight w:val="223"/>
          <w:jc w:val="center"/>
        </w:trPr>
        <w:tc>
          <w:tcPr>
            <w:tcW w:w="1202" w:type="pct"/>
            <w:shd w:val="clear" w:color="auto" w:fill="auto"/>
            <w:noWrap/>
            <w:vAlign w:val="center"/>
            <w:hideMark/>
          </w:tcPr>
          <w:p w14:paraId="01873133"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Текући приходи</w:t>
            </w:r>
          </w:p>
        </w:tc>
        <w:tc>
          <w:tcPr>
            <w:tcW w:w="633" w:type="pct"/>
            <w:shd w:val="clear" w:color="auto" w:fill="auto"/>
            <w:hideMark/>
          </w:tcPr>
          <w:p w14:paraId="3A7723F4"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2.778,2</w:t>
            </w:r>
          </w:p>
        </w:tc>
        <w:tc>
          <w:tcPr>
            <w:tcW w:w="633" w:type="pct"/>
          </w:tcPr>
          <w:p w14:paraId="07AB2ADA"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2.875,1</w:t>
            </w:r>
          </w:p>
        </w:tc>
        <w:tc>
          <w:tcPr>
            <w:tcW w:w="634" w:type="pct"/>
            <w:shd w:val="clear" w:color="auto" w:fill="auto"/>
            <w:noWrap/>
            <w:hideMark/>
          </w:tcPr>
          <w:p w14:paraId="4C9798A7"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3.018,8</w:t>
            </w:r>
          </w:p>
        </w:tc>
        <w:tc>
          <w:tcPr>
            <w:tcW w:w="634" w:type="pct"/>
            <w:shd w:val="clear" w:color="auto" w:fill="auto"/>
            <w:hideMark/>
          </w:tcPr>
          <w:p w14:paraId="6EC825FE"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240,6</w:t>
            </w:r>
          </w:p>
        </w:tc>
        <w:tc>
          <w:tcPr>
            <w:tcW w:w="634" w:type="pct"/>
            <w:shd w:val="clear" w:color="auto" w:fill="auto"/>
            <w:hideMark/>
          </w:tcPr>
          <w:p w14:paraId="0F666DA0"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8,7</w:t>
            </w:r>
          </w:p>
        </w:tc>
        <w:tc>
          <w:tcPr>
            <w:tcW w:w="631" w:type="pct"/>
            <w:shd w:val="clear" w:color="auto" w:fill="auto"/>
            <w:noWrap/>
            <w:hideMark/>
          </w:tcPr>
          <w:p w14:paraId="67883969"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42,6</w:t>
            </w:r>
          </w:p>
        </w:tc>
      </w:tr>
      <w:tr w:rsidR="000810C0" w:rsidRPr="00F27A03" w14:paraId="42F6BA8E" w14:textId="77777777" w:rsidTr="000810C0">
        <w:trPr>
          <w:trHeight w:val="223"/>
          <w:jc w:val="center"/>
        </w:trPr>
        <w:tc>
          <w:tcPr>
            <w:tcW w:w="1202" w:type="pct"/>
            <w:shd w:val="clear" w:color="auto" w:fill="auto"/>
            <w:noWrap/>
            <w:vAlign w:val="center"/>
            <w:hideMark/>
          </w:tcPr>
          <w:p w14:paraId="1A70E109"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Порески приходи</w:t>
            </w:r>
          </w:p>
        </w:tc>
        <w:tc>
          <w:tcPr>
            <w:tcW w:w="633" w:type="pct"/>
            <w:shd w:val="clear" w:color="auto" w:fill="auto"/>
            <w:hideMark/>
          </w:tcPr>
          <w:p w14:paraId="7775C8FE"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2.526,7</w:t>
            </w:r>
          </w:p>
        </w:tc>
        <w:tc>
          <w:tcPr>
            <w:tcW w:w="633" w:type="pct"/>
          </w:tcPr>
          <w:p w14:paraId="7CACB759"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2.609,4</w:t>
            </w:r>
          </w:p>
        </w:tc>
        <w:tc>
          <w:tcPr>
            <w:tcW w:w="634" w:type="pct"/>
            <w:shd w:val="clear" w:color="auto" w:fill="auto"/>
            <w:hideMark/>
          </w:tcPr>
          <w:p w14:paraId="0902D3F0"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2.740,5</w:t>
            </w:r>
          </w:p>
        </w:tc>
        <w:tc>
          <w:tcPr>
            <w:tcW w:w="634" w:type="pct"/>
            <w:shd w:val="clear" w:color="auto" w:fill="auto"/>
            <w:hideMark/>
          </w:tcPr>
          <w:p w14:paraId="4C894261"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213,8</w:t>
            </w:r>
          </w:p>
        </w:tc>
        <w:tc>
          <w:tcPr>
            <w:tcW w:w="634" w:type="pct"/>
            <w:shd w:val="clear" w:color="auto" w:fill="auto"/>
            <w:hideMark/>
          </w:tcPr>
          <w:p w14:paraId="48C452D0"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8,5</w:t>
            </w:r>
          </w:p>
        </w:tc>
        <w:tc>
          <w:tcPr>
            <w:tcW w:w="631" w:type="pct"/>
            <w:shd w:val="clear" w:color="auto" w:fill="auto"/>
            <w:noWrap/>
            <w:hideMark/>
          </w:tcPr>
          <w:p w14:paraId="2EA9CBA8"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38,7</w:t>
            </w:r>
          </w:p>
        </w:tc>
      </w:tr>
      <w:tr w:rsidR="000810C0" w:rsidRPr="00F27A03" w14:paraId="2EF291F1" w14:textId="77777777" w:rsidTr="000810C0">
        <w:trPr>
          <w:trHeight w:val="223"/>
          <w:jc w:val="center"/>
        </w:trPr>
        <w:tc>
          <w:tcPr>
            <w:tcW w:w="1202" w:type="pct"/>
            <w:shd w:val="clear" w:color="auto" w:fill="auto"/>
            <w:noWrap/>
            <w:vAlign w:val="center"/>
            <w:hideMark/>
          </w:tcPr>
          <w:p w14:paraId="0E5FC137"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Порез на доходак грађана</w:t>
            </w:r>
          </w:p>
        </w:tc>
        <w:tc>
          <w:tcPr>
            <w:tcW w:w="633" w:type="pct"/>
            <w:shd w:val="clear" w:color="auto" w:fill="auto"/>
            <w:hideMark/>
          </w:tcPr>
          <w:p w14:paraId="0A84167A"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274,5</w:t>
            </w:r>
          </w:p>
        </w:tc>
        <w:tc>
          <w:tcPr>
            <w:tcW w:w="633" w:type="pct"/>
          </w:tcPr>
          <w:p w14:paraId="085F0257"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283,4</w:t>
            </w:r>
          </w:p>
        </w:tc>
        <w:tc>
          <w:tcPr>
            <w:tcW w:w="634" w:type="pct"/>
            <w:shd w:val="clear" w:color="auto" w:fill="auto"/>
            <w:noWrap/>
            <w:hideMark/>
          </w:tcPr>
          <w:p w14:paraId="3FE98A0A"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294,7</w:t>
            </w:r>
          </w:p>
        </w:tc>
        <w:tc>
          <w:tcPr>
            <w:tcW w:w="634" w:type="pct"/>
            <w:shd w:val="clear" w:color="auto" w:fill="auto"/>
            <w:hideMark/>
          </w:tcPr>
          <w:p w14:paraId="7D617194"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20,2</w:t>
            </w:r>
          </w:p>
        </w:tc>
        <w:tc>
          <w:tcPr>
            <w:tcW w:w="634" w:type="pct"/>
            <w:shd w:val="clear" w:color="auto" w:fill="auto"/>
            <w:hideMark/>
          </w:tcPr>
          <w:p w14:paraId="1E4F33B4"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7,4</w:t>
            </w:r>
          </w:p>
        </w:tc>
        <w:tc>
          <w:tcPr>
            <w:tcW w:w="631" w:type="pct"/>
            <w:shd w:val="clear" w:color="auto" w:fill="auto"/>
            <w:noWrap/>
            <w:hideMark/>
          </w:tcPr>
          <w:p w14:paraId="5F7F3A75"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4,2</w:t>
            </w:r>
          </w:p>
        </w:tc>
      </w:tr>
      <w:tr w:rsidR="000810C0" w:rsidRPr="00F27A03" w14:paraId="389ED8EA" w14:textId="77777777" w:rsidTr="000810C0">
        <w:trPr>
          <w:trHeight w:val="223"/>
          <w:jc w:val="center"/>
        </w:trPr>
        <w:tc>
          <w:tcPr>
            <w:tcW w:w="1202" w:type="pct"/>
            <w:shd w:val="clear" w:color="auto" w:fill="auto"/>
            <w:noWrap/>
            <w:vAlign w:val="center"/>
            <w:hideMark/>
          </w:tcPr>
          <w:p w14:paraId="2AD5928F"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Порез на добит правних лица</w:t>
            </w:r>
          </w:p>
        </w:tc>
        <w:tc>
          <w:tcPr>
            <w:tcW w:w="633" w:type="pct"/>
            <w:shd w:val="clear" w:color="auto" w:fill="auto"/>
            <w:hideMark/>
          </w:tcPr>
          <w:p w14:paraId="5E6440C7"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145,0</w:t>
            </w:r>
          </w:p>
        </w:tc>
        <w:tc>
          <w:tcPr>
            <w:tcW w:w="633" w:type="pct"/>
          </w:tcPr>
          <w:p w14:paraId="47160169"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145,0</w:t>
            </w:r>
          </w:p>
        </w:tc>
        <w:tc>
          <w:tcPr>
            <w:tcW w:w="634" w:type="pct"/>
            <w:shd w:val="clear" w:color="auto" w:fill="auto"/>
            <w:noWrap/>
            <w:hideMark/>
          </w:tcPr>
          <w:p w14:paraId="3241014C"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208,5</w:t>
            </w:r>
          </w:p>
        </w:tc>
        <w:tc>
          <w:tcPr>
            <w:tcW w:w="634" w:type="pct"/>
            <w:shd w:val="clear" w:color="auto" w:fill="auto"/>
            <w:hideMark/>
          </w:tcPr>
          <w:p w14:paraId="02DB8686"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63,5</w:t>
            </w:r>
          </w:p>
        </w:tc>
        <w:tc>
          <w:tcPr>
            <w:tcW w:w="634" w:type="pct"/>
            <w:shd w:val="clear" w:color="auto" w:fill="auto"/>
            <w:hideMark/>
          </w:tcPr>
          <w:p w14:paraId="3AC461DA"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43,8</w:t>
            </w:r>
          </w:p>
        </w:tc>
        <w:tc>
          <w:tcPr>
            <w:tcW w:w="631" w:type="pct"/>
            <w:shd w:val="clear" w:color="auto" w:fill="auto"/>
            <w:noWrap/>
            <w:hideMark/>
          </w:tcPr>
          <w:p w14:paraId="1AEAB141"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2,9</w:t>
            </w:r>
          </w:p>
        </w:tc>
      </w:tr>
      <w:tr w:rsidR="000810C0" w:rsidRPr="00F27A03" w14:paraId="54FA9708" w14:textId="77777777" w:rsidTr="000810C0">
        <w:trPr>
          <w:trHeight w:val="223"/>
          <w:jc w:val="center"/>
        </w:trPr>
        <w:tc>
          <w:tcPr>
            <w:tcW w:w="1202" w:type="pct"/>
            <w:shd w:val="clear" w:color="auto" w:fill="auto"/>
            <w:noWrap/>
            <w:vAlign w:val="center"/>
            <w:hideMark/>
          </w:tcPr>
          <w:p w14:paraId="40F45BBB"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ПДВ</w:t>
            </w:r>
          </w:p>
        </w:tc>
        <w:tc>
          <w:tcPr>
            <w:tcW w:w="633" w:type="pct"/>
            <w:shd w:val="clear" w:color="auto" w:fill="auto"/>
            <w:hideMark/>
          </w:tcPr>
          <w:p w14:paraId="796FDCC9"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684,1</w:t>
            </w:r>
          </w:p>
        </w:tc>
        <w:tc>
          <w:tcPr>
            <w:tcW w:w="633" w:type="pct"/>
          </w:tcPr>
          <w:p w14:paraId="537612A4"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750,7</w:t>
            </w:r>
          </w:p>
        </w:tc>
        <w:tc>
          <w:tcPr>
            <w:tcW w:w="634" w:type="pct"/>
            <w:shd w:val="clear" w:color="auto" w:fill="auto"/>
            <w:noWrap/>
            <w:hideMark/>
          </w:tcPr>
          <w:p w14:paraId="73B5EEB9"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777,0</w:t>
            </w:r>
          </w:p>
        </w:tc>
        <w:tc>
          <w:tcPr>
            <w:tcW w:w="634" w:type="pct"/>
            <w:shd w:val="clear" w:color="auto" w:fill="auto"/>
            <w:hideMark/>
          </w:tcPr>
          <w:p w14:paraId="2594248C"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92,9</w:t>
            </w:r>
          </w:p>
        </w:tc>
        <w:tc>
          <w:tcPr>
            <w:tcW w:w="634" w:type="pct"/>
            <w:shd w:val="clear" w:color="auto" w:fill="auto"/>
            <w:hideMark/>
          </w:tcPr>
          <w:p w14:paraId="3F4AD3B8"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13,6</w:t>
            </w:r>
          </w:p>
        </w:tc>
        <w:tc>
          <w:tcPr>
            <w:tcW w:w="631" w:type="pct"/>
            <w:shd w:val="clear" w:color="auto" w:fill="auto"/>
            <w:noWrap/>
            <w:hideMark/>
          </w:tcPr>
          <w:p w14:paraId="34A910E9"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11,0</w:t>
            </w:r>
          </w:p>
        </w:tc>
      </w:tr>
      <w:tr w:rsidR="000810C0" w:rsidRPr="00F27A03" w14:paraId="2C5D4B89" w14:textId="77777777" w:rsidTr="000810C0">
        <w:trPr>
          <w:trHeight w:val="223"/>
          <w:jc w:val="center"/>
        </w:trPr>
        <w:tc>
          <w:tcPr>
            <w:tcW w:w="1202" w:type="pct"/>
            <w:shd w:val="clear" w:color="auto" w:fill="auto"/>
            <w:noWrap/>
            <w:vAlign w:val="center"/>
            <w:hideMark/>
          </w:tcPr>
          <w:p w14:paraId="2C80E653"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Акцизе</w:t>
            </w:r>
          </w:p>
        </w:tc>
        <w:tc>
          <w:tcPr>
            <w:tcW w:w="633" w:type="pct"/>
            <w:shd w:val="clear" w:color="auto" w:fill="auto"/>
            <w:hideMark/>
          </w:tcPr>
          <w:p w14:paraId="6810BE83"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337,6</w:t>
            </w:r>
          </w:p>
        </w:tc>
        <w:tc>
          <w:tcPr>
            <w:tcW w:w="633" w:type="pct"/>
          </w:tcPr>
          <w:p w14:paraId="6569A8EA"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327,6</w:t>
            </w:r>
          </w:p>
        </w:tc>
        <w:tc>
          <w:tcPr>
            <w:tcW w:w="634" w:type="pct"/>
            <w:shd w:val="clear" w:color="auto" w:fill="auto"/>
            <w:noWrap/>
            <w:hideMark/>
          </w:tcPr>
          <w:p w14:paraId="2182067B"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336,8</w:t>
            </w:r>
          </w:p>
        </w:tc>
        <w:tc>
          <w:tcPr>
            <w:tcW w:w="634" w:type="pct"/>
            <w:shd w:val="clear" w:color="auto" w:fill="auto"/>
            <w:hideMark/>
          </w:tcPr>
          <w:p w14:paraId="143F5EA0"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-0,8</w:t>
            </w:r>
          </w:p>
        </w:tc>
        <w:tc>
          <w:tcPr>
            <w:tcW w:w="634" w:type="pct"/>
            <w:shd w:val="clear" w:color="auto" w:fill="auto"/>
            <w:hideMark/>
          </w:tcPr>
          <w:p w14:paraId="5E1DCD9B"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-0,2</w:t>
            </w:r>
          </w:p>
        </w:tc>
        <w:tc>
          <w:tcPr>
            <w:tcW w:w="631" w:type="pct"/>
            <w:shd w:val="clear" w:color="auto" w:fill="auto"/>
            <w:noWrap/>
            <w:hideMark/>
          </w:tcPr>
          <w:p w14:paraId="386596F7"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4,8</w:t>
            </w:r>
          </w:p>
        </w:tc>
      </w:tr>
      <w:tr w:rsidR="000810C0" w:rsidRPr="00F27A03" w14:paraId="401E7282" w14:textId="77777777" w:rsidTr="000810C0">
        <w:trPr>
          <w:trHeight w:val="223"/>
          <w:jc w:val="center"/>
        </w:trPr>
        <w:tc>
          <w:tcPr>
            <w:tcW w:w="1202" w:type="pct"/>
            <w:shd w:val="clear" w:color="auto" w:fill="auto"/>
            <w:noWrap/>
            <w:vAlign w:val="center"/>
            <w:hideMark/>
          </w:tcPr>
          <w:p w14:paraId="12279D64"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Царине</w:t>
            </w:r>
          </w:p>
        </w:tc>
        <w:tc>
          <w:tcPr>
            <w:tcW w:w="633" w:type="pct"/>
            <w:shd w:val="clear" w:color="auto" w:fill="auto"/>
            <w:hideMark/>
          </w:tcPr>
          <w:p w14:paraId="14CDB7E8"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63,3</w:t>
            </w:r>
          </w:p>
        </w:tc>
        <w:tc>
          <w:tcPr>
            <w:tcW w:w="633" w:type="pct"/>
          </w:tcPr>
          <w:p w14:paraId="33150A10"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75,0</w:t>
            </w:r>
          </w:p>
        </w:tc>
        <w:tc>
          <w:tcPr>
            <w:tcW w:w="634" w:type="pct"/>
            <w:shd w:val="clear" w:color="auto" w:fill="auto"/>
            <w:noWrap/>
            <w:hideMark/>
          </w:tcPr>
          <w:p w14:paraId="492FC5EE"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79,5</w:t>
            </w:r>
          </w:p>
        </w:tc>
        <w:tc>
          <w:tcPr>
            <w:tcW w:w="634" w:type="pct"/>
            <w:shd w:val="clear" w:color="auto" w:fill="auto"/>
            <w:hideMark/>
          </w:tcPr>
          <w:p w14:paraId="48C90531"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16,2</w:t>
            </w:r>
          </w:p>
        </w:tc>
        <w:tc>
          <w:tcPr>
            <w:tcW w:w="634" w:type="pct"/>
            <w:shd w:val="clear" w:color="auto" w:fill="auto"/>
            <w:hideMark/>
          </w:tcPr>
          <w:p w14:paraId="62D8F873"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25,6</w:t>
            </w:r>
          </w:p>
        </w:tc>
        <w:tc>
          <w:tcPr>
            <w:tcW w:w="631" w:type="pct"/>
            <w:shd w:val="clear" w:color="auto" w:fill="auto"/>
            <w:noWrap/>
            <w:hideMark/>
          </w:tcPr>
          <w:p w14:paraId="38C030D7"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1,1</w:t>
            </w:r>
          </w:p>
        </w:tc>
      </w:tr>
      <w:tr w:rsidR="000810C0" w:rsidRPr="00F27A03" w14:paraId="27A6062D" w14:textId="77777777" w:rsidTr="000810C0">
        <w:trPr>
          <w:trHeight w:val="223"/>
          <w:jc w:val="center"/>
        </w:trPr>
        <w:tc>
          <w:tcPr>
            <w:tcW w:w="1202" w:type="pct"/>
            <w:shd w:val="clear" w:color="auto" w:fill="auto"/>
            <w:noWrap/>
            <w:vAlign w:val="center"/>
            <w:hideMark/>
          </w:tcPr>
          <w:p w14:paraId="6B1BCD3A"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Остали порески приходи</w:t>
            </w:r>
          </w:p>
        </w:tc>
        <w:tc>
          <w:tcPr>
            <w:tcW w:w="633" w:type="pct"/>
            <w:shd w:val="clear" w:color="auto" w:fill="auto"/>
            <w:hideMark/>
          </w:tcPr>
          <w:p w14:paraId="249D0868"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96,4</w:t>
            </w:r>
          </w:p>
        </w:tc>
        <w:tc>
          <w:tcPr>
            <w:tcW w:w="633" w:type="pct"/>
          </w:tcPr>
          <w:p w14:paraId="37584BA2"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96,2</w:t>
            </w:r>
          </w:p>
        </w:tc>
        <w:tc>
          <w:tcPr>
            <w:tcW w:w="634" w:type="pct"/>
            <w:shd w:val="clear" w:color="auto" w:fill="auto"/>
            <w:noWrap/>
            <w:hideMark/>
          </w:tcPr>
          <w:p w14:paraId="515A5520"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96,2</w:t>
            </w:r>
          </w:p>
        </w:tc>
        <w:tc>
          <w:tcPr>
            <w:tcW w:w="634" w:type="pct"/>
            <w:shd w:val="clear" w:color="auto" w:fill="auto"/>
            <w:hideMark/>
          </w:tcPr>
          <w:p w14:paraId="11808D36"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-0,2</w:t>
            </w:r>
          </w:p>
        </w:tc>
        <w:tc>
          <w:tcPr>
            <w:tcW w:w="634" w:type="pct"/>
            <w:shd w:val="clear" w:color="auto" w:fill="auto"/>
            <w:hideMark/>
          </w:tcPr>
          <w:p w14:paraId="0BB60944"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-0,2</w:t>
            </w:r>
          </w:p>
        </w:tc>
        <w:tc>
          <w:tcPr>
            <w:tcW w:w="631" w:type="pct"/>
            <w:shd w:val="clear" w:color="auto" w:fill="auto"/>
            <w:noWrap/>
            <w:hideMark/>
          </w:tcPr>
          <w:p w14:paraId="618E3577"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1,4</w:t>
            </w:r>
          </w:p>
        </w:tc>
      </w:tr>
      <w:tr w:rsidR="000810C0" w:rsidRPr="00F27A03" w14:paraId="1744BE1B" w14:textId="77777777" w:rsidTr="000810C0">
        <w:trPr>
          <w:trHeight w:val="223"/>
          <w:jc w:val="center"/>
        </w:trPr>
        <w:tc>
          <w:tcPr>
            <w:tcW w:w="1202" w:type="pct"/>
            <w:shd w:val="clear" w:color="auto" w:fill="auto"/>
            <w:noWrap/>
            <w:vAlign w:val="center"/>
            <w:hideMark/>
          </w:tcPr>
          <w:p w14:paraId="2747AE10"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Доприноси</w:t>
            </w:r>
          </w:p>
        </w:tc>
        <w:tc>
          <w:tcPr>
            <w:tcW w:w="633" w:type="pct"/>
            <w:shd w:val="clear" w:color="auto" w:fill="auto"/>
            <w:hideMark/>
          </w:tcPr>
          <w:p w14:paraId="03ED5AC2"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925,8</w:t>
            </w:r>
          </w:p>
        </w:tc>
        <w:tc>
          <w:tcPr>
            <w:tcW w:w="633" w:type="pct"/>
          </w:tcPr>
          <w:p w14:paraId="43BF67C5"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931,5</w:t>
            </w:r>
          </w:p>
        </w:tc>
        <w:tc>
          <w:tcPr>
            <w:tcW w:w="634" w:type="pct"/>
            <w:shd w:val="clear" w:color="auto" w:fill="auto"/>
            <w:noWrap/>
            <w:hideMark/>
          </w:tcPr>
          <w:p w14:paraId="20FCB940"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947,7</w:t>
            </w:r>
          </w:p>
        </w:tc>
        <w:tc>
          <w:tcPr>
            <w:tcW w:w="634" w:type="pct"/>
            <w:shd w:val="clear" w:color="auto" w:fill="auto"/>
            <w:hideMark/>
          </w:tcPr>
          <w:p w14:paraId="1A5B8712"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21,9</w:t>
            </w:r>
          </w:p>
        </w:tc>
        <w:tc>
          <w:tcPr>
            <w:tcW w:w="634" w:type="pct"/>
            <w:shd w:val="clear" w:color="auto" w:fill="auto"/>
            <w:hideMark/>
          </w:tcPr>
          <w:p w14:paraId="44598791"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2,4</w:t>
            </w:r>
          </w:p>
        </w:tc>
        <w:tc>
          <w:tcPr>
            <w:tcW w:w="631" w:type="pct"/>
            <w:shd w:val="clear" w:color="auto" w:fill="auto"/>
            <w:noWrap/>
            <w:hideMark/>
          </w:tcPr>
          <w:p w14:paraId="39B2B133"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13,4</w:t>
            </w:r>
          </w:p>
        </w:tc>
      </w:tr>
      <w:tr w:rsidR="000810C0" w:rsidRPr="00F27A03" w14:paraId="59591853" w14:textId="77777777" w:rsidTr="000810C0">
        <w:trPr>
          <w:trHeight w:val="223"/>
          <w:jc w:val="center"/>
        </w:trPr>
        <w:tc>
          <w:tcPr>
            <w:tcW w:w="1202" w:type="pct"/>
            <w:shd w:val="clear" w:color="auto" w:fill="auto"/>
            <w:noWrap/>
            <w:vAlign w:val="center"/>
            <w:hideMark/>
          </w:tcPr>
          <w:p w14:paraId="433DDDB6"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Непорески приходи</w:t>
            </w:r>
          </w:p>
        </w:tc>
        <w:tc>
          <w:tcPr>
            <w:tcW w:w="633" w:type="pct"/>
            <w:shd w:val="clear" w:color="auto" w:fill="auto"/>
            <w:hideMark/>
          </w:tcPr>
          <w:p w14:paraId="376F6908"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251,5</w:t>
            </w:r>
          </w:p>
        </w:tc>
        <w:tc>
          <w:tcPr>
            <w:tcW w:w="633" w:type="pct"/>
          </w:tcPr>
          <w:p w14:paraId="481D308C"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265,7</w:t>
            </w:r>
          </w:p>
        </w:tc>
        <w:tc>
          <w:tcPr>
            <w:tcW w:w="634" w:type="pct"/>
            <w:shd w:val="clear" w:color="auto" w:fill="auto"/>
            <w:noWrap/>
            <w:hideMark/>
          </w:tcPr>
          <w:p w14:paraId="22DC4021"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278,3</w:t>
            </w:r>
          </w:p>
        </w:tc>
        <w:tc>
          <w:tcPr>
            <w:tcW w:w="634" w:type="pct"/>
            <w:shd w:val="clear" w:color="auto" w:fill="auto"/>
            <w:hideMark/>
          </w:tcPr>
          <w:p w14:paraId="76950096"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26,8</w:t>
            </w:r>
          </w:p>
        </w:tc>
        <w:tc>
          <w:tcPr>
            <w:tcW w:w="634" w:type="pct"/>
            <w:shd w:val="clear" w:color="auto" w:fill="auto"/>
            <w:hideMark/>
          </w:tcPr>
          <w:p w14:paraId="4D446916"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10,7</w:t>
            </w:r>
          </w:p>
        </w:tc>
        <w:tc>
          <w:tcPr>
            <w:tcW w:w="631" w:type="pct"/>
            <w:shd w:val="clear" w:color="auto" w:fill="auto"/>
            <w:noWrap/>
            <w:hideMark/>
          </w:tcPr>
          <w:p w14:paraId="54804EBA"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3,9</w:t>
            </w:r>
          </w:p>
        </w:tc>
      </w:tr>
      <w:tr w:rsidR="000810C0" w:rsidRPr="00F27A03" w14:paraId="1804494B" w14:textId="77777777" w:rsidTr="000810C0">
        <w:trPr>
          <w:trHeight w:val="223"/>
          <w:jc w:val="center"/>
        </w:trPr>
        <w:tc>
          <w:tcPr>
            <w:tcW w:w="1202" w:type="pct"/>
            <w:shd w:val="clear" w:color="auto" w:fill="auto"/>
            <w:noWrap/>
            <w:vAlign w:val="center"/>
            <w:hideMark/>
          </w:tcPr>
          <w:p w14:paraId="4A07116D"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Донације</w:t>
            </w:r>
          </w:p>
        </w:tc>
        <w:tc>
          <w:tcPr>
            <w:tcW w:w="633" w:type="pct"/>
            <w:shd w:val="clear" w:color="auto" w:fill="auto"/>
            <w:hideMark/>
          </w:tcPr>
          <w:p w14:paraId="0C34644F"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25,9</w:t>
            </w:r>
          </w:p>
        </w:tc>
        <w:tc>
          <w:tcPr>
            <w:tcW w:w="633" w:type="pct"/>
          </w:tcPr>
          <w:p w14:paraId="50F8D8C8"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25,9</w:t>
            </w:r>
          </w:p>
        </w:tc>
        <w:tc>
          <w:tcPr>
            <w:tcW w:w="634" w:type="pct"/>
            <w:shd w:val="clear" w:color="auto" w:fill="auto"/>
            <w:noWrap/>
            <w:hideMark/>
          </w:tcPr>
          <w:p w14:paraId="75A13F54"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21,7</w:t>
            </w:r>
          </w:p>
        </w:tc>
        <w:tc>
          <w:tcPr>
            <w:tcW w:w="634" w:type="pct"/>
            <w:shd w:val="clear" w:color="auto" w:fill="auto"/>
            <w:hideMark/>
          </w:tcPr>
          <w:p w14:paraId="46076F14"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-4,2</w:t>
            </w:r>
          </w:p>
        </w:tc>
        <w:tc>
          <w:tcPr>
            <w:tcW w:w="634" w:type="pct"/>
            <w:shd w:val="clear" w:color="auto" w:fill="auto"/>
            <w:hideMark/>
          </w:tcPr>
          <w:p w14:paraId="263D2BF5"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-16,1</w:t>
            </w:r>
          </w:p>
        </w:tc>
        <w:tc>
          <w:tcPr>
            <w:tcW w:w="631" w:type="pct"/>
            <w:shd w:val="clear" w:color="auto" w:fill="auto"/>
            <w:noWrap/>
            <w:hideMark/>
          </w:tcPr>
          <w:p w14:paraId="13CC19BE"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0,3</w:t>
            </w:r>
          </w:p>
        </w:tc>
      </w:tr>
      <w:tr w:rsidR="000810C0" w:rsidRPr="00F27A03" w14:paraId="0F87D309" w14:textId="77777777" w:rsidTr="000810C0">
        <w:trPr>
          <w:trHeight w:val="223"/>
          <w:jc w:val="center"/>
        </w:trPr>
        <w:tc>
          <w:tcPr>
            <w:tcW w:w="1202" w:type="pct"/>
            <w:shd w:val="clear" w:color="auto" w:fill="E7E6E6" w:themeFill="background2"/>
            <w:noWrap/>
            <w:vAlign w:val="center"/>
            <w:hideMark/>
          </w:tcPr>
          <w:p w14:paraId="777C8FB8" w14:textId="77777777" w:rsidR="00ED5386" w:rsidRPr="00F27A03" w:rsidRDefault="00ED5386" w:rsidP="00ED5386">
            <w:pPr>
              <w:spacing w:after="0" w:line="240" w:lineRule="auto"/>
              <w:jc w:val="left"/>
              <w:rPr>
                <w:rFonts w:cstheme="minorHAnsi"/>
                <w:color w:val="002060"/>
                <w:sz w:val="18"/>
                <w:szCs w:val="18"/>
                <w:lang w:val="sr-Cyrl-CS"/>
              </w:rPr>
            </w:pPr>
            <w:r w:rsidRPr="00F27A03">
              <w:rPr>
                <w:rFonts w:eastAsia="MS PGothic" w:cstheme="minorHAnsi"/>
                <w:color w:val="002060"/>
                <w:sz w:val="18"/>
                <w:szCs w:val="18"/>
                <w:lang w:val="sr-Cyrl-CS" w:eastAsia="ja-JP"/>
              </w:rPr>
              <w:t>ЈАВНИ РАСХОДИ</w:t>
            </w:r>
          </w:p>
        </w:tc>
        <w:tc>
          <w:tcPr>
            <w:tcW w:w="633" w:type="pct"/>
            <w:shd w:val="clear" w:color="auto" w:fill="E7E6E6" w:themeFill="background2"/>
            <w:hideMark/>
          </w:tcPr>
          <w:p w14:paraId="00A27F02"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3.004,3</w:t>
            </w:r>
          </w:p>
        </w:tc>
        <w:tc>
          <w:tcPr>
            <w:tcW w:w="633" w:type="pct"/>
            <w:shd w:val="clear" w:color="auto" w:fill="E7E6E6" w:themeFill="background2"/>
          </w:tcPr>
          <w:p w14:paraId="74EF1843"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3.107,7</w:t>
            </w:r>
          </w:p>
        </w:tc>
        <w:tc>
          <w:tcPr>
            <w:tcW w:w="634" w:type="pct"/>
            <w:shd w:val="clear" w:color="auto" w:fill="E7E6E6" w:themeFill="background2"/>
            <w:noWrap/>
            <w:hideMark/>
          </w:tcPr>
          <w:p w14:paraId="1382A673"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3.311,7</w:t>
            </w:r>
          </w:p>
        </w:tc>
        <w:tc>
          <w:tcPr>
            <w:tcW w:w="634" w:type="pct"/>
            <w:shd w:val="clear" w:color="auto" w:fill="E7E6E6" w:themeFill="background2"/>
            <w:hideMark/>
          </w:tcPr>
          <w:p w14:paraId="16383C35"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307,4</w:t>
            </w:r>
          </w:p>
        </w:tc>
        <w:tc>
          <w:tcPr>
            <w:tcW w:w="634" w:type="pct"/>
            <w:shd w:val="clear" w:color="auto" w:fill="E7E6E6" w:themeFill="background2"/>
            <w:hideMark/>
          </w:tcPr>
          <w:p w14:paraId="066A7A19"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10,2</w:t>
            </w:r>
          </w:p>
        </w:tc>
        <w:tc>
          <w:tcPr>
            <w:tcW w:w="631" w:type="pct"/>
            <w:shd w:val="clear" w:color="auto" w:fill="E7E6E6" w:themeFill="background2"/>
            <w:noWrap/>
            <w:hideMark/>
          </w:tcPr>
          <w:p w14:paraId="3DDAD771"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46,8</w:t>
            </w:r>
          </w:p>
        </w:tc>
      </w:tr>
      <w:tr w:rsidR="000810C0" w:rsidRPr="00F27A03" w14:paraId="3C46889A" w14:textId="77777777" w:rsidTr="000810C0">
        <w:trPr>
          <w:trHeight w:val="223"/>
          <w:jc w:val="center"/>
        </w:trPr>
        <w:tc>
          <w:tcPr>
            <w:tcW w:w="1202" w:type="pct"/>
            <w:shd w:val="clear" w:color="auto" w:fill="auto"/>
            <w:noWrap/>
            <w:vAlign w:val="center"/>
            <w:hideMark/>
          </w:tcPr>
          <w:p w14:paraId="68B7B099"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Текући расходи</w:t>
            </w:r>
          </w:p>
        </w:tc>
        <w:tc>
          <w:tcPr>
            <w:tcW w:w="633" w:type="pct"/>
            <w:shd w:val="clear" w:color="auto" w:fill="auto"/>
            <w:hideMark/>
          </w:tcPr>
          <w:p w14:paraId="69FEBD7D"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2.489,9</w:t>
            </w:r>
          </w:p>
        </w:tc>
        <w:tc>
          <w:tcPr>
            <w:tcW w:w="633" w:type="pct"/>
          </w:tcPr>
          <w:p w14:paraId="6CB8516E"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2.556,8</w:t>
            </w:r>
          </w:p>
        </w:tc>
        <w:tc>
          <w:tcPr>
            <w:tcW w:w="634" w:type="pct"/>
            <w:shd w:val="clear" w:color="auto" w:fill="auto"/>
            <w:noWrap/>
            <w:hideMark/>
          </w:tcPr>
          <w:p w14:paraId="7618CDD0"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2.620,8</w:t>
            </w:r>
          </w:p>
        </w:tc>
        <w:tc>
          <w:tcPr>
            <w:tcW w:w="634" w:type="pct"/>
            <w:shd w:val="clear" w:color="auto" w:fill="auto"/>
            <w:hideMark/>
          </w:tcPr>
          <w:p w14:paraId="309C9149"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130,9</w:t>
            </w:r>
          </w:p>
        </w:tc>
        <w:tc>
          <w:tcPr>
            <w:tcW w:w="634" w:type="pct"/>
            <w:shd w:val="clear" w:color="auto" w:fill="auto"/>
            <w:hideMark/>
          </w:tcPr>
          <w:p w14:paraId="017E6694"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5,3</w:t>
            </w:r>
          </w:p>
        </w:tc>
        <w:tc>
          <w:tcPr>
            <w:tcW w:w="631" w:type="pct"/>
            <w:shd w:val="clear" w:color="auto" w:fill="auto"/>
            <w:noWrap/>
            <w:hideMark/>
          </w:tcPr>
          <w:p w14:paraId="6931F30F"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37,0</w:t>
            </w:r>
          </w:p>
        </w:tc>
      </w:tr>
      <w:tr w:rsidR="000810C0" w:rsidRPr="00F27A03" w14:paraId="36DF0B6E" w14:textId="77777777" w:rsidTr="000810C0">
        <w:trPr>
          <w:trHeight w:val="223"/>
          <w:jc w:val="center"/>
        </w:trPr>
        <w:tc>
          <w:tcPr>
            <w:tcW w:w="1202" w:type="pct"/>
            <w:shd w:val="clear" w:color="auto" w:fill="auto"/>
            <w:noWrap/>
            <w:vAlign w:val="center"/>
            <w:hideMark/>
          </w:tcPr>
          <w:p w14:paraId="78F34E70"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Расходи за запослене</w:t>
            </w:r>
          </w:p>
        </w:tc>
        <w:tc>
          <w:tcPr>
            <w:tcW w:w="633" w:type="pct"/>
            <w:shd w:val="clear" w:color="auto" w:fill="auto"/>
            <w:hideMark/>
          </w:tcPr>
          <w:p w14:paraId="29151E5E"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673,1</w:t>
            </w:r>
          </w:p>
        </w:tc>
        <w:tc>
          <w:tcPr>
            <w:tcW w:w="633" w:type="pct"/>
          </w:tcPr>
          <w:p w14:paraId="2A3AC368"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674,9</w:t>
            </w:r>
          </w:p>
        </w:tc>
        <w:tc>
          <w:tcPr>
            <w:tcW w:w="634" w:type="pct"/>
            <w:shd w:val="clear" w:color="auto" w:fill="auto"/>
            <w:noWrap/>
            <w:hideMark/>
          </w:tcPr>
          <w:p w14:paraId="2B673CA8"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688,4</w:t>
            </w:r>
          </w:p>
        </w:tc>
        <w:tc>
          <w:tcPr>
            <w:tcW w:w="634" w:type="pct"/>
            <w:shd w:val="clear" w:color="auto" w:fill="auto"/>
            <w:hideMark/>
          </w:tcPr>
          <w:p w14:paraId="328EC4A3"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15,3</w:t>
            </w:r>
          </w:p>
        </w:tc>
        <w:tc>
          <w:tcPr>
            <w:tcW w:w="634" w:type="pct"/>
            <w:shd w:val="clear" w:color="auto" w:fill="auto"/>
            <w:hideMark/>
          </w:tcPr>
          <w:p w14:paraId="2A1A5F42"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2,3</w:t>
            </w:r>
          </w:p>
        </w:tc>
        <w:tc>
          <w:tcPr>
            <w:tcW w:w="631" w:type="pct"/>
            <w:shd w:val="clear" w:color="auto" w:fill="auto"/>
            <w:noWrap/>
            <w:hideMark/>
          </w:tcPr>
          <w:p w14:paraId="50C529BD"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9,7</w:t>
            </w:r>
          </w:p>
        </w:tc>
      </w:tr>
      <w:tr w:rsidR="000810C0" w:rsidRPr="00F27A03" w14:paraId="07341061" w14:textId="77777777" w:rsidTr="000810C0">
        <w:trPr>
          <w:trHeight w:val="223"/>
          <w:jc w:val="center"/>
        </w:trPr>
        <w:tc>
          <w:tcPr>
            <w:tcW w:w="1202" w:type="pct"/>
            <w:shd w:val="clear" w:color="auto" w:fill="auto"/>
            <w:noWrap/>
            <w:vAlign w:val="center"/>
            <w:hideMark/>
          </w:tcPr>
          <w:p w14:paraId="25C657A6"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Куповина робе и услуга</w:t>
            </w:r>
          </w:p>
        </w:tc>
        <w:tc>
          <w:tcPr>
            <w:tcW w:w="633" w:type="pct"/>
            <w:shd w:val="clear" w:color="auto" w:fill="auto"/>
            <w:hideMark/>
          </w:tcPr>
          <w:p w14:paraId="451D493B"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511,2</w:t>
            </w:r>
          </w:p>
        </w:tc>
        <w:tc>
          <w:tcPr>
            <w:tcW w:w="633" w:type="pct"/>
          </w:tcPr>
          <w:p w14:paraId="0F8F32AE"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529,9</w:t>
            </w:r>
          </w:p>
        </w:tc>
        <w:tc>
          <w:tcPr>
            <w:tcW w:w="634" w:type="pct"/>
            <w:shd w:val="clear" w:color="auto" w:fill="auto"/>
            <w:noWrap/>
            <w:hideMark/>
          </w:tcPr>
          <w:p w14:paraId="0397F350"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549,0</w:t>
            </w:r>
          </w:p>
        </w:tc>
        <w:tc>
          <w:tcPr>
            <w:tcW w:w="634" w:type="pct"/>
            <w:shd w:val="clear" w:color="auto" w:fill="auto"/>
            <w:hideMark/>
          </w:tcPr>
          <w:p w14:paraId="775DFD14"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37,8</w:t>
            </w:r>
          </w:p>
        </w:tc>
        <w:tc>
          <w:tcPr>
            <w:tcW w:w="634" w:type="pct"/>
            <w:shd w:val="clear" w:color="auto" w:fill="auto"/>
            <w:hideMark/>
          </w:tcPr>
          <w:p w14:paraId="6BC2F13B"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7,4</w:t>
            </w:r>
          </w:p>
        </w:tc>
        <w:tc>
          <w:tcPr>
            <w:tcW w:w="631" w:type="pct"/>
            <w:shd w:val="clear" w:color="auto" w:fill="auto"/>
            <w:noWrap/>
            <w:hideMark/>
          </w:tcPr>
          <w:p w14:paraId="30AD6623"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7,8</w:t>
            </w:r>
          </w:p>
        </w:tc>
      </w:tr>
      <w:tr w:rsidR="000810C0" w:rsidRPr="00F27A03" w14:paraId="2CB9627B" w14:textId="77777777" w:rsidTr="000810C0">
        <w:trPr>
          <w:trHeight w:val="223"/>
          <w:jc w:val="center"/>
        </w:trPr>
        <w:tc>
          <w:tcPr>
            <w:tcW w:w="1202" w:type="pct"/>
            <w:shd w:val="clear" w:color="auto" w:fill="auto"/>
            <w:noWrap/>
            <w:vAlign w:val="center"/>
            <w:hideMark/>
          </w:tcPr>
          <w:p w14:paraId="73650D89"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Отплата камата</w:t>
            </w:r>
          </w:p>
        </w:tc>
        <w:tc>
          <w:tcPr>
            <w:tcW w:w="633" w:type="pct"/>
            <w:shd w:val="clear" w:color="auto" w:fill="auto"/>
            <w:hideMark/>
          </w:tcPr>
          <w:p w14:paraId="06C538BC"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118,6</w:t>
            </w:r>
          </w:p>
        </w:tc>
        <w:tc>
          <w:tcPr>
            <w:tcW w:w="633" w:type="pct"/>
          </w:tcPr>
          <w:p w14:paraId="571E306E"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118,6</w:t>
            </w:r>
          </w:p>
        </w:tc>
        <w:tc>
          <w:tcPr>
            <w:tcW w:w="634" w:type="pct"/>
            <w:shd w:val="clear" w:color="auto" w:fill="auto"/>
            <w:noWrap/>
            <w:hideMark/>
          </w:tcPr>
          <w:p w14:paraId="3C34C547"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115,5</w:t>
            </w:r>
          </w:p>
        </w:tc>
        <w:tc>
          <w:tcPr>
            <w:tcW w:w="634" w:type="pct"/>
            <w:shd w:val="clear" w:color="auto" w:fill="auto"/>
            <w:hideMark/>
          </w:tcPr>
          <w:p w14:paraId="4F80FC0D"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-3,1</w:t>
            </w:r>
          </w:p>
        </w:tc>
        <w:tc>
          <w:tcPr>
            <w:tcW w:w="634" w:type="pct"/>
            <w:shd w:val="clear" w:color="auto" w:fill="auto"/>
            <w:hideMark/>
          </w:tcPr>
          <w:p w14:paraId="22524E99"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-2,6</w:t>
            </w:r>
          </w:p>
        </w:tc>
        <w:tc>
          <w:tcPr>
            <w:tcW w:w="631" w:type="pct"/>
            <w:shd w:val="clear" w:color="auto" w:fill="auto"/>
            <w:noWrap/>
            <w:hideMark/>
          </w:tcPr>
          <w:p w14:paraId="4A9E0F2F"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1,6</w:t>
            </w:r>
          </w:p>
        </w:tc>
      </w:tr>
      <w:tr w:rsidR="000810C0" w:rsidRPr="00F27A03" w14:paraId="4252CFD3" w14:textId="77777777" w:rsidTr="000810C0">
        <w:trPr>
          <w:trHeight w:val="223"/>
          <w:jc w:val="center"/>
        </w:trPr>
        <w:tc>
          <w:tcPr>
            <w:tcW w:w="1202" w:type="pct"/>
            <w:shd w:val="clear" w:color="auto" w:fill="auto"/>
            <w:noWrap/>
            <w:vAlign w:val="center"/>
            <w:hideMark/>
          </w:tcPr>
          <w:p w14:paraId="5F03CB71"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Субвенције</w:t>
            </w:r>
          </w:p>
        </w:tc>
        <w:tc>
          <w:tcPr>
            <w:tcW w:w="633" w:type="pct"/>
            <w:shd w:val="clear" w:color="auto" w:fill="auto"/>
            <w:hideMark/>
          </w:tcPr>
          <w:p w14:paraId="2FA0A82F"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165,6</w:t>
            </w:r>
          </w:p>
        </w:tc>
        <w:tc>
          <w:tcPr>
            <w:tcW w:w="633" w:type="pct"/>
          </w:tcPr>
          <w:p w14:paraId="4160EFC3"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166,9</w:t>
            </w:r>
          </w:p>
        </w:tc>
        <w:tc>
          <w:tcPr>
            <w:tcW w:w="634" w:type="pct"/>
            <w:shd w:val="clear" w:color="auto" w:fill="auto"/>
            <w:noWrap/>
            <w:hideMark/>
          </w:tcPr>
          <w:p w14:paraId="3EDAD9C4"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183,4</w:t>
            </w:r>
          </w:p>
        </w:tc>
        <w:tc>
          <w:tcPr>
            <w:tcW w:w="634" w:type="pct"/>
            <w:shd w:val="clear" w:color="auto" w:fill="auto"/>
            <w:hideMark/>
          </w:tcPr>
          <w:p w14:paraId="6CE10A71"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17,8</w:t>
            </w:r>
          </w:p>
        </w:tc>
        <w:tc>
          <w:tcPr>
            <w:tcW w:w="634" w:type="pct"/>
            <w:shd w:val="clear" w:color="auto" w:fill="auto"/>
            <w:hideMark/>
          </w:tcPr>
          <w:p w14:paraId="105A93E1"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10,7</w:t>
            </w:r>
          </w:p>
        </w:tc>
        <w:tc>
          <w:tcPr>
            <w:tcW w:w="631" w:type="pct"/>
            <w:shd w:val="clear" w:color="auto" w:fill="auto"/>
            <w:noWrap/>
            <w:hideMark/>
          </w:tcPr>
          <w:p w14:paraId="7DE7D7E8"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2,6</w:t>
            </w:r>
          </w:p>
        </w:tc>
      </w:tr>
      <w:tr w:rsidR="000810C0" w:rsidRPr="00F27A03" w14:paraId="09EA3554" w14:textId="77777777" w:rsidTr="000810C0">
        <w:trPr>
          <w:trHeight w:val="223"/>
          <w:jc w:val="center"/>
        </w:trPr>
        <w:tc>
          <w:tcPr>
            <w:tcW w:w="1202" w:type="pct"/>
            <w:shd w:val="clear" w:color="auto" w:fill="auto"/>
            <w:noWrap/>
            <w:vAlign w:val="center"/>
            <w:hideMark/>
          </w:tcPr>
          <w:p w14:paraId="7DFBA4E5"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Социјална помоћ и трансфери</w:t>
            </w:r>
          </w:p>
        </w:tc>
        <w:tc>
          <w:tcPr>
            <w:tcW w:w="633" w:type="pct"/>
            <w:shd w:val="clear" w:color="auto" w:fill="auto"/>
            <w:hideMark/>
          </w:tcPr>
          <w:p w14:paraId="39F1DDD4"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914,7</w:t>
            </w:r>
          </w:p>
        </w:tc>
        <w:tc>
          <w:tcPr>
            <w:tcW w:w="633" w:type="pct"/>
          </w:tcPr>
          <w:p w14:paraId="0ED7D294"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916,1</w:t>
            </w:r>
          </w:p>
        </w:tc>
        <w:tc>
          <w:tcPr>
            <w:tcW w:w="634" w:type="pct"/>
            <w:shd w:val="clear" w:color="auto" w:fill="auto"/>
            <w:noWrap/>
            <w:hideMark/>
          </w:tcPr>
          <w:p w14:paraId="08B632F6"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922,0</w:t>
            </w:r>
          </w:p>
        </w:tc>
        <w:tc>
          <w:tcPr>
            <w:tcW w:w="634" w:type="pct"/>
            <w:shd w:val="clear" w:color="auto" w:fill="auto"/>
            <w:hideMark/>
          </w:tcPr>
          <w:p w14:paraId="50CDCDE0"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7,3</w:t>
            </w:r>
          </w:p>
        </w:tc>
        <w:tc>
          <w:tcPr>
            <w:tcW w:w="634" w:type="pct"/>
            <w:shd w:val="clear" w:color="auto" w:fill="auto"/>
            <w:hideMark/>
          </w:tcPr>
          <w:p w14:paraId="025FE14C"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0,8</w:t>
            </w:r>
          </w:p>
        </w:tc>
        <w:tc>
          <w:tcPr>
            <w:tcW w:w="631" w:type="pct"/>
            <w:shd w:val="clear" w:color="auto" w:fill="auto"/>
            <w:noWrap/>
            <w:hideMark/>
          </w:tcPr>
          <w:p w14:paraId="3352C8B2"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13,0</w:t>
            </w:r>
          </w:p>
        </w:tc>
      </w:tr>
      <w:tr w:rsidR="000810C0" w:rsidRPr="00F27A03" w14:paraId="0743E4B3" w14:textId="77777777" w:rsidTr="000810C0">
        <w:trPr>
          <w:trHeight w:val="223"/>
          <w:jc w:val="center"/>
        </w:trPr>
        <w:tc>
          <w:tcPr>
            <w:tcW w:w="1202" w:type="pct"/>
            <w:shd w:val="clear" w:color="auto" w:fill="auto"/>
            <w:noWrap/>
            <w:vAlign w:val="center"/>
            <w:hideMark/>
          </w:tcPr>
          <w:p w14:paraId="790C87C4"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од чега пензије</w:t>
            </w:r>
          </w:p>
        </w:tc>
        <w:tc>
          <w:tcPr>
            <w:tcW w:w="633" w:type="pct"/>
            <w:shd w:val="clear" w:color="auto" w:fill="auto"/>
            <w:hideMark/>
          </w:tcPr>
          <w:p w14:paraId="70C16981"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645,7</w:t>
            </w:r>
          </w:p>
        </w:tc>
        <w:tc>
          <w:tcPr>
            <w:tcW w:w="633" w:type="pct"/>
          </w:tcPr>
          <w:p w14:paraId="46F96B14"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636,1</w:t>
            </w:r>
          </w:p>
        </w:tc>
        <w:tc>
          <w:tcPr>
            <w:tcW w:w="634" w:type="pct"/>
            <w:shd w:val="clear" w:color="auto" w:fill="auto"/>
            <w:noWrap/>
            <w:hideMark/>
          </w:tcPr>
          <w:p w14:paraId="698DC9C9"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638,6</w:t>
            </w:r>
          </w:p>
        </w:tc>
        <w:tc>
          <w:tcPr>
            <w:tcW w:w="634" w:type="pct"/>
            <w:shd w:val="clear" w:color="auto" w:fill="auto"/>
            <w:hideMark/>
          </w:tcPr>
          <w:p w14:paraId="7F8316F5"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-7,1</w:t>
            </w:r>
          </w:p>
        </w:tc>
        <w:tc>
          <w:tcPr>
            <w:tcW w:w="634" w:type="pct"/>
            <w:shd w:val="clear" w:color="auto" w:fill="auto"/>
            <w:hideMark/>
          </w:tcPr>
          <w:p w14:paraId="6314A745"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-1,1</w:t>
            </w:r>
          </w:p>
        </w:tc>
        <w:tc>
          <w:tcPr>
            <w:tcW w:w="631" w:type="pct"/>
            <w:shd w:val="clear" w:color="auto" w:fill="auto"/>
            <w:noWrap/>
            <w:hideMark/>
          </w:tcPr>
          <w:p w14:paraId="2A61DC0F"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9,0</w:t>
            </w:r>
          </w:p>
        </w:tc>
      </w:tr>
      <w:tr w:rsidR="000810C0" w:rsidRPr="00F27A03" w14:paraId="4B280DE8" w14:textId="77777777" w:rsidTr="000810C0">
        <w:trPr>
          <w:trHeight w:val="223"/>
          <w:jc w:val="center"/>
        </w:trPr>
        <w:tc>
          <w:tcPr>
            <w:tcW w:w="1202" w:type="pct"/>
            <w:shd w:val="clear" w:color="auto" w:fill="auto"/>
            <w:noWrap/>
            <w:vAlign w:val="center"/>
            <w:hideMark/>
          </w:tcPr>
          <w:p w14:paraId="52A951D0"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Остали текући расходи</w:t>
            </w:r>
          </w:p>
        </w:tc>
        <w:tc>
          <w:tcPr>
            <w:tcW w:w="633" w:type="pct"/>
            <w:shd w:val="clear" w:color="auto" w:fill="auto"/>
            <w:hideMark/>
          </w:tcPr>
          <w:p w14:paraId="44B46789"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106,7</w:t>
            </w:r>
          </w:p>
        </w:tc>
        <w:tc>
          <w:tcPr>
            <w:tcW w:w="633" w:type="pct"/>
          </w:tcPr>
          <w:p w14:paraId="57F4DDD7"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150,4</w:t>
            </w:r>
          </w:p>
        </w:tc>
        <w:tc>
          <w:tcPr>
            <w:tcW w:w="634" w:type="pct"/>
            <w:shd w:val="clear" w:color="auto" w:fill="auto"/>
            <w:noWrap/>
            <w:hideMark/>
          </w:tcPr>
          <w:p w14:paraId="67EF7099"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162,5</w:t>
            </w:r>
          </w:p>
        </w:tc>
        <w:tc>
          <w:tcPr>
            <w:tcW w:w="634" w:type="pct"/>
            <w:shd w:val="clear" w:color="auto" w:fill="auto"/>
            <w:hideMark/>
          </w:tcPr>
          <w:p w14:paraId="67BF8235"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55,8</w:t>
            </w:r>
          </w:p>
        </w:tc>
        <w:tc>
          <w:tcPr>
            <w:tcW w:w="634" w:type="pct"/>
            <w:shd w:val="clear" w:color="auto" w:fill="auto"/>
            <w:hideMark/>
          </w:tcPr>
          <w:p w14:paraId="38F32949"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52,3</w:t>
            </w:r>
          </w:p>
        </w:tc>
        <w:tc>
          <w:tcPr>
            <w:tcW w:w="631" w:type="pct"/>
            <w:shd w:val="clear" w:color="auto" w:fill="auto"/>
            <w:noWrap/>
            <w:hideMark/>
          </w:tcPr>
          <w:p w14:paraId="63839CED"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2,3</w:t>
            </w:r>
          </w:p>
        </w:tc>
      </w:tr>
      <w:tr w:rsidR="000810C0" w:rsidRPr="00F27A03" w14:paraId="0A4717BA" w14:textId="77777777" w:rsidTr="000810C0">
        <w:trPr>
          <w:trHeight w:val="223"/>
          <w:jc w:val="center"/>
        </w:trPr>
        <w:tc>
          <w:tcPr>
            <w:tcW w:w="1202" w:type="pct"/>
            <w:shd w:val="clear" w:color="auto" w:fill="auto"/>
            <w:noWrap/>
            <w:vAlign w:val="center"/>
            <w:hideMark/>
          </w:tcPr>
          <w:p w14:paraId="5AAA6701"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Капитални расходи</w:t>
            </w:r>
          </w:p>
        </w:tc>
        <w:tc>
          <w:tcPr>
            <w:tcW w:w="633" w:type="pct"/>
            <w:shd w:val="clear" w:color="auto" w:fill="auto"/>
            <w:hideMark/>
          </w:tcPr>
          <w:p w14:paraId="563E7684"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485,8</w:t>
            </w:r>
          </w:p>
        </w:tc>
        <w:tc>
          <w:tcPr>
            <w:tcW w:w="633" w:type="pct"/>
          </w:tcPr>
          <w:p w14:paraId="35558809"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496,8</w:t>
            </w:r>
          </w:p>
        </w:tc>
        <w:tc>
          <w:tcPr>
            <w:tcW w:w="634" w:type="pct"/>
            <w:shd w:val="clear" w:color="auto" w:fill="auto"/>
            <w:noWrap/>
            <w:hideMark/>
          </w:tcPr>
          <w:p w14:paraId="2D509232"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519,3</w:t>
            </w:r>
          </w:p>
        </w:tc>
        <w:tc>
          <w:tcPr>
            <w:tcW w:w="634" w:type="pct"/>
            <w:shd w:val="clear" w:color="auto" w:fill="auto"/>
            <w:hideMark/>
          </w:tcPr>
          <w:p w14:paraId="0705423D"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33,5</w:t>
            </w:r>
          </w:p>
        </w:tc>
        <w:tc>
          <w:tcPr>
            <w:tcW w:w="634" w:type="pct"/>
            <w:shd w:val="clear" w:color="auto" w:fill="auto"/>
            <w:hideMark/>
          </w:tcPr>
          <w:p w14:paraId="6FCAC8DE"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6,9</w:t>
            </w:r>
          </w:p>
        </w:tc>
        <w:tc>
          <w:tcPr>
            <w:tcW w:w="631" w:type="pct"/>
            <w:shd w:val="clear" w:color="auto" w:fill="auto"/>
            <w:noWrap/>
            <w:hideMark/>
          </w:tcPr>
          <w:p w14:paraId="5188DB04"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7,3</w:t>
            </w:r>
          </w:p>
        </w:tc>
      </w:tr>
      <w:tr w:rsidR="000810C0" w:rsidRPr="00F27A03" w14:paraId="677E4EC6" w14:textId="77777777" w:rsidTr="000810C0">
        <w:trPr>
          <w:trHeight w:val="223"/>
          <w:jc w:val="center"/>
        </w:trPr>
        <w:tc>
          <w:tcPr>
            <w:tcW w:w="1202" w:type="pct"/>
            <w:shd w:val="clear" w:color="auto" w:fill="auto"/>
            <w:noWrap/>
            <w:vAlign w:val="center"/>
            <w:hideMark/>
          </w:tcPr>
          <w:p w14:paraId="6465E3EE"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Нето буџетске позајмице</w:t>
            </w:r>
          </w:p>
        </w:tc>
        <w:tc>
          <w:tcPr>
            <w:tcW w:w="633" w:type="pct"/>
            <w:shd w:val="clear" w:color="auto" w:fill="auto"/>
            <w:hideMark/>
          </w:tcPr>
          <w:p w14:paraId="33E6057E"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13,4</w:t>
            </w:r>
          </w:p>
        </w:tc>
        <w:tc>
          <w:tcPr>
            <w:tcW w:w="633" w:type="pct"/>
          </w:tcPr>
          <w:p w14:paraId="1A6D790F"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38,9</w:t>
            </w:r>
          </w:p>
        </w:tc>
        <w:tc>
          <w:tcPr>
            <w:tcW w:w="634" w:type="pct"/>
            <w:shd w:val="clear" w:color="auto" w:fill="auto"/>
            <w:noWrap/>
            <w:hideMark/>
          </w:tcPr>
          <w:p w14:paraId="74C9F675"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153,4</w:t>
            </w:r>
          </w:p>
        </w:tc>
        <w:tc>
          <w:tcPr>
            <w:tcW w:w="634" w:type="pct"/>
            <w:shd w:val="clear" w:color="auto" w:fill="auto"/>
            <w:hideMark/>
          </w:tcPr>
          <w:p w14:paraId="0300E7AF"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140,0</w:t>
            </w:r>
          </w:p>
        </w:tc>
        <w:tc>
          <w:tcPr>
            <w:tcW w:w="634" w:type="pct"/>
            <w:shd w:val="clear" w:color="auto" w:fill="auto"/>
            <w:hideMark/>
          </w:tcPr>
          <w:p w14:paraId="54C4DDBE"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1.044,8</w:t>
            </w:r>
          </w:p>
        </w:tc>
        <w:tc>
          <w:tcPr>
            <w:tcW w:w="631" w:type="pct"/>
            <w:shd w:val="clear" w:color="auto" w:fill="auto"/>
            <w:noWrap/>
            <w:hideMark/>
          </w:tcPr>
          <w:p w14:paraId="1F7BB292"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2,2</w:t>
            </w:r>
          </w:p>
        </w:tc>
      </w:tr>
      <w:tr w:rsidR="000810C0" w:rsidRPr="00F27A03" w14:paraId="70D256D7" w14:textId="77777777" w:rsidTr="000810C0">
        <w:trPr>
          <w:trHeight w:val="223"/>
          <w:jc w:val="center"/>
        </w:trPr>
        <w:tc>
          <w:tcPr>
            <w:tcW w:w="1202" w:type="pct"/>
            <w:shd w:val="clear" w:color="auto" w:fill="auto"/>
            <w:noWrap/>
            <w:vAlign w:val="center"/>
            <w:hideMark/>
          </w:tcPr>
          <w:p w14:paraId="73A0E38F"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Активиране гаранције</w:t>
            </w:r>
          </w:p>
        </w:tc>
        <w:tc>
          <w:tcPr>
            <w:tcW w:w="633" w:type="pct"/>
            <w:shd w:val="clear" w:color="auto" w:fill="auto"/>
            <w:hideMark/>
          </w:tcPr>
          <w:p w14:paraId="7E46D8C9"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15,2</w:t>
            </w:r>
          </w:p>
        </w:tc>
        <w:tc>
          <w:tcPr>
            <w:tcW w:w="633" w:type="pct"/>
          </w:tcPr>
          <w:p w14:paraId="7EF79053"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15,2</w:t>
            </w:r>
          </w:p>
        </w:tc>
        <w:tc>
          <w:tcPr>
            <w:tcW w:w="634" w:type="pct"/>
            <w:shd w:val="clear" w:color="auto" w:fill="auto"/>
            <w:noWrap/>
            <w:hideMark/>
          </w:tcPr>
          <w:p w14:paraId="7A68C359"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18,2</w:t>
            </w:r>
          </w:p>
        </w:tc>
        <w:tc>
          <w:tcPr>
            <w:tcW w:w="634" w:type="pct"/>
            <w:shd w:val="clear" w:color="auto" w:fill="auto"/>
            <w:hideMark/>
          </w:tcPr>
          <w:p w14:paraId="201B2FA2"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3,0</w:t>
            </w:r>
          </w:p>
        </w:tc>
        <w:tc>
          <w:tcPr>
            <w:tcW w:w="634" w:type="pct"/>
            <w:shd w:val="clear" w:color="auto" w:fill="auto"/>
            <w:hideMark/>
          </w:tcPr>
          <w:p w14:paraId="4DFF2EE5"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19,7</w:t>
            </w:r>
          </w:p>
        </w:tc>
        <w:tc>
          <w:tcPr>
            <w:tcW w:w="631" w:type="pct"/>
            <w:shd w:val="clear" w:color="auto" w:fill="auto"/>
            <w:noWrap/>
            <w:hideMark/>
          </w:tcPr>
          <w:p w14:paraId="51B6E740"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0,3</w:t>
            </w:r>
          </w:p>
        </w:tc>
      </w:tr>
      <w:tr w:rsidR="000810C0" w:rsidRPr="00F27A03" w14:paraId="06EE913F" w14:textId="77777777" w:rsidTr="000810C0">
        <w:trPr>
          <w:trHeight w:val="223"/>
          <w:jc w:val="center"/>
        </w:trPr>
        <w:tc>
          <w:tcPr>
            <w:tcW w:w="1202" w:type="pct"/>
            <w:shd w:val="clear" w:color="auto" w:fill="E7E6E6" w:themeFill="background2"/>
            <w:noWrap/>
            <w:vAlign w:val="center"/>
            <w:hideMark/>
          </w:tcPr>
          <w:p w14:paraId="505A7914" w14:textId="77777777" w:rsidR="00ED5386" w:rsidRPr="00F27A03" w:rsidRDefault="00ED5386" w:rsidP="00ED5386">
            <w:pPr>
              <w:spacing w:after="0" w:line="240" w:lineRule="auto"/>
              <w:jc w:val="left"/>
              <w:rPr>
                <w:rFonts w:cstheme="minorHAnsi"/>
                <w:color w:val="002060"/>
                <w:sz w:val="18"/>
                <w:szCs w:val="18"/>
                <w:lang w:val="sr-Cyrl-CS"/>
              </w:rPr>
            </w:pPr>
            <w:r w:rsidRPr="00F27A03">
              <w:rPr>
                <w:rFonts w:eastAsia="MS PGothic" w:cstheme="minorHAnsi"/>
                <w:color w:val="002060"/>
                <w:sz w:val="18"/>
                <w:szCs w:val="18"/>
                <w:lang w:val="sr-Cyrl-CS" w:eastAsia="ja-JP"/>
              </w:rPr>
              <w:t>Резултат</w:t>
            </w:r>
          </w:p>
        </w:tc>
        <w:tc>
          <w:tcPr>
            <w:tcW w:w="633" w:type="pct"/>
            <w:shd w:val="clear" w:color="auto" w:fill="E7E6E6" w:themeFill="background2"/>
            <w:hideMark/>
          </w:tcPr>
          <w:p w14:paraId="39E3E196"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-200,2</w:t>
            </w:r>
          </w:p>
        </w:tc>
        <w:tc>
          <w:tcPr>
            <w:tcW w:w="633" w:type="pct"/>
            <w:shd w:val="clear" w:color="auto" w:fill="E7E6E6" w:themeFill="background2"/>
          </w:tcPr>
          <w:p w14:paraId="765211DA"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-206,7</w:t>
            </w:r>
          </w:p>
        </w:tc>
        <w:tc>
          <w:tcPr>
            <w:tcW w:w="634" w:type="pct"/>
            <w:shd w:val="clear" w:color="auto" w:fill="E7E6E6" w:themeFill="background2"/>
            <w:noWrap/>
            <w:hideMark/>
          </w:tcPr>
          <w:p w14:paraId="4583DAA5"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-271,2</w:t>
            </w:r>
          </w:p>
        </w:tc>
        <w:tc>
          <w:tcPr>
            <w:tcW w:w="634" w:type="pct"/>
            <w:shd w:val="clear" w:color="auto" w:fill="E7E6E6" w:themeFill="background2"/>
            <w:hideMark/>
          </w:tcPr>
          <w:p w14:paraId="6E67CEEB"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-71,0</w:t>
            </w:r>
          </w:p>
        </w:tc>
        <w:tc>
          <w:tcPr>
            <w:tcW w:w="634" w:type="pct"/>
            <w:shd w:val="clear" w:color="auto" w:fill="E7E6E6" w:themeFill="background2"/>
            <w:hideMark/>
          </w:tcPr>
          <w:p w14:paraId="1F7A0B8D" w14:textId="77777777" w:rsidR="00ED5386" w:rsidRPr="00F27A03" w:rsidRDefault="00ED5386" w:rsidP="000810C0">
            <w:pPr>
              <w:spacing w:after="0" w:line="240" w:lineRule="auto"/>
              <w:ind w:right="284"/>
              <w:jc w:val="right"/>
              <w:rPr>
                <w:rFonts w:cstheme="minorHAnsi"/>
                <w:color w:val="002060"/>
                <w:sz w:val="18"/>
                <w:szCs w:val="18"/>
                <w:lang w:val="sr-Cyrl-CS"/>
              </w:rPr>
            </w:pPr>
          </w:p>
        </w:tc>
        <w:tc>
          <w:tcPr>
            <w:tcW w:w="631" w:type="pct"/>
            <w:shd w:val="clear" w:color="auto" w:fill="E7E6E6" w:themeFill="background2"/>
            <w:noWrap/>
            <w:hideMark/>
          </w:tcPr>
          <w:p w14:paraId="2819F591" w14:textId="77777777" w:rsidR="00ED5386" w:rsidRPr="00F27A03" w:rsidRDefault="00ED5386" w:rsidP="000810C0">
            <w:pPr>
              <w:spacing w:after="0" w:line="240" w:lineRule="auto"/>
              <w:ind w:right="284"/>
              <w:jc w:val="right"/>
              <w:rPr>
                <w:rFonts w:cstheme="minorHAnsi"/>
                <w:color w:val="002060"/>
                <w:sz w:val="18"/>
                <w:szCs w:val="18"/>
                <w:lang w:val="sr-Cyrl-CS"/>
              </w:rPr>
            </w:pPr>
            <w:r w:rsidRPr="00F27A03">
              <w:rPr>
                <w:color w:val="002060"/>
                <w:sz w:val="18"/>
                <w:szCs w:val="18"/>
                <w:lang w:val="sr-Cyrl-CS"/>
              </w:rPr>
              <w:t>-3,8</w:t>
            </w:r>
          </w:p>
        </w:tc>
      </w:tr>
      <w:tr w:rsidR="000810C0" w:rsidRPr="00F27A03" w14:paraId="2913F056" w14:textId="77777777" w:rsidTr="000810C0">
        <w:trPr>
          <w:trHeight w:val="223"/>
          <w:jc w:val="center"/>
        </w:trPr>
        <w:tc>
          <w:tcPr>
            <w:tcW w:w="1202" w:type="pct"/>
            <w:tcBorders>
              <w:bottom w:val="single" w:sz="4" w:space="0" w:color="002060"/>
            </w:tcBorders>
            <w:shd w:val="clear" w:color="auto" w:fill="auto"/>
            <w:noWrap/>
            <w:vAlign w:val="center"/>
            <w:hideMark/>
          </w:tcPr>
          <w:p w14:paraId="0946E200" w14:textId="77777777" w:rsidR="00ED5386" w:rsidRPr="00F27A03" w:rsidRDefault="00ED5386" w:rsidP="00ED5386">
            <w:pPr>
              <w:spacing w:after="0" w:line="240" w:lineRule="auto"/>
              <w:jc w:val="left"/>
              <w:rPr>
                <w:rFonts w:cstheme="minorHAnsi"/>
                <w:color w:val="002060"/>
                <w:sz w:val="18"/>
                <w:szCs w:val="18"/>
                <w:lang w:val="sr-Cyrl-CS"/>
              </w:rPr>
            </w:pPr>
            <w:r w:rsidRPr="00F27A03">
              <w:rPr>
                <w:rFonts w:eastAsia="MS PGothic" w:cstheme="minorHAnsi"/>
                <w:color w:val="002060"/>
                <w:sz w:val="18"/>
                <w:szCs w:val="18"/>
                <w:lang w:val="sr-Cyrl-CS" w:eastAsia="ja-JP"/>
              </w:rPr>
              <w:t>Резултат у % БДП</w:t>
            </w:r>
          </w:p>
        </w:tc>
        <w:tc>
          <w:tcPr>
            <w:tcW w:w="633" w:type="pct"/>
            <w:tcBorders>
              <w:bottom w:val="single" w:sz="4" w:space="0" w:color="002060"/>
            </w:tcBorders>
            <w:shd w:val="clear" w:color="auto" w:fill="auto"/>
            <w:hideMark/>
          </w:tcPr>
          <w:p w14:paraId="7F58D1BE"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-3,0</w:t>
            </w:r>
          </w:p>
        </w:tc>
        <w:tc>
          <w:tcPr>
            <w:tcW w:w="633" w:type="pct"/>
            <w:tcBorders>
              <w:bottom w:val="single" w:sz="4" w:space="0" w:color="002060"/>
            </w:tcBorders>
          </w:tcPr>
          <w:p w14:paraId="0D736BA0" w14:textId="77777777" w:rsidR="00ED5386" w:rsidRPr="00F27A03" w:rsidRDefault="00ED5386" w:rsidP="000810C0">
            <w:pPr>
              <w:spacing w:after="0" w:line="240" w:lineRule="auto"/>
              <w:ind w:right="170"/>
              <w:jc w:val="right"/>
              <w:rPr>
                <w:color w:val="002060"/>
                <w:sz w:val="18"/>
                <w:szCs w:val="18"/>
                <w:lang w:val="sr-Cyrl-CS"/>
              </w:rPr>
            </w:pPr>
            <w:r w:rsidRPr="00F27A03">
              <w:rPr>
                <w:color w:val="002060"/>
                <w:sz w:val="18"/>
                <w:szCs w:val="18"/>
                <w:lang w:val="sr-Cyrl-CS"/>
              </w:rPr>
              <w:t>-3,0</w:t>
            </w:r>
          </w:p>
        </w:tc>
        <w:tc>
          <w:tcPr>
            <w:tcW w:w="634" w:type="pct"/>
            <w:tcBorders>
              <w:bottom w:val="single" w:sz="4" w:space="0" w:color="002060"/>
            </w:tcBorders>
            <w:shd w:val="clear" w:color="auto" w:fill="auto"/>
            <w:hideMark/>
          </w:tcPr>
          <w:p w14:paraId="1FF48782" w14:textId="77777777" w:rsidR="00ED5386" w:rsidRPr="00F27A03" w:rsidRDefault="00ED5386" w:rsidP="000810C0">
            <w:pPr>
              <w:spacing w:after="0" w:line="240" w:lineRule="auto"/>
              <w:ind w:right="170"/>
              <w:jc w:val="right"/>
              <w:rPr>
                <w:rFonts w:cstheme="minorHAnsi"/>
                <w:color w:val="002060"/>
                <w:sz w:val="18"/>
                <w:szCs w:val="18"/>
                <w:lang w:val="sr-Cyrl-CS"/>
              </w:rPr>
            </w:pPr>
            <w:r w:rsidRPr="00F27A03">
              <w:rPr>
                <w:color w:val="002060"/>
                <w:sz w:val="18"/>
                <w:szCs w:val="18"/>
                <w:lang w:val="sr-Cyrl-CS"/>
              </w:rPr>
              <w:t>-3,8</w:t>
            </w:r>
          </w:p>
        </w:tc>
        <w:tc>
          <w:tcPr>
            <w:tcW w:w="634" w:type="pct"/>
            <w:tcBorders>
              <w:bottom w:val="single" w:sz="4" w:space="0" w:color="002060"/>
            </w:tcBorders>
            <w:shd w:val="clear" w:color="auto" w:fill="auto"/>
            <w:hideMark/>
          </w:tcPr>
          <w:p w14:paraId="02FF4A6A" w14:textId="77777777" w:rsidR="00ED5386" w:rsidRPr="00F27A03" w:rsidRDefault="00ED5386" w:rsidP="000810C0">
            <w:pPr>
              <w:spacing w:after="0" w:line="240" w:lineRule="auto"/>
              <w:ind w:right="227"/>
              <w:jc w:val="right"/>
              <w:rPr>
                <w:rFonts w:cstheme="minorHAnsi"/>
                <w:color w:val="002060"/>
                <w:sz w:val="18"/>
                <w:szCs w:val="18"/>
                <w:lang w:val="sr-Cyrl-CS"/>
              </w:rPr>
            </w:pPr>
            <w:r w:rsidRPr="00F27A03">
              <w:rPr>
                <w:color w:val="002060"/>
                <w:sz w:val="18"/>
                <w:szCs w:val="18"/>
                <w:lang w:val="sr-Cyrl-CS"/>
              </w:rPr>
              <w:t>-0,8</w:t>
            </w:r>
          </w:p>
        </w:tc>
        <w:tc>
          <w:tcPr>
            <w:tcW w:w="634" w:type="pct"/>
            <w:tcBorders>
              <w:bottom w:val="single" w:sz="4" w:space="0" w:color="002060"/>
            </w:tcBorders>
            <w:shd w:val="clear" w:color="auto" w:fill="auto"/>
            <w:hideMark/>
          </w:tcPr>
          <w:p w14:paraId="16D6833A" w14:textId="77777777" w:rsidR="00ED5386" w:rsidRPr="00F27A03" w:rsidRDefault="00ED5386" w:rsidP="000810C0">
            <w:pPr>
              <w:spacing w:after="0" w:line="240" w:lineRule="auto"/>
              <w:ind w:right="284"/>
              <w:jc w:val="right"/>
              <w:rPr>
                <w:rFonts w:cstheme="minorHAnsi"/>
                <w:color w:val="002060"/>
                <w:sz w:val="18"/>
                <w:szCs w:val="18"/>
                <w:lang w:val="sr-Cyrl-CS"/>
              </w:rPr>
            </w:pPr>
          </w:p>
        </w:tc>
        <w:tc>
          <w:tcPr>
            <w:tcW w:w="631" w:type="pct"/>
            <w:tcBorders>
              <w:bottom w:val="single" w:sz="4" w:space="0" w:color="002060"/>
            </w:tcBorders>
            <w:shd w:val="clear" w:color="auto" w:fill="auto"/>
            <w:hideMark/>
          </w:tcPr>
          <w:p w14:paraId="3E74FCD3" w14:textId="77777777" w:rsidR="00ED5386" w:rsidRPr="00F27A03" w:rsidRDefault="00ED5386" w:rsidP="000810C0">
            <w:pPr>
              <w:spacing w:after="0" w:line="240" w:lineRule="auto"/>
              <w:ind w:right="284"/>
              <w:jc w:val="right"/>
              <w:rPr>
                <w:rFonts w:cstheme="minorHAnsi"/>
                <w:color w:val="002060"/>
                <w:sz w:val="18"/>
                <w:szCs w:val="18"/>
                <w:lang w:val="sr-Cyrl-CS"/>
              </w:rPr>
            </w:pPr>
          </w:p>
        </w:tc>
      </w:tr>
    </w:tbl>
    <w:p w14:paraId="7CF7EA3B" w14:textId="77777777" w:rsidR="00ED5386" w:rsidRPr="00F27A03" w:rsidRDefault="00ED5386" w:rsidP="000810C0">
      <w:pPr>
        <w:spacing w:after="240" w:line="240" w:lineRule="auto"/>
        <w:jc w:val="left"/>
        <w:rPr>
          <w:rFonts w:cstheme="minorHAnsi"/>
          <w:sz w:val="16"/>
          <w:szCs w:val="16"/>
          <w:lang w:val="sr-Cyrl-CS"/>
        </w:rPr>
        <w:sectPr w:rsidR="00ED5386" w:rsidRPr="00F27A03" w:rsidSect="00ED5386">
          <w:type w:val="continuous"/>
          <w:pgSz w:w="12240" w:h="15840" w:code="1"/>
          <w:pgMar w:top="1440" w:right="1440" w:bottom="1440" w:left="1440" w:header="720" w:footer="720" w:gutter="0"/>
          <w:cols w:space="720"/>
          <w:docGrid w:linePitch="360"/>
        </w:sectPr>
      </w:pPr>
      <w:r w:rsidRPr="00F27A03">
        <w:rPr>
          <w:rFonts w:eastAsia="Calibri" w:cstheme="minorHAnsi"/>
          <w:bCs/>
          <w:sz w:val="16"/>
          <w:szCs w:val="16"/>
          <w:lang w:val="sr-Cyrl-CS" w:eastAsia="ja-JP"/>
        </w:rPr>
        <w:t xml:space="preserve">Извор: </w:t>
      </w:r>
      <w:r w:rsidRPr="00F27A03">
        <w:rPr>
          <w:rFonts w:cstheme="minorHAnsi"/>
          <w:sz w:val="16"/>
          <w:szCs w:val="16"/>
          <w:lang w:val="sr-Cyrl-CS"/>
        </w:rPr>
        <w:t>Министарство финансија</w:t>
      </w:r>
    </w:p>
    <w:p w14:paraId="4DE1D537" w14:textId="77777777"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Најважнији фактори који су довели до измене у висини и структури прихода опште државе су:</w:t>
      </w:r>
    </w:p>
    <w:p w14:paraId="6BBD7B84" w14:textId="120E4F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базни ефекат (боље остварење на крају претходне године) и остварење у периоду јануар</w:t>
      </w:r>
      <w:r w:rsidR="00CB035E" w:rsidRPr="00F27A03">
        <w:rPr>
          <w:rFonts w:eastAsia="MS PGothic" w:cstheme="minorHAnsi"/>
          <w:szCs w:val="20"/>
          <w:lang w:val="sr-Cyrl-CS" w:eastAsia="ja-JP"/>
        </w:rPr>
        <w:t>–</w:t>
      </w:r>
      <w:r w:rsidRPr="00F27A03">
        <w:rPr>
          <w:rFonts w:eastAsia="MS PGothic" w:cstheme="minorHAnsi"/>
          <w:szCs w:val="20"/>
          <w:lang w:val="sr-Cyrl-CS" w:eastAsia="ja-JP"/>
        </w:rPr>
        <w:t>септембар;</w:t>
      </w:r>
    </w:p>
    <w:p w14:paraId="5F385D4E" w14:textId="777777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опрезно планирање одређених категорија пореских прихода, пре свега пореза на додату вредност;</w:t>
      </w:r>
    </w:p>
    <w:p w14:paraId="106057F9" w14:textId="777777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већа потрошња одређених акцизних производа;</w:t>
      </w:r>
    </w:p>
    <w:p w14:paraId="5B1BAEBE" w14:textId="777777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уплата непланираних непореских прихода као и снажан раст редовних непореских прихода (минералне сировине и игре на срећу);</w:t>
      </w:r>
    </w:p>
    <w:p w14:paraId="500B8D35" w14:textId="777777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повољнија кретања на тржишту рада од предвиђених;</w:t>
      </w:r>
    </w:p>
    <w:p w14:paraId="66351074" w14:textId="777777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позитиван утицај додатних мера помоћи становништву на личну потрошњу;</w:t>
      </w:r>
    </w:p>
    <w:p w14:paraId="1CC5290E" w14:textId="777777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већи раст инфлације од предвиђеног, као и значајан раст увозних цена;</w:t>
      </w:r>
    </w:p>
    <w:p w14:paraId="52C4BBAD" w14:textId="777777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снажан номинални раст спољнотрговинске размене;</w:t>
      </w:r>
    </w:p>
    <w:p w14:paraId="6060C186" w14:textId="77777777" w:rsidR="00ED5386"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снажан раст профитабилности привреде у 2021. години (порез на добит правних лица);</w:t>
      </w:r>
    </w:p>
    <w:p w14:paraId="6AE51C0C" w14:textId="1DCCE990" w:rsidR="000810C0" w:rsidRPr="00F27A03" w:rsidRDefault="00ED5386" w:rsidP="000810C0">
      <w:pPr>
        <w:pStyle w:val="ListParagraph"/>
        <w:keepLines/>
        <w:widowControl w:val="0"/>
        <w:numPr>
          <w:ilvl w:val="0"/>
          <w:numId w:val="17"/>
        </w:numPr>
        <w:spacing w:after="120"/>
        <w:ind w:left="641" w:hanging="357"/>
        <w:rPr>
          <w:rFonts w:eastAsia="MS PGothic" w:cstheme="minorHAnsi"/>
          <w:szCs w:val="20"/>
          <w:lang w:val="sr-Cyrl-CS" w:eastAsia="ja-JP"/>
        </w:rPr>
      </w:pPr>
      <w:r w:rsidRPr="00F27A03">
        <w:rPr>
          <w:rFonts w:eastAsia="MS PGothic" w:cstheme="minorHAnsi"/>
          <w:szCs w:val="20"/>
          <w:lang w:val="sr-Cyrl-CS" w:eastAsia="ja-JP"/>
        </w:rPr>
        <w:t>донете мере ублажавања инфлаторних утицаја кроз смањење акцизног оптерећења деривата нафте.</w:t>
      </w:r>
    </w:p>
    <w:p w14:paraId="59290284" w14:textId="77777777" w:rsidR="000810C0" w:rsidRPr="00F27A03" w:rsidRDefault="000810C0" w:rsidP="000810C0">
      <w:pPr>
        <w:pStyle w:val="ListParagraph"/>
        <w:keepLines/>
        <w:widowControl w:val="0"/>
        <w:numPr>
          <w:ilvl w:val="0"/>
          <w:numId w:val="17"/>
        </w:numPr>
        <w:spacing w:after="120"/>
        <w:ind w:left="641" w:hanging="357"/>
        <w:rPr>
          <w:rFonts w:eastAsia="MS PGothic" w:cstheme="minorHAnsi"/>
          <w:szCs w:val="20"/>
          <w:lang w:val="sr-Cyrl-CS" w:eastAsia="ja-JP"/>
        </w:rPr>
        <w:sectPr w:rsidR="000810C0" w:rsidRPr="00F27A03" w:rsidSect="00ED5386">
          <w:type w:val="continuous"/>
          <w:pgSz w:w="12240" w:h="15840" w:code="1"/>
          <w:pgMar w:top="1440" w:right="1440" w:bottom="1440" w:left="1440" w:header="720" w:footer="720" w:gutter="0"/>
          <w:cols w:num="2" w:space="720"/>
          <w:docGrid w:linePitch="360"/>
        </w:sectPr>
      </w:pPr>
    </w:p>
    <w:p w14:paraId="7AED1E2C" w14:textId="420592FF" w:rsidR="00ED5386" w:rsidRPr="00F27A03" w:rsidRDefault="00ED5386" w:rsidP="000810C0">
      <w:pPr>
        <w:rPr>
          <w:lang w:val="sr-Cyrl-CS" w:eastAsia="ja-JP"/>
        </w:rPr>
      </w:pPr>
    </w:p>
    <w:p w14:paraId="75AB7EC8" w14:textId="0A9E31AB"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lastRenderedPageBreak/>
        <w:t>Пројекција прихода од пореза на доходак грађана повећана је за 20,2 млрд динара у односу на оригинални износ. Приликом оригиналне пројекције прихода од пореза на зараде узете су у обзир пројекције кретања просечних зарада и запослености, процене о превременом враћању дела одложених пореза током 2020. године, као и процене ефеката смањења пореског оптерећења зарада у 2022. години. Исте претпоставке се користе и за пројекцију прихода од социјалних доприноса који чине највећи појединачни приход на нивоу опш</w:t>
      </w:r>
      <w:r w:rsidR="00C03657" w:rsidRPr="00F27A03">
        <w:rPr>
          <w:rFonts w:eastAsia="MS PGothic" w:cstheme="minorHAnsi"/>
          <w:szCs w:val="20"/>
          <w:lang w:val="sr-Cyrl-CS" w:eastAsia="ja-JP"/>
        </w:rPr>
        <w:t>те државе. Наплата овог пореског</w:t>
      </w:r>
      <w:r w:rsidRPr="00F27A03">
        <w:rPr>
          <w:rFonts w:eastAsia="MS PGothic" w:cstheme="minorHAnsi"/>
          <w:szCs w:val="20"/>
          <w:lang w:val="sr-Cyrl-CS" w:eastAsia="ja-JP"/>
        </w:rPr>
        <w:t xml:space="preserve"> облика крајем 2021. године била је нешто изнад планиране, међутим главни разлог за повећање пројекције пореза на зараде је изузетно висок раст зарада, пре свега у приватном сектору. Убрзање раста зарада у приватном сектору отпочело је крајем 2021. године и настављено током целе 2022. године. Процена о враћању дела одложених пореза и доприноса током 2022. године, незнатно је коригована наниже услед тога што је већина мањих пореских обвезника, по убрзаној динамици, већ током претходне године измирила обавезе по овом основу. Процена прихода од пореза на зараде и социјалних доприноса су ревидиране навише у укупном износу од 35,2 млрд динара.</w:t>
      </w:r>
    </w:p>
    <w:p w14:paraId="4F2BC826" w14:textId="77777777"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Остатак пореза на доходак чине остали облици као што су порез на дивиденде, порез на приходе од камата, годишњи порез на доходак, порез на приходе од закупа непокретности и др. Приходи од дивиденди и осталих облика пореза на доходак генерално прате кретање опште економске активности и зарада из претходне године, али су и под значајним утицајем пословних одлука компанија у вези политике дивиденди и инвестиција. Значајно повећање пројектованог износа у односу на оригинални је резултат пре свега снажног скока наплате два највећа пореска облика из ове групе, а то су годишњи порез на доходак грађана и порез на доходак на дивиденди. Под утицајем раста просечних зарада и осталих облика доходака у претходној години као и остварене профитабилности и расподеле дивиденди компанија, дошло је до раста пореских обавеза по овом основу.</w:t>
      </w:r>
    </w:p>
    <w:p w14:paraId="5DAA3FA1" w14:textId="70FC516D"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Приходи од пореза на добит су релативно највише ревидирани у односу на оригиналну пројекцију (43,8%), а у апсолутном износу за 63,5 млрд динара. При пројекцији ове пореске категорије, и у редовним околностима, постоји неизвесност, јер коначни подаци о профитабилности нису познати у тренутку израде буџета. Такође изузетно висока наплата овог пореског облика у 2021. годи</w:t>
      </w:r>
      <w:r w:rsidR="00C03657" w:rsidRPr="00F27A03">
        <w:rPr>
          <w:rFonts w:eastAsia="MS PGothic" w:cstheme="minorHAnsi"/>
          <w:szCs w:val="20"/>
          <w:lang w:val="sr-Cyrl-CS" w:eastAsia="ja-JP"/>
        </w:rPr>
        <w:t>ни, довела је до повећања учешћа</w:t>
      </w:r>
      <w:r w:rsidRPr="00F27A03">
        <w:rPr>
          <w:rFonts w:eastAsia="MS PGothic" w:cstheme="minorHAnsi"/>
          <w:szCs w:val="20"/>
          <w:lang w:val="sr-Cyrl-CS" w:eastAsia="ja-JP"/>
        </w:rPr>
        <w:t xml:space="preserve"> овог пореског облика у БДП изнад просечних вредности забележених у претходном периоду. Водећи се принципом опрезности, приликом оригиналне пројекције</w:t>
      </w:r>
      <w:r w:rsidR="00C03657" w:rsidRPr="00F27A03">
        <w:rPr>
          <w:rFonts w:eastAsia="MS PGothic" w:cstheme="minorHAnsi"/>
          <w:szCs w:val="20"/>
          <w:lang w:val="sr-Cyrl-CS" w:eastAsia="ja-JP"/>
        </w:rPr>
        <w:t>,</w:t>
      </w:r>
      <w:r w:rsidRPr="00F27A03">
        <w:rPr>
          <w:rFonts w:eastAsia="MS PGothic" w:cstheme="minorHAnsi"/>
          <w:szCs w:val="20"/>
          <w:lang w:val="sr-Cyrl-CS" w:eastAsia="ja-JP"/>
        </w:rPr>
        <w:t xml:space="preserve"> било је предвиђено враћање уч</w:t>
      </w:r>
      <w:r w:rsidR="00C03657" w:rsidRPr="00F27A03">
        <w:rPr>
          <w:rFonts w:eastAsia="MS PGothic" w:cstheme="minorHAnsi"/>
          <w:szCs w:val="20"/>
          <w:lang w:val="sr-Cyrl-CS" w:eastAsia="ja-JP"/>
        </w:rPr>
        <w:t>ешћа овог пореског облика у БДП</w:t>
      </w:r>
      <w:r w:rsidRPr="00F27A03">
        <w:rPr>
          <w:rFonts w:eastAsia="MS PGothic" w:cstheme="minorHAnsi"/>
          <w:szCs w:val="20"/>
          <w:lang w:val="sr-Cyrl-CS" w:eastAsia="ja-JP"/>
        </w:rPr>
        <w:t xml:space="preserve"> на просечни ниво. Након уплате пореза на добит по коначном обрачуну за 2021. годину (крај јуна текуће године), ревидирана је и годишња процена овог пореза. Нето добит привреде у 2021. године, према објављеним подацима АПР, износила је 945 млрд динара и већа је за 42% у односу на 2020. годину.</w:t>
      </w:r>
    </w:p>
    <w:p w14:paraId="6757FDEB" w14:textId="281B6B36"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Порез на додату вредност пројектован је у висини од 777 млрд динара, што представља повећање од 92,9 млрд у односу на оригиналну пројекцију. Ово значајно повећање делом је последица и конзервативног планирања, услед неизвесности око кретања личне потрошње након периода снажног раста у претходној години, а делом и као последица стимулативних мера државе. Други разлог за ревизију је нешто боље извршење на крају 2021. године од очекиваног (5 млрд динара).</w:t>
      </w:r>
      <w:r w:rsidRPr="00F27A03">
        <w:rPr>
          <w:lang w:val="sr-Cyrl-CS"/>
        </w:rPr>
        <w:t xml:space="preserve"> </w:t>
      </w:r>
      <w:r w:rsidRPr="00F27A03">
        <w:rPr>
          <w:rFonts w:eastAsia="MS PGothic" w:cstheme="minorHAnsi"/>
          <w:szCs w:val="20"/>
          <w:lang w:val="sr-Cyrl-CS" w:eastAsia="ja-JP"/>
        </w:rPr>
        <w:t>Најзначајнији разлог за ревизију прихода је значајно бржи номинални раст приватне потрошње од планираног. Истовремено, ревидирана је навише и реална компонента раста приватне потрошње. При томе, бележи се и блага промена у структури потрошње. Цене енергената су и директно и индиректно утицале на стопу инфлације (њену увозну компоненту), а великим делом су се прелиле и на тржиште прехрамбених производа који чине значајан део потрошачке корпе домаћинстава. Исто се односи и на производе од на</w:t>
      </w:r>
      <w:r w:rsidR="00CA3A20" w:rsidRPr="00F27A03">
        <w:rPr>
          <w:rFonts w:eastAsia="MS PGothic" w:cstheme="minorHAnsi"/>
          <w:szCs w:val="20"/>
          <w:lang w:val="sr-Cyrl-CS" w:eastAsia="ja-JP"/>
        </w:rPr>
        <w:t>фте чије цене бележе виши раст.</w:t>
      </w:r>
    </w:p>
    <w:p w14:paraId="35B518EF" w14:textId="2C7DB4E8"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Ограничењем цена појединих производа делимично су ублажени неповољни утицаји раста увозне инфлације. Ниво расположивог дохотка становништва и његов бржи раст од цена утицао је на реални раст промета који бележи раст од 7,1% у првих девет месеци 2022. године.</w:t>
      </w:r>
    </w:p>
    <w:p w14:paraId="7F8A4643" w14:textId="1AF066F2"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lastRenderedPageBreak/>
        <w:t xml:space="preserve">Приходи од царина пројектовани су у износу од 79,5 млрд што представља повећање од </w:t>
      </w:r>
      <w:r w:rsidR="00E55AEF" w:rsidRPr="00F27A03">
        <w:rPr>
          <w:rFonts w:eastAsia="MS PGothic" w:cstheme="minorHAnsi"/>
          <w:szCs w:val="20"/>
          <w:lang w:val="sr-Cyrl-CS" w:eastAsia="ja-JP"/>
        </w:rPr>
        <w:t>16,2 млрд динара (25,6</w:t>
      </w:r>
      <w:r w:rsidRPr="00F27A03">
        <w:rPr>
          <w:rFonts w:eastAsia="MS PGothic" w:cstheme="minorHAnsi"/>
          <w:szCs w:val="20"/>
          <w:lang w:val="sr-Cyrl-CS" w:eastAsia="ja-JP"/>
        </w:rPr>
        <w:t>%) у односу на оригиналну пројекцију. Приходи од царина у највећој мери, иако не у потпуности, прате динамику ПДВ из увоза, па је у складу са изменом структуре ПДВ, обима спољнотрговинске размене и кретања царина у првом делу године, извршена ревизија пројекције овог приходног облика. Као и у случају ПДВ, разлози су у изузетно високом расту увозних цена, али и набавке већих количина енергената услед неизвесности на глобалном тржишту. Спољнотрговинска размена током протеклог дела 2022. године бележи изузетно снажан номинални раст, посебно на страни увоза. У периоду јануар</w:t>
      </w:r>
      <w:r w:rsidR="00351636" w:rsidRPr="00F27A03">
        <w:rPr>
          <w:rFonts w:eastAsia="MS PGothic" w:cstheme="minorHAnsi"/>
          <w:szCs w:val="20"/>
          <w:lang w:val="sr-Cyrl-CS" w:eastAsia="ja-JP"/>
        </w:rPr>
        <w:t>–</w:t>
      </w:r>
      <w:r w:rsidRPr="00F27A03">
        <w:rPr>
          <w:rFonts w:eastAsia="MS PGothic" w:cstheme="minorHAnsi"/>
          <w:szCs w:val="20"/>
          <w:lang w:val="sr-Cyrl-CS" w:eastAsia="ja-JP"/>
        </w:rPr>
        <w:t>септембар, раст увоза у динарима износио је 36,8%, од чега се око три четвртине може приписати ефекту раста увозних цена.</w:t>
      </w:r>
    </w:p>
    <w:p w14:paraId="76B67671" w14:textId="1E1ABD07"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Пројекција прихода од акциза незнатно је смањена у односу на оригиналну пројекцију. При томе акцизе на деривате нафте смањене су за 9,2 млрд динара, акцизе на дуванске производе повећане су за 5 млрд динара, док је пројекција прихода од осталих акциза увећана за 3,4 млрд динара. Како би спречила претерани раст цена нафтних деривата, држава је одложила редовну индексацију акцизних стопа са инфлацијом из претходне године. Након тога, крајем првог квартала, искоришћена је з</w:t>
      </w:r>
      <w:r w:rsidR="00C03657" w:rsidRPr="00F27A03">
        <w:rPr>
          <w:rFonts w:eastAsia="MS PGothic" w:cstheme="minorHAnsi"/>
          <w:szCs w:val="20"/>
          <w:lang w:val="sr-Cyrl-CS" w:eastAsia="ja-JP"/>
        </w:rPr>
        <w:t>аконска могућност привременог смањења</w:t>
      </w:r>
      <w:r w:rsidRPr="00F27A03">
        <w:rPr>
          <w:rFonts w:eastAsia="MS PGothic" w:cstheme="minorHAnsi"/>
          <w:szCs w:val="20"/>
          <w:lang w:val="sr-Cyrl-CS" w:eastAsia="ja-JP"/>
        </w:rPr>
        <w:t xml:space="preserve"> износа акциза. У циљу ограничења раста цена деривата на домаћем тржишту, услед раста цена нафте на светском тржишту, током године приступило се коришћењу ове мере, и то у распону од 10% до 20% колики је и законски максимум. У првом кварталу бележи се висок степен наплате, делом и услед повећане тражње због неизвесности у вези будућих цена. У другој половини године бележи се умерен раст потрошње деривата, што указује на нижу ценовну еластичност ових производа.</w:t>
      </w:r>
    </w:p>
    <w:p w14:paraId="50EAC1DD" w14:textId="0A589EEC" w:rsidR="00ED5386" w:rsidRPr="00F27A03" w:rsidRDefault="00ED5386" w:rsidP="00ED5386">
      <w:pPr>
        <w:widowControl w:val="0"/>
        <w:spacing w:after="120"/>
        <w:rPr>
          <w:rFonts w:eastAsia="MS PGothic" w:cstheme="minorHAnsi"/>
          <w:szCs w:val="20"/>
          <w:lang w:val="sr-Cyrl-CS" w:eastAsia="ja-JP"/>
        </w:rPr>
      </w:pPr>
      <w:r w:rsidRPr="00F27A03">
        <w:rPr>
          <w:rFonts w:eastAsia="MS PGothic" w:cstheme="minorHAnsi"/>
          <w:szCs w:val="20"/>
          <w:lang w:val="sr-Cyrl-CS" w:eastAsia="ja-JP"/>
        </w:rPr>
        <w:t xml:space="preserve">Повећање прихода од акциза на дуван резултат је боље наплате од иницијално очекиване, током протеклог дела године. Приликом израде оригиналне процене, пошло се од очекивања да ће доћи до природног пада потрошње који је присутан већ дужи низ година, као и од </w:t>
      </w:r>
      <w:r w:rsidRPr="00F27A03">
        <w:rPr>
          <w:rFonts w:eastAsia="MS PGothic" w:cstheme="minorHAnsi"/>
          <w:szCs w:val="20"/>
          <w:lang w:val="sr-Cyrl-CS" w:eastAsia="ja-JP"/>
        </w:rPr>
        <w:t>претпоставке да се у претходној години тржиште стабилизовало на нивоу пре пандемије. Анализом података о тржишту дуванских производа, дошло се до закључка да достизање тог нивоа промета није остварено у 2021. години, и да се процес опоравка тржишта пренео у 2022. годину, што се одразило и на кретање прихода од акциза на дуван. Пројекција прихода од осталих акцизних производа повећана је првенствено због знатног раста потрошње електричне енергије, и то у сектору комерцијалног снабдевања, али и због повећања цена електричне енергије са предвиђеним ефектима у последњем кварталу ове године. Остатак повећања се односи на уплату заосталих обавеза по основу акциза на алкохол, наплаћеним из стечајног поступка, као и наставком опоравка тржишта ових производа.</w:t>
      </w:r>
    </w:p>
    <w:p w14:paraId="591C1C04" w14:textId="77777777" w:rsidR="00ED5386" w:rsidRPr="00F27A03" w:rsidRDefault="00ED5386" w:rsidP="00E124CF">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Непорески приходи су повећани за 26,8 млрд динара, пре свега због раста забележеног код редовних непореских прихода. Ту спадају различите таксе, накнаде, казне, приходи органа и организација и сви остали приходи који се остварују устаљеном динамиком током године, у приближно сличним износима на месечном нивоу уз одређене сезонске варијације.</w:t>
      </w:r>
    </w:p>
    <w:p w14:paraId="266BB267" w14:textId="7B5FD541" w:rsidR="00ED5386" w:rsidRPr="00F27A03" w:rsidRDefault="00ED5386" w:rsidP="00ED5386">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Први разлог за повећање пројектованог износа је боље остварење на крају претходне године, док је други разлог изузетно добра напла</w:t>
      </w:r>
      <w:r w:rsidR="004E7EE8" w:rsidRPr="00F27A03">
        <w:rPr>
          <w:rFonts w:eastAsia="MS PGothic" w:cstheme="minorHAnsi"/>
          <w:szCs w:val="20"/>
          <w:lang w:val="sr-Cyrl-CS" w:eastAsia="ja-JP"/>
        </w:rPr>
        <w:t>та током протеклог дела године.</w:t>
      </w:r>
    </w:p>
    <w:p w14:paraId="0CA7D0F1" w14:textId="7132FD9D" w:rsidR="00ED5386" w:rsidRPr="00F27A03" w:rsidRDefault="00ED5386" w:rsidP="00ED5386">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Редовни непорески приходи процењени су у већем износу у односу на оригиналне, највише због раста наплате прихода од игара на срећу и накнада за коришћење минералних сировина. Раст накнада за минералне сировине резултат је већег обима продаје и цена си</w:t>
      </w:r>
      <w:r w:rsidR="004E7EE8" w:rsidRPr="00F27A03">
        <w:rPr>
          <w:rFonts w:eastAsia="MS PGothic" w:cstheme="minorHAnsi"/>
          <w:szCs w:val="20"/>
          <w:lang w:val="sr-Cyrl-CS" w:eastAsia="ja-JP"/>
        </w:rPr>
        <w:t>ровина на међународном тржишту.</w:t>
      </w:r>
    </w:p>
    <w:p w14:paraId="6640C594" w14:textId="47AFBDF9" w:rsidR="00ED5386" w:rsidRPr="00F27A03" w:rsidRDefault="00ED5386" w:rsidP="00ED5386">
      <w:pPr>
        <w:keepLines/>
        <w:widowControl w:val="0"/>
        <w:spacing w:after="120"/>
        <w:rPr>
          <w:rFonts w:eastAsia="MS PGothic" w:cstheme="minorHAnsi"/>
          <w:szCs w:val="20"/>
          <w:lang w:val="sr-Cyrl-CS" w:eastAsia="ja-JP"/>
        </w:rPr>
      </w:pPr>
      <w:r w:rsidRPr="00F27A03">
        <w:rPr>
          <w:rFonts w:eastAsia="MS PGothic" w:cstheme="minorHAnsi"/>
          <w:szCs w:val="20"/>
          <w:lang w:val="sr-Cyrl-CS" w:eastAsia="ja-JP"/>
        </w:rPr>
        <w:t>Ванредне непореске приходе чине уплате добити јавних предузећа и агенција, дивиденде буџета, приходи по основу наплаћених потраживања Агенције за осигурање депозита, емисионе премије, итд. Ванредни непорески приходи кориговани су навише због реализоване уплате прихода који нису били укључени у оригинални буџетски план (добит НБС и дивиденде буџета).</w:t>
      </w:r>
    </w:p>
    <w:p w14:paraId="3C17E49B" w14:textId="77777777" w:rsidR="00ED5386" w:rsidRPr="00F27A03" w:rsidRDefault="00ED5386" w:rsidP="00ED5386">
      <w:pPr>
        <w:keepLines/>
        <w:widowControl w:val="0"/>
        <w:spacing w:after="120"/>
        <w:rPr>
          <w:rFonts w:eastAsia="MS PGothic" w:cstheme="minorHAnsi"/>
          <w:szCs w:val="20"/>
          <w:lang w:val="sr-Cyrl-CS" w:eastAsia="ja-JP"/>
        </w:rPr>
        <w:sectPr w:rsidR="00ED5386" w:rsidRPr="00F27A03" w:rsidSect="00ED5386">
          <w:type w:val="continuous"/>
          <w:pgSz w:w="12240" w:h="15840" w:code="1"/>
          <w:pgMar w:top="1440" w:right="1440" w:bottom="1440" w:left="1440" w:header="720" w:footer="720" w:gutter="0"/>
          <w:cols w:num="2" w:space="720"/>
          <w:docGrid w:linePitch="360"/>
        </w:sectPr>
      </w:pPr>
    </w:p>
    <w:p w14:paraId="1D0777E2" w14:textId="7AFD660C" w:rsidR="00ED5386" w:rsidRPr="00F27A03" w:rsidRDefault="00ED5386" w:rsidP="00ED5386">
      <w:pPr>
        <w:rPr>
          <w:lang w:val="sr-Cyrl-CS" w:eastAsia="ja-JP"/>
        </w:rPr>
      </w:pPr>
    </w:p>
    <w:p w14:paraId="428ED3C5" w14:textId="77777777" w:rsidR="00ED5386" w:rsidRPr="00F27A03" w:rsidRDefault="00ED5386" w:rsidP="00ED5386">
      <w:pPr>
        <w:keepLines/>
        <w:widowControl w:val="0"/>
        <w:spacing w:after="120"/>
        <w:jc w:val="center"/>
        <w:rPr>
          <w:rFonts w:eastAsia="MS PGothic" w:cstheme="minorHAnsi"/>
          <w:szCs w:val="20"/>
          <w:lang w:val="sr-Cyrl-CS" w:eastAsia="ja-JP"/>
        </w:rPr>
      </w:pPr>
      <w:r w:rsidRPr="00F27A03">
        <w:rPr>
          <w:rFonts w:cstheme="minorHAnsi"/>
          <w:b/>
          <w:color w:val="002060"/>
          <w:lang w:val="sr-Cyrl-CS"/>
        </w:rPr>
        <w:lastRenderedPageBreak/>
        <w:t>Допринос појединачних фактора корекцији фискалног рез. у односу на план за 2022. годину, % БДП</w:t>
      </w:r>
      <w:r w:rsidRPr="00F27A03">
        <w:rPr>
          <w:rFonts w:cstheme="minorHAnsi"/>
          <w:b/>
          <w:noProof/>
          <w:color w:val="002060"/>
          <w:lang w:val="sr-Cyrl-RS" w:eastAsia="sr-Cyrl-RS"/>
        </w:rPr>
        <w:drawing>
          <wp:inline distT="0" distB="0" distL="0" distR="0" wp14:anchorId="659ACC31" wp14:editId="7E98573A">
            <wp:extent cx="3000375" cy="23717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00375" cy="2371725"/>
                    </a:xfrm>
                    <a:prstGeom prst="rect">
                      <a:avLst/>
                    </a:prstGeom>
                    <a:noFill/>
                  </pic:spPr>
                </pic:pic>
              </a:graphicData>
            </a:graphic>
          </wp:inline>
        </w:drawing>
      </w:r>
    </w:p>
    <w:p w14:paraId="7C5F0F05" w14:textId="138C841A"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Процена расхода опште државе овим фискалним оквиром повећана је за 307,4 млрд динара у односу на оригинални план. Највећи део овог повећања се односи на додатне мере за набавку енергената, додатну подршку становништву, и спровођење нових мера популационе политике. Остатак чине расходи везани за куповину роба и услуга, ка</w:t>
      </w:r>
      <w:r w:rsidR="004E7EE8" w:rsidRPr="00F27A03">
        <w:rPr>
          <w:rFonts w:eastAsia="MS PGothic" w:cstheme="minorHAnsi"/>
          <w:szCs w:val="20"/>
          <w:lang w:val="sr-Cyrl-CS" w:eastAsia="ja-JP"/>
        </w:rPr>
        <w:t>о и увећање капиталних расхода.</w:t>
      </w:r>
    </w:p>
    <w:p w14:paraId="65D02694" w14:textId="1380CBD2"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Расходи за запослене повећани су за 15,3 млрд динара. Највећи део овог повећања односи се на већу масу зарада у здравству (повећање броја запослених и радних часова), судству</w:t>
      </w:r>
      <w:r w:rsidR="00CB0E10" w:rsidRPr="00F27A03">
        <w:rPr>
          <w:rFonts w:eastAsia="MS PGothic" w:cstheme="minorHAnsi"/>
          <w:szCs w:val="20"/>
          <w:lang w:val="sr-Cyrl-CS" w:eastAsia="ja-JP"/>
        </w:rPr>
        <w:t>,</w:t>
      </w:r>
      <w:r w:rsidRPr="00F27A03">
        <w:rPr>
          <w:rFonts w:eastAsia="MS PGothic" w:cstheme="minorHAnsi"/>
          <w:szCs w:val="20"/>
          <w:lang w:val="sr-Cyrl-CS" w:eastAsia="ja-JP"/>
        </w:rPr>
        <w:t xml:space="preserve"> као </w:t>
      </w:r>
      <w:r w:rsidR="00CB0E10" w:rsidRPr="00F27A03">
        <w:rPr>
          <w:rFonts w:eastAsia="MS PGothic" w:cstheme="minorHAnsi"/>
          <w:szCs w:val="20"/>
          <w:lang w:val="sr-Cyrl-CS" w:eastAsia="ja-JP"/>
        </w:rPr>
        <w:t xml:space="preserve">и </w:t>
      </w:r>
      <w:r w:rsidRPr="00F27A03">
        <w:rPr>
          <w:rFonts w:eastAsia="MS PGothic" w:cstheme="minorHAnsi"/>
          <w:szCs w:val="20"/>
          <w:lang w:val="sr-Cyrl-CS" w:eastAsia="ja-JP"/>
        </w:rPr>
        <w:t>исплаћену помоћ запосленима у просвети.</w:t>
      </w:r>
    </w:p>
    <w:p w14:paraId="7D64EE07" w14:textId="77777777"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Расходи за робе и услуге су повећани за 37,8 млрд динара. Највећи део повећања се односи на набавку лекова и медицинске опреме и средстава од стране РФЗО. Други део повећања се односи на текуће одржавање путева код ЈП „Путеви Србије”.</w:t>
      </w:r>
    </w:p>
    <w:p w14:paraId="240C82D2" w14:textId="77777777"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Субвенције су повећане у односу на оригинални план за 17,8 млрд динара, при чему су субвенције у пољопривреди повећане за 10,5 млрд динара, док се остатак повећања односи на субвенције за пројекте у енергетици.</w:t>
      </w:r>
    </w:p>
    <w:p w14:paraId="0F038AEF" w14:textId="2CEA350E"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 xml:space="preserve">Расходи за социјалну заштиту већи су за 7,3 млрд динара у односу на оригинални план, међутим дошло је до знатне измене у њиховој структури. </w:t>
      </w:r>
      <w:r w:rsidRPr="00F27A03">
        <w:rPr>
          <w:rFonts w:eastAsia="MS PGothic" w:cstheme="minorHAnsi"/>
          <w:szCs w:val="20"/>
          <w:lang w:val="sr-Cyrl-CS" w:eastAsia="ja-JP"/>
        </w:rPr>
        <w:t>Процењени расходи за пензије у 2022. години износиће 638,6 млрд. Иак</w:t>
      </w:r>
      <w:r w:rsidR="00CB0E10" w:rsidRPr="00F27A03">
        <w:rPr>
          <w:rFonts w:eastAsia="MS PGothic" w:cstheme="minorHAnsi"/>
          <w:szCs w:val="20"/>
          <w:lang w:val="sr-Cyrl-CS" w:eastAsia="ja-JP"/>
        </w:rPr>
        <w:t>о је оригинални план индексације</w:t>
      </w:r>
      <w:r w:rsidRPr="00F27A03">
        <w:rPr>
          <w:rFonts w:eastAsia="MS PGothic" w:cstheme="minorHAnsi"/>
          <w:szCs w:val="20"/>
          <w:lang w:val="sr-Cyrl-CS" w:eastAsia="ja-JP"/>
        </w:rPr>
        <w:t xml:space="preserve"> пензија подразумевао њихов раст у складу са „швајцарском формулом”, током новембра је планирано додатно тр</w:t>
      </w:r>
      <w:r w:rsidR="004E7EE8" w:rsidRPr="00F27A03">
        <w:rPr>
          <w:rFonts w:eastAsia="MS PGothic" w:cstheme="minorHAnsi"/>
          <w:szCs w:val="20"/>
          <w:lang w:val="sr-Cyrl-CS" w:eastAsia="ja-JP"/>
        </w:rPr>
        <w:t>ајно усклађивања пензија за 9%.</w:t>
      </w:r>
    </w:p>
    <w:p w14:paraId="15F5A1BB" w14:textId="77777777"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У оквиру расхода намењених за социјалну заштиту, налази се и исплаћена једнократна помоћ пензионерима у износу од око 34 млрд динара. Са друге стране, донете мере популационе политике (увећан родитељски додатак, нове субвенције мајкама за куповину стамбеног простора), утицали су на повећање расхода у оквиру ове категорије. За ове намене је планирано додатних 15 млрд динара.</w:t>
      </w:r>
    </w:p>
    <w:p w14:paraId="0B4A5189" w14:textId="6AA6718B"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Остали текући расходи повећани су за 55,8 млрд динара у односу на оригинални план, првенствено због ванредних исплата директне новчане помоћи становништву од 16 до 30 година старости, у ук</w:t>
      </w:r>
      <w:r w:rsidR="004E7EE8" w:rsidRPr="00F27A03">
        <w:rPr>
          <w:rFonts w:eastAsia="MS PGothic" w:cstheme="minorHAnsi"/>
          <w:szCs w:val="20"/>
          <w:lang w:val="sr-Cyrl-CS" w:eastAsia="ja-JP"/>
        </w:rPr>
        <w:t>упном износу од 31 млрд динара.</w:t>
      </w:r>
    </w:p>
    <w:p w14:paraId="3D26BD00" w14:textId="77777777" w:rsidR="00ED5386" w:rsidRPr="00F27A03" w:rsidRDefault="00ED5386" w:rsidP="00E124CF">
      <w:pPr>
        <w:spacing w:after="120"/>
        <w:rPr>
          <w:rFonts w:eastAsia="MS PGothic" w:cstheme="minorHAnsi"/>
          <w:spacing w:val="-2"/>
          <w:szCs w:val="20"/>
          <w:lang w:val="sr-Cyrl-CS" w:eastAsia="ja-JP"/>
        </w:rPr>
      </w:pPr>
      <w:r w:rsidRPr="00F27A03">
        <w:rPr>
          <w:rFonts w:eastAsia="MS PGothic" w:cstheme="minorHAnsi"/>
          <w:spacing w:val="-2"/>
          <w:szCs w:val="20"/>
          <w:lang w:val="sr-Cyrl-CS" w:eastAsia="ja-JP"/>
        </w:rPr>
        <w:t>Интервентна набавка неопходних енергената утицала је на раст буџетских расхода у износу од 140 млрд динара.</w:t>
      </w:r>
    </w:p>
    <w:p w14:paraId="122D86BD" w14:textId="77777777" w:rsidR="00ED5386" w:rsidRPr="00F27A03" w:rsidRDefault="00ED5386" w:rsidP="00E124CF">
      <w:pPr>
        <w:spacing w:after="120"/>
        <w:rPr>
          <w:rFonts w:eastAsia="MS PGothic" w:cstheme="minorHAnsi"/>
          <w:szCs w:val="20"/>
          <w:lang w:val="sr-Cyrl-CS" w:eastAsia="ja-JP"/>
        </w:rPr>
      </w:pPr>
      <w:r w:rsidRPr="00F27A03">
        <w:rPr>
          <w:rFonts w:eastAsia="MS PGothic" w:cstheme="minorHAnsi"/>
          <w:szCs w:val="20"/>
          <w:lang w:val="sr-Cyrl-CS" w:eastAsia="ja-JP"/>
        </w:rPr>
        <w:t>Процењује се да ће реализација јавних инвестиција бити већа за 33,5 млрд динара од првобитног плана. Осим повећања расхода за изградњу путне мреже, повећана су и издвајања за стратешку набавку енергената и других егзистенцијалних добара. Процењује се да ће капитални расходи достићи ниво од 7,3% БДП у 2022. години.</w:t>
      </w:r>
    </w:p>
    <w:p w14:paraId="7796BD0D" w14:textId="0E3D3B66" w:rsidR="00ED5386" w:rsidRPr="00F27A03" w:rsidRDefault="00ED5386" w:rsidP="00ED5386">
      <w:pPr>
        <w:spacing w:after="240"/>
        <w:rPr>
          <w:rFonts w:eastAsia="MS PGothic" w:cstheme="minorHAnsi"/>
          <w:szCs w:val="20"/>
          <w:lang w:val="sr-Cyrl-CS" w:eastAsia="ja-JP"/>
        </w:rPr>
      </w:pPr>
      <w:r w:rsidRPr="00F27A03">
        <w:rPr>
          <w:rFonts w:eastAsia="MS PGothic" w:cstheme="minorHAnsi"/>
          <w:szCs w:val="20"/>
          <w:lang w:val="sr-Cyrl-CS" w:eastAsia="ja-JP"/>
        </w:rPr>
        <w:t>Процењени фискални дефицит од 3,8% БДП у 2022. години у нивоу је процењеног фискалног резултата који се очекује и у земљама ЕУ. Мере које државе ЕУ спроводе на ублажавању енергетске кризе имају значајне фискалне импликације. Предвиђен фискални резултат омогућава спровођење интервентних политика у циљу ублажавања кризе, уз задржавање тренда смањења учешћа јавног дуга у БДП. Структурном анализом фискалног резултата у 2022. години идентификовано је да се око 2,9% БДП односи на једнократне и привремене мере.</w:t>
      </w:r>
    </w:p>
    <w:p w14:paraId="5E1C6CBA" w14:textId="77777777" w:rsidR="00ED5386" w:rsidRPr="00F27A03" w:rsidRDefault="00ED5386" w:rsidP="00ED5386">
      <w:pPr>
        <w:spacing w:after="240"/>
        <w:rPr>
          <w:rFonts w:eastAsia="MS PGothic" w:cstheme="minorHAnsi"/>
          <w:szCs w:val="20"/>
          <w:lang w:val="sr-Cyrl-CS" w:eastAsia="ja-JP"/>
        </w:rPr>
        <w:sectPr w:rsidR="00ED5386" w:rsidRPr="00F27A03" w:rsidSect="00ED5386">
          <w:type w:val="continuous"/>
          <w:pgSz w:w="12240" w:h="15840" w:code="1"/>
          <w:pgMar w:top="1440" w:right="1440" w:bottom="1440" w:left="1440" w:header="720" w:footer="720" w:gutter="0"/>
          <w:cols w:num="2" w:space="720"/>
          <w:docGrid w:linePitch="360"/>
        </w:sectPr>
      </w:pPr>
    </w:p>
    <w:p w14:paraId="300620C3" w14:textId="77777777" w:rsidR="00ED5386" w:rsidRPr="00F27A03" w:rsidRDefault="00ED5386" w:rsidP="00ED5386">
      <w:pPr>
        <w:rPr>
          <w:lang w:val="sr-Cyrl-CS" w:eastAsia="ja-JP"/>
        </w:rPr>
      </w:pPr>
    </w:p>
    <w:p w14:paraId="4477B98C" w14:textId="77777777" w:rsidR="00ED5386" w:rsidRPr="00F27A03" w:rsidRDefault="00ED5386" w:rsidP="00ED5386">
      <w:pPr>
        <w:rPr>
          <w:lang w:val="sr-Cyrl-CS" w:eastAsia="ja-JP"/>
        </w:rPr>
      </w:pPr>
    </w:p>
    <w:p w14:paraId="6CDF84FF" w14:textId="19FC84E3" w:rsidR="00ED5386" w:rsidRPr="00F27A03" w:rsidRDefault="00ED5386" w:rsidP="00ED5386">
      <w:pPr>
        <w:jc w:val="center"/>
        <w:rPr>
          <w:rFonts w:eastAsia="MS PGothic" w:cstheme="minorHAnsi"/>
          <w:b/>
          <w:szCs w:val="20"/>
          <w:lang w:val="sr-Cyrl-CS" w:eastAsia="ja-JP"/>
        </w:rPr>
      </w:pPr>
      <w:r w:rsidRPr="00F27A03">
        <w:rPr>
          <w:rFonts w:eastAsia="MS PGothic" w:cstheme="minorHAnsi"/>
          <w:b/>
          <w:color w:val="002060"/>
          <w:szCs w:val="20"/>
          <w:lang w:val="sr-Cyrl-CS" w:eastAsia="ja-JP"/>
        </w:rPr>
        <w:lastRenderedPageBreak/>
        <w:t xml:space="preserve">Табела </w:t>
      </w:r>
      <w:r w:rsidR="00524F94" w:rsidRPr="00F27A03">
        <w:rPr>
          <w:rFonts w:eastAsia="MS PGothic" w:cstheme="minorHAnsi"/>
          <w:b/>
          <w:color w:val="002060"/>
          <w:szCs w:val="20"/>
          <w:lang w:val="sr-Cyrl-CS" w:eastAsia="ja-JP"/>
        </w:rPr>
        <w:t>6</w:t>
      </w:r>
      <w:r w:rsidRPr="00F27A03">
        <w:rPr>
          <w:rFonts w:eastAsia="MS PGothic" w:cstheme="minorHAnsi"/>
          <w:b/>
          <w:color w:val="002060"/>
          <w:szCs w:val="20"/>
          <w:lang w:val="sr-Cyrl-CS" w:eastAsia="ja-JP"/>
        </w:rPr>
        <w:t>. Приходи, расходи и резултат сектора државе, јануар–септембар</w:t>
      </w:r>
      <w:r w:rsidR="0049357E" w:rsidRPr="00F27A03">
        <w:rPr>
          <w:rFonts w:eastAsia="MS PGothic" w:cstheme="minorHAnsi"/>
          <w:b/>
          <w:color w:val="002060"/>
          <w:szCs w:val="20"/>
          <w:lang w:val="sr-Cyrl-CS" w:eastAsia="ja-JP"/>
        </w:rPr>
        <w:t xml:space="preserve"> 2022.</w:t>
      </w:r>
      <w:r w:rsidRPr="00F27A03">
        <w:rPr>
          <w:rFonts w:eastAsia="MS PGothic" w:cstheme="minorHAnsi"/>
          <w:b/>
          <w:color w:val="002060"/>
          <w:szCs w:val="20"/>
          <w:lang w:val="sr-Cyrl-CS" w:eastAsia="ja-JP"/>
        </w:rPr>
        <w:t>, у млрд динара</w:t>
      </w:r>
    </w:p>
    <w:tbl>
      <w:tblPr>
        <w:tblW w:w="5161" w:type="pct"/>
        <w:jc w:val="right"/>
        <w:tblLook w:val="04A0" w:firstRow="1" w:lastRow="0" w:firstColumn="1" w:lastColumn="0" w:noHBand="0" w:noVBand="1"/>
      </w:tblPr>
      <w:tblGrid>
        <w:gridCol w:w="3585"/>
        <w:gridCol w:w="1519"/>
        <w:gridCol w:w="1519"/>
        <w:gridCol w:w="1519"/>
        <w:gridCol w:w="1519"/>
      </w:tblGrid>
      <w:tr w:rsidR="00ED5386" w:rsidRPr="00F27A03" w14:paraId="0AB43D68" w14:textId="77777777" w:rsidTr="00ED5386">
        <w:trPr>
          <w:trHeight w:val="66"/>
          <w:tblHeader/>
          <w:jc w:val="right"/>
        </w:trPr>
        <w:tc>
          <w:tcPr>
            <w:tcW w:w="1856" w:type="pct"/>
            <w:tcBorders>
              <w:top w:val="single" w:sz="4" w:space="0" w:color="002060"/>
            </w:tcBorders>
            <w:shd w:val="clear" w:color="auto" w:fill="auto"/>
            <w:noWrap/>
            <w:vAlign w:val="center"/>
            <w:hideMark/>
          </w:tcPr>
          <w:p w14:paraId="55FE0C6B" w14:textId="77777777" w:rsidR="00ED5386" w:rsidRPr="00F27A03" w:rsidRDefault="00ED5386" w:rsidP="00E124CF">
            <w:pPr>
              <w:spacing w:after="0" w:line="240" w:lineRule="auto"/>
              <w:rPr>
                <w:rFonts w:cstheme="minorHAnsi"/>
                <w:color w:val="002060"/>
                <w:sz w:val="18"/>
                <w:szCs w:val="18"/>
                <w:lang w:val="sr-Cyrl-CS"/>
              </w:rPr>
            </w:pPr>
            <w:r w:rsidRPr="00F27A03">
              <w:rPr>
                <w:rFonts w:eastAsia="MS PGothic" w:cstheme="minorHAnsi"/>
                <w:color w:val="002060"/>
                <w:sz w:val="18"/>
                <w:szCs w:val="18"/>
                <w:lang w:val="sr-Cyrl-CS" w:eastAsia="ja-JP"/>
              </w:rPr>
              <w:tab/>
            </w:r>
          </w:p>
        </w:tc>
        <w:tc>
          <w:tcPr>
            <w:tcW w:w="786" w:type="pct"/>
            <w:tcBorders>
              <w:top w:val="single" w:sz="4" w:space="0" w:color="002060"/>
              <w:bottom w:val="single" w:sz="4" w:space="0" w:color="002060"/>
            </w:tcBorders>
            <w:shd w:val="clear" w:color="auto" w:fill="auto"/>
            <w:vAlign w:val="center"/>
            <w:hideMark/>
          </w:tcPr>
          <w:p w14:paraId="0E2F405D" w14:textId="77777777" w:rsidR="00ED5386" w:rsidRPr="00F27A03" w:rsidRDefault="00ED5386" w:rsidP="00ED5386">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I–IX 2021</w:t>
            </w:r>
          </w:p>
        </w:tc>
        <w:tc>
          <w:tcPr>
            <w:tcW w:w="786" w:type="pct"/>
            <w:tcBorders>
              <w:top w:val="single" w:sz="4" w:space="0" w:color="002060"/>
              <w:bottom w:val="single" w:sz="4" w:space="0" w:color="002060"/>
            </w:tcBorders>
            <w:shd w:val="clear" w:color="auto" w:fill="auto"/>
            <w:vAlign w:val="center"/>
            <w:hideMark/>
          </w:tcPr>
          <w:p w14:paraId="45C4DAF2" w14:textId="77777777" w:rsidR="00ED5386" w:rsidRPr="00F27A03" w:rsidRDefault="00ED5386" w:rsidP="00ED5386">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I– IX 2022</w:t>
            </w:r>
          </w:p>
        </w:tc>
        <w:tc>
          <w:tcPr>
            <w:tcW w:w="786" w:type="pct"/>
            <w:tcBorders>
              <w:top w:val="single" w:sz="4" w:space="0" w:color="002060"/>
              <w:bottom w:val="single" w:sz="4" w:space="0" w:color="002060"/>
            </w:tcBorders>
            <w:vAlign w:val="center"/>
          </w:tcPr>
          <w:p w14:paraId="2C10415E" w14:textId="77777777" w:rsidR="00ED5386" w:rsidRPr="00F27A03" w:rsidRDefault="00ED5386" w:rsidP="00ED5386">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I–IX стопа раста у %</w:t>
            </w:r>
          </w:p>
        </w:tc>
        <w:tc>
          <w:tcPr>
            <w:tcW w:w="786" w:type="pct"/>
            <w:tcBorders>
              <w:top w:val="single" w:sz="4" w:space="0" w:color="002060"/>
              <w:bottom w:val="single" w:sz="4" w:space="0" w:color="002060"/>
            </w:tcBorders>
            <w:shd w:val="clear" w:color="auto" w:fill="auto"/>
            <w:vAlign w:val="center"/>
            <w:hideMark/>
          </w:tcPr>
          <w:p w14:paraId="06A8899F" w14:textId="77777777" w:rsidR="00ED5386" w:rsidRPr="00F27A03" w:rsidRDefault="00ED5386" w:rsidP="00E124CF">
            <w:pPr>
              <w:spacing w:after="0" w:line="240" w:lineRule="auto"/>
              <w:jc w:val="center"/>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2022/2021 стопа раста у %</w:t>
            </w:r>
          </w:p>
        </w:tc>
      </w:tr>
      <w:tr w:rsidR="00ED5386" w:rsidRPr="00F27A03" w14:paraId="3B046B9F" w14:textId="77777777" w:rsidTr="00ED5386">
        <w:trPr>
          <w:trHeight w:val="66"/>
          <w:tblHeader/>
          <w:jc w:val="right"/>
        </w:trPr>
        <w:tc>
          <w:tcPr>
            <w:tcW w:w="1856" w:type="pct"/>
            <w:shd w:val="clear" w:color="auto" w:fill="E7E6E6" w:themeFill="background2"/>
            <w:noWrap/>
            <w:vAlign w:val="center"/>
            <w:hideMark/>
          </w:tcPr>
          <w:p w14:paraId="3FA46B70" w14:textId="77777777" w:rsidR="00ED5386" w:rsidRPr="00F27A03" w:rsidRDefault="00ED5386" w:rsidP="00ED5386">
            <w:pPr>
              <w:spacing w:after="0" w:line="240" w:lineRule="auto"/>
              <w:jc w:val="left"/>
              <w:rPr>
                <w:rFonts w:cstheme="minorHAnsi"/>
                <w:color w:val="002060"/>
                <w:sz w:val="18"/>
                <w:szCs w:val="18"/>
                <w:lang w:val="sr-Cyrl-CS"/>
              </w:rPr>
            </w:pPr>
            <w:r w:rsidRPr="00F27A03">
              <w:rPr>
                <w:rFonts w:eastAsia="MS PGothic" w:cstheme="minorHAnsi"/>
                <w:color w:val="002060"/>
                <w:sz w:val="18"/>
                <w:szCs w:val="18"/>
                <w:lang w:val="sr-Cyrl-CS" w:eastAsia="ja-JP"/>
              </w:rPr>
              <w:t>ЈАВНИ ПРИХОДИ</w:t>
            </w:r>
          </w:p>
        </w:tc>
        <w:tc>
          <w:tcPr>
            <w:tcW w:w="786" w:type="pct"/>
            <w:tcBorders>
              <w:top w:val="single" w:sz="4" w:space="0" w:color="002060"/>
            </w:tcBorders>
            <w:shd w:val="clear" w:color="auto" w:fill="E7E6E6" w:themeFill="background2"/>
            <w:hideMark/>
          </w:tcPr>
          <w:p w14:paraId="21BA8B6B"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1.969,3</w:t>
            </w:r>
          </w:p>
        </w:tc>
        <w:tc>
          <w:tcPr>
            <w:tcW w:w="786" w:type="pct"/>
            <w:tcBorders>
              <w:top w:val="single" w:sz="4" w:space="0" w:color="002060"/>
            </w:tcBorders>
            <w:shd w:val="clear" w:color="auto" w:fill="E7E6E6" w:themeFill="background2"/>
            <w:hideMark/>
          </w:tcPr>
          <w:p w14:paraId="0C8358A6"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2.253,1</w:t>
            </w:r>
          </w:p>
        </w:tc>
        <w:tc>
          <w:tcPr>
            <w:tcW w:w="786" w:type="pct"/>
            <w:tcBorders>
              <w:top w:val="single" w:sz="4" w:space="0" w:color="002060"/>
            </w:tcBorders>
            <w:shd w:val="clear" w:color="auto" w:fill="E7E6E6" w:themeFill="background2"/>
          </w:tcPr>
          <w:p w14:paraId="25EC8470"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14,4</w:t>
            </w:r>
          </w:p>
        </w:tc>
        <w:tc>
          <w:tcPr>
            <w:tcW w:w="786" w:type="pct"/>
            <w:tcBorders>
              <w:top w:val="single" w:sz="4" w:space="0" w:color="002060"/>
            </w:tcBorders>
            <w:shd w:val="clear" w:color="auto" w:fill="E7E6E6" w:themeFill="background2"/>
            <w:hideMark/>
          </w:tcPr>
          <w:p w14:paraId="7DA19600"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12,1</w:t>
            </w:r>
          </w:p>
        </w:tc>
      </w:tr>
      <w:tr w:rsidR="00ED5386" w:rsidRPr="00F27A03" w14:paraId="231DB800" w14:textId="77777777" w:rsidTr="00ED5386">
        <w:trPr>
          <w:trHeight w:val="66"/>
          <w:tblHeader/>
          <w:jc w:val="right"/>
        </w:trPr>
        <w:tc>
          <w:tcPr>
            <w:tcW w:w="1856" w:type="pct"/>
            <w:shd w:val="clear" w:color="auto" w:fill="auto"/>
            <w:noWrap/>
            <w:vAlign w:val="center"/>
            <w:hideMark/>
          </w:tcPr>
          <w:p w14:paraId="33A182B6"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Текући приходи</w:t>
            </w:r>
          </w:p>
        </w:tc>
        <w:tc>
          <w:tcPr>
            <w:tcW w:w="786" w:type="pct"/>
            <w:shd w:val="clear" w:color="auto" w:fill="auto"/>
            <w:hideMark/>
          </w:tcPr>
          <w:p w14:paraId="562052B0"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1.957,4</w:t>
            </w:r>
          </w:p>
        </w:tc>
        <w:tc>
          <w:tcPr>
            <w:tcW w:w="786" w:type="pct"/>
            <w:shd w:val="clear" w:color="auto" w:fill="auto"/>
            <w:noWrap/>
            <w:hideMark/>
          </w:tcPr>
          <w:p w14:paraId="31110A39"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2.243,3</w:t>
            </w:r>
          </w:p>
        </w:tc>
        <w:tc>
          <w:tcPr>
            <w:tcW w:w="786" w:type="pct"/>
          </w:tcPr>
          <w:p w14:paraId="75C1EFD7"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14,6</w:t>
            </w:r>
          </w:p>
        </w:tc>
        <w:tc>
          <w:tcPr>
            <w:tcW w:w="786" w:type="pct"/>
            <w:shd w:val="clear" w:color="auto" w:fill="auto"/>
            <w:hideMark/>
          </w:tcPr>
          <w:p w14:paraId="2C1B01B8"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12,1</w:t>
            </w:r>
          </w:p>
        </w:tc>
      </w:tr>
      <w:tr w:rsidR="00ED5386" w:rsidRPr="00F27A03" w14:paraId="1263C5E3" w14:textId="77777777" w:rsidTr="00ED5386">
        <w:trPr>
          <w:trHeight w:val="66"/>
          <w:tblHeader/>
          <w:jc w:val="right"/>
        </w:trPr>
        <w:tc>
          <w:tcPr>
            <w:tcW w:w="1856" w:type="pct"/>
            <w:shd w:val="clear" w:color="auto" w:fill="auto"/>
            <w:noWrap/>
            <w:vAlign w:val="center"/>
            <w:hideMark/>
          </w:tcPr>
          <w:p w14:paraId="4628AEC4"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Порески приходи</w:t>
            </w:r>
          </w:p>
        </w:tc>
        <w:tc>
          <w:tcPr>
            <w:tcW w:w="786" w:type="pct"/>
            <w:shd w:val="clear" w:color="auto" w:fill="auto"/>
            <w:hideMark/>
          </w:tcPr>
          <w:p w14:paraId="21C57C15"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1.764,5</w:t>
            </w:r>
          </w:p>
        </w:tc>
        <w:tc>
          <w:tcPr>
            <w:tcW w:w="786" w:type="pct"/>
            <w:shd w:val="clear" w:color="auto" w:fill="auto"/>
            <w:hideMark/>
          </w:tcPr>
          <w:p w14:paraId="3035F42B"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2.033,6</w:t>
            </w:r>
          </w:p>
        </w:tc>
        <w:tc>
          <w:tcPr>
            <w:tcW w:w="786" w:type="pct"/>
          </w:tcPr>
          <w:p w14:paraId="20E4D47D"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15,3</w:t>
            </w:r>
          </w:p>
        </w:tc>
        <w:tc>
          <w:tcPr>
            <w:tcW w:w="786" w:type="pct"/>
            <w:shd w:val="clear" w:color="auto" w:fill="auto"/>
            <w:hideMark/>
          </w:tcPr>
          <w:p w14:paraId="05B8821A"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13,2</w:t>
            </w:r>
          </w:p>
        </w:tc>
      </w:tr>
      <w:tr w:rsidR="00ED5386" w:rsidRPr="00F27A03" w14:paraId="6C009A32" w14:textId="77777777" w:rsidTr="00ED5386">
        <w:trPr>
          <w:trHeight w:val="66"/>
          <w:tblHeader/>
          <w:jc w:val="right"/>
        </w:trPr>
        <w:tc>
          <w:tcPr>
            <w:tcW w:w="1856" w:type="pct"/>
            <w:shd w:val="clear" w:color="auto" w:fill="auto"/>
            <w:noWrap/>
            <w:vAlign w:val="center"/>
            <w:hideMark/>
          </w:tcPr>
          <w:p w14:paraId="18AB4FE9"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Порез на доходак грађана</w:t>
            </w:r>
          </w:p>
        </w:tc>
        <w:tc>
          <w:tcPr>
            <w:tcW w:w="786" w:type="pct"/>
            <w:shd w:val="clear" w:color="auto" w:fill="auto"/>
            <w:hideMark/>
          </w:tcPr>
          <w:p w14:paraId="7F256B31"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187,3</w:t>
            </w:r>
          </w:p>
        </w:tc>
        <w:tc>
          <w:tcPr>
            <w:tcW w:w="786" w:type="pct"/>
            <w:shd w:val="clear" w:color="auto" w:fill="auto"/>
            <w:hideMark/>
          </w:tcPr>
          <w:p w14:paraId="598E36ED"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219,4</w:t>
            </w:r>
          </w:p>
        </w:tc>
        <w:tc>
          <w:tcPr>
            <w:tcW w:w="786" w:type="pct"/>
          </w:tcPr>
          <w:p w14:paraId="3FDE1351"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17,2</w:t>
            </w:r>
          </w:p>
        </w:tc>
        <w:tc>
          <w:tcPr>
            <w:tcW w:w="786" w:type="pct"/>
            <w:shd w:val="clear" w:color="auto" w:fill="auto"/>
            <w:hideMark/>
          </w:tcPr>
          <w:p w14:paraId="4597CF82"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15,2</w:t>
            </w:r>
          </w:p>
        </w:tc>
      </w:tr>
      <w:tr w:rsidR="00ED5386" w:rsidRPr="00F27A03" w14:paraId="4032D73B" w14:textId="77777777" w:rsidTr="00ED5386">
        <w:trPr>
          <w:trHeight w:val="66"/>
          <w:tblHeader/>
          <w:jc w:val="right"/>
        </w:trPr>
        <w:tc>
          <w:tcPr>
            <w:tcW w:w="1856" w:type="pct"/>
            <w:shd w:val="clear" w:color="auto" w:fill="auto"/>
            <w:noWrap/>
            <w:vAlign w:val="center"/>
            <w:hideMark/>
          </w:tcPr>
          <w:p w14:paraId="6E28668C"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Порез на добит правних лица</w:t>
            </w:r>
          </w:p>
        </w:tc>
        <w:tc>
          <w:tcPr>
            <w:tcW w:w="786" w:type="pct"/>
            <w:shd w:val="clear" w:color="auto" w:fill="auto"/>
            <w:hideMark/>
          </w:tcPr>
          <w:p w14:paraId="1EF308C4"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125,7</w:t>
            </w:r>
          </w:p>
        </w:tc>
        <w:tc>
          <w:tcPr>
            <w:tcW w:w="786" w:type="pct"/>
            <w:shd w:val="clear" w:color="auto" w:fill="auto"/>
            <w:hideMark/>
          </w:tcPr>
          <w:p w14:paraId="6CA3FD13"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166,8</w:t>
            </w:r>
          </w:p>
        </w:tc>
        <w:tc>
          <w:tcPr>
            <w:tcW w:w="786" w:type="pct"/>
          </w:tcPr>
          <w:p w14:paraId="6A30B2BE"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32,7</w:t>
            </w:r>
          </w:p>
        </w:tc>
        <w:tc>
          <w:tcPr>
            <w:tcW w:w="786" w:type="pct"/>
            <w:shd w:val="clear" w:color="auto" w:fill="auto"/>
            <w:hideMark/>
          </w:tcPr>
          <w:p w14:paraId="69461224"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30,8</w:t>
            </w:r>
          </w:p>
        </w:tc>
      </w:tr>
      <w:tr w:rsidR="00ED5386" w:rsidRPr="00F27A03" w14:paraId="3051C0E9" w14:textId="77777777" w:rsidTr="00ED5386">
        <w:trPr>
          <w:trHeight w:val="66"/>
          <w:tblHeader/>
          <w:jc w:val="right"/>
        </w:trPr>
        <w:tc>
          <w:tcPr>
            <w:tcW w:w="1856" w:type="pct"/>
            <w:shd w:val="clear" w:color="auto" w:fill="auto"/>
            <w:noWrap/>
            <w:vAlign w:val="center"/>
            <w:hideMark/>
          </w:tcPr>
          <w:p w14:paraId="7977B857"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ПДВ</w:t>
            </w:r>
          </w:p>
        </w:tc>
        <w:tc>
          <w:tcPr>
            <w:tcW w:w="786" w:type="pct"/>
            <w:shd w:val="clear" w:color="auto" w:fill="auto"/>
            <w:hideMark/>
          </w:tcPr>
          <w:p w14:paraId="00E7CD82"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473,9</w:t>
            </w:r>
          </w:p>
        </w:tc>
        <w:tc>
          <w:tcPr>
            <w:tcW w:w="786" w:type="pct"/>
            <w:shd w:val="clear" w:color="auto" w:fill="auto"/>
            <w:hideMark/>
          </w:tcPr>
          <w:p w14:paraId="57C396EB"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579,1</w:t>
            </w:r>
          </w:p>
        </w:tc>
        <w:tc>
          <w:tcPr>
            <w:tcW w:w="786" w:type="pct"/>
          </w:tcPr>
          <w:p w14:paraId="05819309"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22,2</w:t>
            </w:r>
          </w:p>
        </w:tc>
        <w:tc>
          <w:tcPr>
            <w:tcW w:w="786" w:type="pct"/>
            <w:shd w:val="clear" w:color="auto" w:fill="auto"/>
            <w:hideMark/>
          </w:tcPr>
          <w:p w14:paraId="56F28128"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17,9</w:t>
            </w:r>
          </w:p>
        </w:tc>
      </w:tr>
      <w:tr w:rsidR="00ED5386" w:rsidRPr="00F27A03" w14:paraId="4001864F" w14:textId="77777777" w:rsidTr="00ED5386">
        <w:trPr>
          <w:trHeight w:val="66"/>
          <w:tblHeader/>
          <w:jc w:val="right"/>
        </w:trPr>
        <w:tc>
          <w:tcPr>
            <w:tcW w:w="1856" w:type="pct"/>
            <w:shd w:val="clear" w:color="auto" w:fill="auto"/>
            <w:noWrap/>
            <w:vAlign w:val="center"/>
            <w:hideMark/>
          </w:tcPr>
          <w:p w14:paraId="4B627B44"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Акцизе</w:t>
            </w:r>
          </w:p>
        </w:tc>
        <w:tc>
          <w:tcPr>
            <w:tcW w:w="786" w:type="pct"/>
            <w:shd w:val="clear" w:color="auto" w:fill="auto"/>
            <w:hideMark/>
          </w:tcPr>
          <w:p w14:paraId="1C1FCAA1"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243,7</w:t>
            </w:r>
          </w:p>
        </w:tc>
        <w:tc>
          <w:tcPr>
            <w:tcW w:w="786" w:type="pct"/>
            <w:shd w:val="clear" w:color="auto" w:fill="auto"/>
            <w:hideMark/>
          </w:tcPr>
          <w:p w14:paraId="0AAD3DAF"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251,2</w:t>
            </w:r>
          </w:p>
        </w:tc>
        <w:tc>
          <w:tcPr>
            <w:tcW w:w="786" w:type="pct"/>
          </w:tcPr>
          <w:p w14:paraId="33242915"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3,0</w:t>
            </w:r>
          </w:p>
        </w:tc>
        <w:tc>
          <w:tcPr>
            <w:tcW w:w="786" w:type="pct"/>
            <w:shd w:val="clear" w:color="auto" w:fill="auto"/>
            <w:hideMark/>
          </w:tcPr>
          <w:p w14:paraId="0D48E18D"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2,1</w:t>
            </w:r>
          </w:p>
        </w:tc>
      </w:tr>
      <w:tr w:rsidR="00ED5386" w:rsidRPr="00F27A03" w14:paraId="74089B65" w14:textId="77777777" w:rsidTr="00ED5386">
        <w:trPr>
          <w:trHeight w:val="66"/>
          <w:tblHeader/>
          <w:jc w:val="right"/>
        </w:trPr>
        <w:tc>
          <w:tcPr>
            <w:tcW w:w="1856" w:type="pct"/>
            <w:shd w:val="clear" w:color="auto" w:fill="auto"/>
            <w:noWrap/>
            <w:vAlign w:val="center"/>
            <w:hideMark/>
          </w:tcPr>
          <w:p w14:paraId="158A655C"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Царине</w:t>
            </w:r>
          </w:p>
        </w:tc>
        <w:tc>
          <w:tcPr>
            <w:tcW w:w="786" w:type="pct"/>
            <w:shd w:val="clear" w:color="auto" w:fill="auto"/>
            <w:hideMark/>
          </w:tcPr>
          <w:p w14:paraId="795F3A08"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43,5</w:t>
            </w:r>
          </w:p>
        </w:tc>
        <w:tc>
          <w:tcPr>
            <w:tcW w:w="786" w:type="pct"/>
            <w:shd w:val="clear" w:color="auto" w:fill="auto"/>
            <w:hideMark/>
          </w:tcPr>
          <w:p w14:paraId="55424D46"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57,4</w:t>
            </w:r>
          </w:p>
        </w:tc>
        <w:tc>
          <w:tcPr>
            <w:tcW w:w="786" w:type="pct"/>
          </w:tcPr>
          <w:p w14:paraId="6B9B66BF"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32,0</w:t>
            </w:r>
          </w:p>
        </w:tc>
        <w:tc>
          <w:tcPr>
            <w:tcW w:w="786" w:type="pct"/>
            <w:shd w:val="clear" w:color="auto" w:fill="auto"/>
            <w:hideMark/>
          </w:tcPr>
          <w:p w14:paraId="43C191F1"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28,3</w:t>
            </w:r>
          </w:p>
        </w:tc>
      </w:tr>
      <w:tr w:rsidR="00ED5386" w:rsidRPr="00F27A03" w14:paraId="79BAD215" w14:textId="77777777" w:rsidTr="00ED5386">
        <w:trPr>
          <w:trHeight w:val="66"/>
          <w:tblHeader/>
          <w:jc w:val="right"/>
        </w:trPr>
        <w:tc>
          <w:tcPr>
            <w:tcW w:w="1856" w:type="pct"/>
            <w:shd w:val="clear" w:color="auto" w:fill="auto"/>
            <w:noWrap/>
            <w:vAlign w:val="center"/>
            <w:hideMark/>
          </w:tcPr>
          <w:p w14:paraId="093E7186"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Остали порески приходи</w:t>
            </w:r>
          </w:p>
        </w:tc>
        <w:tc>
          <w:tcPr>
            <w:tcW w:w="786" w:type="pct"/>
            <w:shd w:val="clear" w:color="auto" w:fill="auto"/>
            <w:hideMark/>
          </w:tcPr>
          <w:p w14:paraId="3B95D0A9"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66,4</w:t>
            </w:r>
          </w:p>
        </w:tc>
        <w:tc>
          <w:tcPr>
            <w:tcW w:w="786" w:type="pct"/>
            <w:shd w:val="clear" w:color="auto" w:fill="auto"/>
            <w:hideMark/>
          </w:tcPr>
          <w:p w14:paraId="7D72B8F6"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72,0</w:t>
            </w:r>
          </w:p>
        </w:tc>
        <w:tc>
          <w:tcPr>
            <w:tcW w:w="786" w:type="pct"/>
          </w:tcPr>
          <w:p w14:paraId="352E9FD7"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8,4</w:t>
            </w:r>
          </w:p>
        </w:tc>
        <w:tc>
          <w:tcPr>
            <w:tcW w:w="786" w:type="pct"/>
            <w:shd w:val="clear" w:color="auto" w:fill="auto"/>
            <w:hideMark/>
          </w:tcPr>
          <w:p w14:paraId="58B6D94A"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4,8</w:t>
            </w:r>
          </w:p>
        </w:tc>
      </w:tr>
      <w:tr w:rsidR="00ED5386" w:rsidRPr="00F27A03" w14:paraId="5346D076" w14:textId="77777777" w:rsidTr="00ED5386">
        <w:trPr>
          <w:trHeight w:val="66"/>
          <w:tblHeader/>
          <w:jc w:val="right"/>
        </w:trPr>
        <w:tc>
          <w:tcPr>
            <w:tcW w:w="1856" w:type="pct"/>
            <w:shd w:val="clear" w:color="auto" w:fill="auto"/>
            <w:noWrap/>
            <w:vAlign w:val="center"/>
            <w:hideMark/>
          </w:tcPr>
          <w:p w14:paraId="0F1A668B"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Доприноси</w:t>
            </w:r>
          </w:p>
        </w:tc>
        <w:tc>
          <w:tcPr>
            <w:tcW w:w="786" w:type="pct"/>
            <w:shd w:val="clear" w:color="auto" w:fill="auto"/>
            <w:hideMark/>
          </w:tcPr>
          <w:p w14:paraId="02DCA02B"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623,9</w:t>
            </w:r>
          </w:p>
        </w:tc>
        <w:tc>
          <w:tcPr>
            <w:tcW w:w="786" w:type="pct"/>
            <w:shd w:val="clear" w:color="auto" w:fill="auto"/>
            <w:hideMark/>
          </w:tcPr>
          <w:p w14:paraId="64F9318A"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687,9</w:t>
            </w:r>
          </w:p>
        </w:tc>
        <w:tc>
          <w:tcPr>
            <w:tcW w:w="786" w:type="pct"/>
          </w:tcPr>
          <w:p w14:paraId="46EE6383"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10,2</w:t>
            </w:r>
          </w:p>
        </w:tc>
        <w:tc>
          <w:tcPr>
            <w:tcW w:w="786" w:type="pct"/>
            <w:shd w:val="clear" w:color="auto" w:fill="auto"/>
            <w:hideMark/>
          </w:tcPr>
          <w:p w14:paraId="426C640B"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9,9</w:t>
            </w:r>
          </w:p>
        </w:tc>
      </w:tr>
      <w:tr w:rsidR="00ED5386" w:rsidRPr="00F27A03" w14:paraId="4D63D131" w14:textId="77777777" w:rsidTr="00ED5386">
        <w:trPr>
          <w:trHeight w:val="66"/>
          <w:tblHeader/>
          <w:jc w:val="right"/>
        </w:trPr>
        <w:tc>
          <w:tcPr>
            <w:tcW w:w="1856" w:type="pct"/>
            <w:shd w:val="clear" w:color="auto" w:fill="auto"/>
            <w:noWrap/>
            <w:vAlign w:val="center"/>
            <w:hideMark/>
          </w:tcPr>
          <w:p w14:paraId="5EB8303B"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Непорески приходи</w:t>
            </w:r>
          </w:p>
        </w:tc>
        <w:tc>
          <w:tcPr>
            <w:tcW w:w="786" w:type="pct"/>
            <w:shd w:val="clear" w:color="auto" w:fill="auto"/>
            <w:hideMark/>
          </w:tcPr>
          <w:p w14:paraId="5B1F40D1"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192,9</w:t>
            </w:r>
          </w:p>
        </w:tc>
        <w:tc>
          <w:tcPr>
            <w:tcW w:w="786" w:type="pct"/>
            <w:shd w:val="clear" w:color="auto" w:fill="auto"/>
            <w:hideMark/>
          </w:tcPr>
          <w:p w14:paraId="590675A7"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209,7</w:t>
            </w:r>
          </w:p>
        </w:tc>
        <w:tc>
          <w:tcPr>
            <w:tcW w:w="786" w:type="pct"/>
          </w:tcPr>
          <w:p w14:paraId="67DC7ECD"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8,7</w:t>
            </w:r>
          </w:p>
        </w:tc>
        <w:tc>
          <w:tcPr>
            <w:tcW w:w="786" w:type="pct"/>
            <w:shd w:val="clear" w:color="auto" w:fill="auto"/>
            <w:hideMark/>
          </w:tcPr>
          <w:p w14:paraId="10F97756"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2,1</w:t>
            </w:r>
          </w:p>
        </w:tc>
      </w:tr>
      <w:tr w:rsidR="00ED5386" w:rsidRPr="00F27A03" w14:paraId="0BFEC223" w14:textId="77777777" w:rsidTr="00ED5386">
        <w:trPr>
          <w:trHeight w:val="66"/>
          <w:tblHeader/>
          <w:jc w:val="right"/>
        </w:trPr>
        <w:tc>
          <w:tcPr>
            <w:tcW w:w="1856" w:type="pct"/>
            <w:shd w:val="clear" w:color="auto" w:fill="auto"/>
            <w:noWrap/>
            <w:vAlign w:val="center"/>
            <w:hideMark/>
          </w:tcPr>
          <w:p w14:paraId="095D326D"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Донације</w:t>
            </w:r>
          </w:p>
        </w:tc>
        <w:tc>
          <w:tcPr>
            <w:tcW w:w="786" w:type="pct"/>
            <w:shd w:val="clear" w:color="auto" w:fill="auto"/>
            <w:hideMark/>
          </w:tcPr>
          <w:p w14:paraId="5764291B"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11,9</w:t>
            </w:r>
          </w:p>
        </w:tc>
        <w:tc>
          <w:tcPr>
            <w:tcW w:w="786" w:type="pct"/>
            <w:shd w:val="clear" w:color="auto" w:fill="auto"/>
            <w:hideMark/>
          </w:tcPr>
          <w:p w14:paraId="3889E2C6"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9,8</w:t>
            </w:r>
          </w:p>
        </w:tc>
        <w:tc>
          <w:tcPr>
            <w:tcW w:w="786" w:type="pct"/>
          </w:tcPr>
          <w:p w14:paraId="1CCDAA56"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-17,6</w:t>
            </w:r>
          </w:p>
        </w:tc>
        <w:tc>
          <w:tcPr>
            <w:tcW w:w="786" w:type="pct"/>
            <w:shd w:val="clear" w:color="auto" w:fill="auto"/>
            <w:hideMark/>
          </w:tcPr>
          <w:p w14:paraId="190C6802"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12,5</w:t>
            </w:r>
          </w:p>
        </w:tc>
      </w:tr>
      <w:tr w:rsidR="00ED5386" w:rsidRPr="00F27A03" w14:paraId="5BD208D0" w14:textId="77777777" w:rsidTr="00ED5386">
        <w:trPr>
          <w:trHeight w:val="66"/>
          <w:tblHeader/>
          <w:jc w:val="right"/>
        </w:trPr>
        <w:tc>
          <w:tcPr>
            <w:tcW w:w="1856" w:type="pct"/>
            <w:shd w:val="clear" w:color="auto" w:fill="E7E6E6" w:themeFill="background2"/>
            <w:noWrap/>
            <w:vAlign w:val="center"/>
            <w:hideMark/>
          </w:tcPr>
          <w:p w14:paraId="476A6F0A" w14:textId="77777777" w:rsidR="00ED5386" w:rsidRPr="00F27A03" w:rsidRDefault="00ED5386" w:rsidP="00ED5386">
            <w:pPr>
              <w:spacing w:after="0" w:line="240" w:lineRule="auto"/>
              <w:jc w:val="left"/>
              <w:rPr>
                <w:rFonts w:cstheme="minorHAnsi"/>
                <w:color w:val="002060"/>
                <w:sz w:val="18"/>
                <w:szCs w:val="18"/>
                <w:lang w:val="sr-Cyrl-CS"/>
              </w:rPr>
            </w:pPr>
            <w:r w:rsidRPr="00F27A03">
              <w:rPr>
                <w:rFonts w:eastAsia="MS PGothic" w:cstheme="minorHAnsi"/>
                <w:color w:val="002060"/>
                <w:sz w:val="18"/>
                <w:szCs w:val="18"/>
                <w:lang w:val="sr-Cyrl-CS" w:eastAsia="ja-JP"/>
              </w:rPr>
              <w:t>ЈАВНИ РАСХОДИ</w:t>
            </w:r>
          </w:p>
        </w:tc>
        <w:tc>
          <w:tcPr>
            <w:tcW w:w="786" w:type="pct"/>
            <w:shd w:val="clear" w:color="auto" w:fill="E7E6E6" w:themeFill="background2"/>
            <w:hideMark/>
          </w:tcPr>
          <w:p w14:paraId="5932A08F"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2.037,3</w:t>
            </w:r>
          </w:p>
        </w:tc>
        <w:tc>
          <w:tcPr>
            <w:tcW w:w="786" w:type="pct"/>
            <w:shd w:val="clear" w:color="auto" w:fill="E7E6E6" w:themeFill="background2"/>
            <w:noWrap/>
            <w:hideMark/>
          </w:tcPr>
          <w:p w14:paraId="06466432"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2.204,8</w:t>
            </w:r>
          </w:p>
        </w:tc>
        <w:tc>
          <w:tcPr>
            <w:tcW w:w="786" w:type="pct"/>
            <w:shd w:val="clear" w:color="auto" w:fill="E7E6E6" w:themeFill="background2"/>
          </w:tcPr>
          <w:p w14:paraId="557E8843"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8,2</w:t>
            </w:r>
          </w:p>
        </w:tc>
        <w:tc>
          <w:tcPr>
            <w:tcW w:w="786" w:type="pct"/>
            <w:shd w:val="clear" w:color="auto" w:fill="E7E6E6" w:themeFill="background2"/>
            <w:hideMark/>
          </w:tcPr>
          <w:p w14:paraId="723E51B9"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11,5</w:t>
            </w:r>
          </w:p>
        </w:tc>
      </w:tr>
      <w:tr w:rsidR="00ED5386" w:rsidRPr="00F27A03" w14:paraId="1A169B7E" w14:textId="77777777" w:rsidTr="00ED5386">
        <w:trPr>
          <w:trHeight w:val="66"/>
          <w:tblHeader/>
          <w:jc w:val="right"/>
        </w:trPr>
        <w:tc>
          <w:tcPr>
            <w:tcW w:w="1856" w:type="pct"/>
            <w:shd w:val="clear" w:color="auto" w:fill="auto"/>
            <w:noWrap/>
            <w:vAlign w:val="center"/>
            <w:hideMark/>
          </w:tcPr>
          <w:p w14:paraId="23A8EEE7"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Текући расходи</w:t>
            </w:r>
          </w:p>
        </w:tc>
        <w:tc>
          <w:tcPr>
            <w:tcW w:w="786" w:type="pct"/>
            <w:shd w:val="clear" w:color="auto" w:fill="auto"/>
            <w:hideMark/>
          </w:tcPr>
          <w:p w14:paraId="22E1D781"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1.755,8</w:t>
            </w:r>
          </w:p>
        </w:tc>
        <w:tc>
          <w:tcPr>
            <w:tcW w:w="786" w:type="pct"/>
            <w:shd w:val="clear" w:color="auto" w:fill="auto"/>
            <w:noWrap/>
            <w:hideMark/>
          </w:tcPr>
          <w:p w14:paraId="4D15438F"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1.874,6</w:t>
            </w:r>
          </w:p>
        </w:tc>
        <w:tc>
          <w:tcPr>
            <w:tcW w:w="786" w:type="pct"/>
          </w:tcPr>
          <w:p w14:paraId="43CD9AAB"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6,8</w:t>
            </w:r>
          </w:p>
        </w:tc>
        <w:tc>
          <w:tcPr>
            <w:tcW w:w="786" w:type="pct"/>
            <w:shd w:val="clear" w:color="auto" w:fill="auto"/>
            <w:hideMark/>
          </w:tcPr>
          <w:p w14:paraId="41B3642B"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7,2</w:t>
            </w:r>
          </w:p>
        </w:tc>
      </w:tr>
      <w:tr w:rsidR="00ED5386" w:rsidRPr="00F27A03" w14:paraId="6CE11C79" w14:textId="77777777" w:rsidTr="00ED5386">
        <w:trPr>
          <w:trHeight w:val="66"/>
          <w:tblHeader/>
          <w:jc w:val="right"/>
        </w:trPr>
        <w:tc>
          <w:tcPr>
            <w:tcW w:w="1856" w:type="pct"/>
            <w:shd w:val="clear" w:color="auto" w:fill="auto"/>
            <w:noWrap/>
            <w:vAlign w:val="center"/>
            <w:hideMark/>
          </w:tcPr>
          <w:p w14:paraId="7057EA64"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Расходи за запослене</w:t>
            </w:r>
          </w:p>
        </w:tc>
        <w:tc>
          <w:tcPr>
            <w:tcW w:w="786" w:type="pct"/>
            <w:shd w:val="clear" w:color="auto" w:fill="auto"/>
            <w:hideMark/>
          </w:tcPr>
          <w:p w14:paraId="77C7F250"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466,4</w:t>
            </w:r>
          </w:p>
        </w:tc>
        <w:tc>
          <w:tcPr>
            <w:tcW w:w="786" w:type="pct"/>
            <w:shd w:val="clear" w:color="auto" w:fill="auto"/>
            <w:hideMark/>
          </w:tcPr>
          <w:p w14:paraId="4CA7EE28"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510,4</w:t>
            </w:r>
          </w:p>
        </w:tc>
        <w:tc>
          <w:tcPr>
            <w:tcW w:w="786" w:type="pct"/>
          </w:tcPr>
          <w:p w14:paraId="6168618D"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9,5</w:t>
            </w:r>
          </w:p>
        </w:tc>
        <w:tc>
          <w:tcPr>
            <w:tcW w:w="786" w:type="pct"/>
            <w:shd w:val="clear" w:color="auto" w:fill="auto"/>
            <w:hideMark/>
          </w:tcPr>
          <w:p w14:paraId="7C734313"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9,4</w:t>
            </w:r>
          </w:p>
        </w:tc>
      </w:tr>
      <w:tr w:rsidR="00ED5386" w:rsidRPr="00F27A03" w14:paraId="1EB81CB1" w14:textId="77777777" w:rsidTr="00ED5386">
        <w:trPr>
          <w:trHeight w:val="66"/>
          <w:tblHeader/>
          <w:jc w:val="right"/>
        </w:trPr>
        <w:tc>
          <w:tcPr>
            <w:tcW w:w="1856" w:type="pct"/>
            <w:shd w:val="clear" w:color="auto" w:fill="auto"/>
            <w:noWrap/>
            <w:vAlign w:val="center"/>
            <w:hideMark/>
          </w:tcPr>
          <w:p w14:paraId="130E2F71"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Куповина робе и услуга</w:t>
            </w:r>
          </w:p>
        </w:tc>
        <w:tc>
          <w:tcPr>
            <w:tcW w:w="786" w:type="pct"/>
            <w:shd w:val="clear" w:color="auto" w:fill="auto"/>
            <w:hideMark/>
          </w:tcPr>
          <w:p w14:paraId="223EC1AB"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325,7</w:t>
            </w:r>
          </w:p>
        </w:tc>
        <w:tc>
          <w:tcPr>
            <w:tcW w:w="786" w:type="pct"/>
            <w:shd w:val="clear" w:color="auto" w:fill="auto"/>
            <w:hideMark/>
          </w:tcPr>
          <w:p w14:paraId="5C9878C3"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360,2</w:t>
            </w:r>
          </w:p>
        </w:tc>
        <w:tc>
          <w:tcPr>
            <w:tcW w:w="786" w:type="pct"/>
          </w:tcPr>
          <w:p w14:paraId="605DC128"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10,6</w:t>
            </w:r>
          </w:p>
        </w:tc>
        <w:tc>
          <w:tcPr>
            <w:tcW w:w="786" w:type="pct"/>
            <w:shd w:val="clear" w:color="auto" w:fill="auto"/>
            <w:hideMark/>
          </w:tcPr>
          <w:p w14:paraId="07C80017"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12,0</w:t>
            </w:r>
          </w:p>
        </w:tc>
      </w:tr>
      <w:tr w:rsidR="00ED5386" w:rsidRPr="00F27A03" w14:paraId="06513735" w14:textId="77777777" w:rsidTr="00ED5386">
        <w:trPr>
          <w:trHeight w:val="66"/>
          <w:tblHeader/>
          <w:jc w:val="right"/>
        </w:trPr>
        <w:tc>
          <w:tcPr>
            <w:tcW w:w="1856" w:type="pct"/>
            <w:shd w:val="clear" w:color="auto" w:fill="auto"/>
            <w:noWrap/>
            <w:vAlign w:val="center"/>
            <w:hideMark/>
          </w:tcPr>
          <w:p w14:paraId="18317DD5"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Отплата камата</w:t>
            </w:r>
          </w:p>
        </w:tc>
        <w:tc>
          <w:tcPr>
            <w:tcW w:w="786" w:type="pct"/>
            <w:shd w:val="clear" w:color="auto" w:fill="auto"/>
            <w:hideMark/>
          </w:tcPr>
          <w:p w14:paraId="3DB50B74"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98,1</w:t>
            </w:r>
          </w:p>
        </w:tc>
        <w:tc>
          <w:tcPr>
            <w:tcW w:w="786" w:type="pct"/>
            <w:shd w:val="clear" w:color="auto" w:fill="auto"/>
            <w:hideMark/>
          </w:tcPr>
          <w:p w14:paraId="65852805"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97,0</w:t>
            </w:r>
          </w:p>
        </w:tc>
        <w:tc>
          <w:tcPr>
            <w:tcW w:w="786" w:type="pct"/>
          </w:tcPr>
          <w:p w14:paraId="405D4193"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-1,1</w:t>
            </w:r>
          </w:p>
        </w:tc>
        <w:tc>
          <w:tcPr>
            <w:tcW w:w="786" w:type="pct"/>
            <w:shd w:val="clear" w:color="auto" w:fill="auto"/>
            <w:hideMark/>
          </w:tcPr>
          <w:p w14:paraId="54A9849C"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6,2</w:t>
            </w:r>
          </w:p>
        </w:tc>
      </w:tr>
      <w:tr w:rsidR="00ED5386" w:rsidRPr="00F27A03" w14:paraId="0493CF0E" w14:textId="77777777" w:rsidTr="00ED5386">
        <w:trPr>
          <w:trHeight w:val="66"/>
          <w:tblHeader/>
          <w:jc w:val="right"/>
        </w:trPr>
        <w:tc>
          <w:tcPr>
            <w:tcW w:w="1856" w:type="pct"/>
            <w:shd w:val="clear" w:color="auto" w:fill="auto"/>
            <w:noWrap/>
            <w:vAlign w:val="center"/>
            <w:hideMark/>
          </w:tcPr>
          <w:p w14:paraId="74BF9A42"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Субвенције</w:t>
            </w:r>
          </w:p>
        </w:tc>
        <w:tc>
          <w:tcPr>
            <w:tcW w:w="786" w:type="pct"/>
            <w:shd w:val="clear" w:color="auto" w:fill="auto"/>
            <w:hideMark/>
          </w:tcPr>
          <w:p w14:paraId="758DC40B"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142,2</w:t>
            </w:r>
          </w:p>
        </w:tc>
        <w:tc>
          <w:tcPr>
            <w:tcW w:w="786" w:type="pct"/>
            <w:shd w:val="clear" w:color="auto" w:fill="auto"/>
            <w:hideMark/>
          </w:tcPr>
          <w:p w14:paraId="5AA6D3C1"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104,2</w:t>
            </w:r>
          </w:p>
        </w:tc>
        <w:tc>
          <w:tcPr>
            <w:tcW w:w="786" w:type="pct"/>
          </w:tcPr>
          <w:p w14:paraId="4D167365"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-26,8</w:t>
            </w:r>
          </w:p>
        </w:tc>
        <w:tc>
          <w:tcPr>
            <w:tcW w:w="786" w:type="pct"/>
            <w:shd w:val="clear" w:color="auto" w:fill="auto"/>
            <w:hideMark/>
          </w:tcPr>
          <w:p w14:paraId="7155D330"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-11,1</w:t>
            </w:r>
          </w:p>
        </w:tc>
      </w:tr>
      <w:tr w:rsidR="00ED5386" w:rsidRPr="00F27A03" w14:paraId="39829F66" w14:textId="77777777" w:rsidTr="00ED5386">
        <w:trPr>
          <w:trHeight w:val="66"/>
          <w:tblHeader/>
          <w:jc w:val="right"/>
        </w:trPr>
        <w:tc>
          <w:tcPr>
            <w:tcW w:w="1856" w:type="pct"/>
            <w:shd w:val="clear" w:color="auto" w:fill="auto"/>
            <w:noWrap/>
            <w:vAlign w:val="center"/>
            <w:hideMark/>
          </w:tcPr>
          <w:p w14:paraId="357AEDE1"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Социјална помоћ и трансфери</w:t>
            </w:r>
          </w:p>
        </w:tc>
        <w:tc>
          <w:tcPr>
            <w:tcW w:w="786" w:type="pct"/>
            <w:shd w:val="clear" w:color="auto" w:fill="auto"/>
            <w:hideMark/>
          </w:tcPr>
          <w:p w14:paraId="4804A781"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633,4</w:t>
            </w:r>
          </w:p>
        </w:tc>
        <w:tc>
          <w:tcPr>
            <w:tcW w:w="786" w:type="pct"/>
            <w:shd w:val="clear" w:color="auto" w:fill="auto"/>
            <w:hideMark/>
          </w:tcPr>
          <w:p w14:paraId="759AE6BD"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692,8</w:t>
            </w:r>
          </w:p>
        </w:tc>
        <w:tc>
          <w:tcPr>
            <w:tcW w:w="786" w:type="pct"/>
          </w:tcPr>
          <w:p w14:paraId="5292C98F"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9,4</w:t>
            </w:r>
          </w:p>
        </w:tc>
        <w:tc>
          <w:tcPr>
            <w:tcW w:w="786" w:type="pct"/>
            <w:shd w:val="clear" w:color="auto" w:fill="auto"/>
            <w:hideMark/>
          </w:tcPr>
          <w:p w14:paraId="644B582D"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8,5</w:t>
            </w:r>
          </w:p>
        </w:tc>
      </w:tr>
      <w:tr w:rsidR="00ED5386" w:rsidRPr="00F27A03" w14:paraId="211E7C5D" w14:textId="77777777" w:rsidTr="00ED5386">
        <w:trPr>
          <w:trHeight w:val="66"/>
          <w:tblHeader/>
          <w:jc w:val="right"/>
        </w:trPr>
        <w:tc>
          <w:tcPr>
            <w:tcW w:w="1856" w:type="pct"/>
            <w:shd w:val="clear" w:color="auto" w:fill="auto"/>
            <w:noWrap/>
            <w:vAlign w:val="center"/>
            <w:hideMark/>
          </w:tcPr>
          <w:p w14:paraId="6329D8DB"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од чега пензије</w:t>
            </w:r>
          </w:p>
        </w:tc>
        <w:tc>
          <w:tcPr>
            <w:tcW w:w="786" w:type="pct"/>
            <w:shd w:val="clear" w:color="auto" w:fill="auto"/>
            <w:hideMark/>
          </w:tcPr>
          <w:p w14:paraId="57712A5D"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456,7</w:t>
            </w:r>
          </w:p>
        </w:tc>
        <w:tc>
          <w:tcPr>
            <w:tcW w:w="786" w:type="pct"/>
            <w:shd w:val="clear" w:color="auto" w:fill="auto"/>
            <w:hideMark/>
          </w:tcPr>
          <w:p w14:paraId="2B7325B3"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474,4</w:t>
            </w:r>
          </w:p>
        </w:tc>
        <w:tc>
          <w:tcPr>
            <w:tcW w:w="786" w:type="pct"/>
          </w:tcPr>
          <w:p w14:paraId="7B7A1DCA"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3,9</w:t>
            </w:r>
          </w:p>
        </w:tc>
        <w:tc>
          <w:tcPr>
            <w:tcW w:w="786" w:type="pct"/>
            <w:shd w:val="clear" w:color="auto" w:fill="auto"/>
            <w:hideMark/>
          </w:tcPr>
          <w:p w14:paraId="16D5BF74"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4,9</w:t>
            </w:r>
          </w:p>
        </w:tc>
      </w:tr>
      <w:tr w:rsidR="00ED5386" w:rsidRPr="00F27A03" w14:paraId="227D8B55" w14:textId="77777777" w:rsidTr="00ED5386">
        <w:trPr>
          <w:trHeight w:val="66"/>
          <w:tblHeader/>
          <w:jc w:val="right"/>
        </w:trPr>
        <w:tc>
          <w:tcPr>
            <w:tcW w:w="1856" w:type="pct"/>
            <w:shd w:val="clear" w:color="auto" w:fill="auto"/>
            <w:noWrap/>
            <w:vAlign w:val="center"/>
            <w:hideMark/>
          </w:tcPr>
          <w:p w14:paraId="2995D09B"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Остали текући расходи</w:t>
            </w:r>
          </w:p>
        </w:tc>
        <w:tc>
          <w:tcPr>
            <w:tcW w:w="786" w:type="pct"/>
            <w:shd w:val="clear" w:color="auto" w:fill="auto"/>
            <w:hideMark/>
          </w:tcPr>
          <w:p w14:paraId="73709575"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90,0</w:t>
            </w:r>
          </w:p>
        </w:tc>
        <w:tc>
          <w:tcPr>
            <w:tcW w:w="786" w:type="pct"/>
            <w:shd w:val="clear" w:color="auto" w:fill="auto"/>
            <w:hideMark/>
          </w:tcPr>
          <w:p w14:paraId="4122B0D3"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110,0</w:t>
            </w:r>
          </w:p>
        </w:tc>
        <w:tc>
          <w:tcPr>
            <w:tcW w:w="786" w:type="pct"/>
          </w:tcPr>
          <w:p w14:paraId="6AE66A4A"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22,2</w:t>
            </w:r>
          </w:p>
        </w:tc>
        <w:tc>
          <w:tcPr>
            <w:tcW w:w="786" w:type="pct"/>
            <w:shd w:val="clear" w:color="auto" w:fill="auto"/>
            <w:hideMark/>
          </w:tcPr>
          <w:p w14:paraId="24887858"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0,8</w:t>
            </w:r>
          </w:p>
        </w:tc>
      </w:tr>
      <w:tr w:rsidR="00ED5386" w:rsidRPr="00F27A03" w14:paraId="65C9D71F" w14:textId="77777777" w:rsidTr="00ED5386">
        <w:trPr>
          <w:trHeight w:val="66"/>
          <w:tblHeader/>
          <w:jc w:val="right"/>
        </w:trPr>
        <w:tc>
          <w:tcPr>
            <w:tcW w:w="1856" w:type="pct"/>
            <w:shd w:val="clear" w:color="auto" w:fill="auto"/>
            <w:noWrap/>
            <w:vAlign w:val="center"/>
            <w:hideMark/>
          </w:tcPr>
          <w:p w14:paraId="4556FAAB"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Капитални расходи</w:t>
            </w:r>
          </w:p>
        </w:tc>
        <w:tc>
          <w:tcPr>
            <w:tcW w:w="786" w:type="pct"/>
            <w:shd w:val="clear" w:color="auto" w:fill="auto"/>
            <w:hideMark/>
          </w:tcPr>
          <w:p w14:paraId="34DB5434"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264,5</w:t>
            </w:r>
          </w:p>
        </w:tc>
        <w:tc>
          <w:tcPr>
            <w:tcW w:w="786" w:type="pct"/>
            <w:shd w:val="clear" w:color="auto" w:fill="auto"/>
            <w:hideMark/>
          </w:tcPr>
          <w:p w14:paraId="5D3A1FD0"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292,6</w:t>
            </w:r>
          </w:p>
        </w:tc>
        <w:tc>
          <w:tcPr>
            <w:tcW w:w="786" w:type="pct"/>
          </w:tcPr>
          <w:p w14:paraId="19E34EFF"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10,6</w:t>
            </w:r>
          </w:p>
        </w:tc>
        <w:tc>
          <w:tcPr>
            <w:tcW w:w="786" w:type="pct"/>
            <w:shd w:val="clear" w:color="auto" w:fill="auto"/>
            <w:hideMark/>
          </w:tcPr>
          <w:p w14:paraId="405A5DB6"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11,3</w:t>
            </w:r>
          </w:p>
        </w:tc>
      </w:tr>
      <w:tr w:rsidR="00ED5386" w:rsidRPr="00F27A03" w14:paraId="7FD31347" w14:textId="77777777" w:rsidTr="00ED5386">
        <w:trPr>
          <w:trHeight w:val="66"/>
          <w:tblHeader/>
          <w:jc w:val="right"/>
        </w:trPr>
        <w:tc>
          <w:tcPr>
            <w:tcW w:w="1856" w:type="pct"/>
            <w:shd w:val="clear" w:color="auto" w:fill="auto"/>
            <w:noWrap/>
            <w:vAlign w:val="center"/>
            <w:hideMark/>
          </w:tcPr>
          <w:p w14:paraId="0B4EAF75"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Нето буџетске позајмице</w:t>
            </w:r>
          </w:p>
        </w:tc>
        <w:tc>
          <w:tcPr>
            <w:tcW w:w="786" w:type="pct"/>
            <w:shd w:val="clear" w:color="auto" w:fill="auto"/>
            <w:hideMark/>
          </w:tcPr>
          <w:p w14:paraId="64ADE442"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11,6</w:t>
            </w:r>
          </w:p>
        </w:tc>
        <w:tc>
          <w:tcPr>
            <w:tcW w:w="786" w:type="pct"/>
            <w:shd w:val="clear" w:color="auto" w:fill="auto"/>
            <w:hideMark/>
          </w:tcPr>
          <w:p w14:paraId="7E1AA020"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26,1</w:t>
            </w:r>
          </w:p>
        </w:tc>
        <w:tc>
          <w:tcPr>
            <w:tcW w:w="786" w:type="pct"/>
          </w:tcPr>
          <w:p w14:paraId="5E7DD7E5"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125,1</w:t>
            </w:r>
          </w:p>
        </w:tc>
        <w:tc>
          <w:tcPr>
            <w:tcW w:w="786" w:type="pct"/>
            <w:shd w:val="clear" w:color="auto" w:fill="auto"/>
            <w:hideMark/>
          </w:tcPr>
          <w:p w14:paraId="1CD0582A"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197,9</w:t>
            </w:r>
          </w:p>
        </w:tc>
      </w:tr>
      <w:tr w:rsidR="00ED5386" w:rsidRPr="00F27A03" w14:paraId="4414B2D2" w14:textId="77777777" w:rsidTr="00ED5386">
        <w:trPr>
          <w:trHeight w:val="66"/>
          <w:tblHeader/>
          <w:jc w:val="right"/>
        </w:trPr>
        <w:tc>
          <w:tcPr>
            <w:tcW w:w="1856" w:type="pct"/>
            <w:shd w:val="clear" w:color="auto" w:fill="auto"/>
            <w:noWrap/>
            <w:vAlign w:val="center"/>
            <w:hideMark/>
          </w:tcPr>
          <w:p w14:paraId="5F978AB2" w14:textId="77777777" w:rsidR="00ED5386" w:rsidRPr="00F27A03" w:rsidRDefault="00ED5386" w:rsidP="00ED5386">
            <w:pPr>
              <w:spacing w:after="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Активиране гаранције*</w:t>
            </w:r>
          </w:p>
        </w:tc>
        <w:tc>
          <w:tcPr>
            <w:tcW w:w="786" w:type="pct"/>
            <w:shd w:val="clear" w:color="auto" w:fill="auto"/>
            <w:hideMark/>
          </w:tcPr>
          <w:p w14:paraId="53B0AAE6"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5,4</w:t>
            </w:r>
          </w:p>
        </w:tc>
        <w:tc>
          <w:tcPr>
            <w:tcW w:w="786" w:type="pct"/>
            <w:shd w:val="clear" w:color="auto" w:fill="auto"/>
            <w:hideMark/>
          </w:tcPr>
          <w:p w14:paraId="3B992A66"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11,5</w:t>
            </w:r>
          </w:p>
        </w:tc>
        <w:tc>
          <w:tcPr>
            <w:tcW w:w="786" w:type="pct"/>
          </w:tcPr>
          <w:p w14:paraId="7DFC53A8"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114,5</w:t>
            </w:r>
          </w:p>
        </w:tc>
        <w:tc>
          <w:tcPr>
            <w:tcW w:w="786" w:type="pct"/>
            <w:shd w:val="clear" w:color="auto" w:fill="auto"/>
            <w:hideMark/>
          </w:tcPr>
          <w:p w14:paraId="5422549B" w14:textId="77777777" w:rsidR="00ED5386" w:rsidRPr="00F27A03" w:rsidRDefault="00ED5386" w:rsidP="00ED5386">
            <w:pPr>
              <w:spacing w:after="0" w:line="240" w:lineRule="auto"/>
              <w:ind w:right="510"/>
              <w:jc w:val="right"/>
              <w:rPr>
                <w:rFonts w:cstheme="minorHAnsi"/>
                <w:color w:val="002060"/>
                <w:sz w:val="18"/>
                <w:szCs w:val="18"/>
                <w:lang w:val="sr-Cyrl-CS"/>
              </w:rPr>
            </w:pPr>
            <w:r w:rsidRPr="00F27A03">
              <w:rPr>
                <w:color w:val="002060"/>
                <w:sz w:val="18"/>
                <w:szCs w:val="18"/>
                <w:lang w:val="sr-Cyrl-CS"/>
              </w:rPr>
              <w:t>137,8</w:t>
            </w:r>
          </w:p>
        </w:tc>
      </w:tr>
      <w:tr w:rsidR="00ED5386" w:rsidRPr="00F27A03" w14:paraId="0A0DFAF2" w14:textId="77777777" w:rsidTr="00ED5386">
        <w:trPr>
          <w:trHeight w:val="66"/>
          <w:tblHeader/>
          <w:jc w:val="right"/>
        </w:trPr>
        <w:tc>
          <w:tcPr>
            <w:tcW w:w="1856" w:type="pct"/>
            <w:tcBorders>
              <w:bottom w:val="single" w:sz="4" w:space="0" w:color="002060"/>
            </w:tcBorders>
            <w:shd w:val="clear" w:color="auto" w:fill="E7E6E6" w:themeFill="background2"/>
            <w:noWrap/>
            <w:vAlign w:val="center"/>
            <w:hideMark/>
          </w:tcPr>
          <w:p w14:paraId="691D0D6F" w14:textId="77777777" w:rsidR="00ED5386" w:rsidRPr="00F27A03" w:rsidRDefault="00ED5386" w:rsidP="00ED5386">
            <w:pPr>
              <w:spacing w:after="0" w:line="240" w:lineRule="auto"/>
              <w:jc w:val="left"/>
              <w:rPr>
                <w:rFonts w:cstheme="minorHAnsi"/>
                <w:color w:val="002060"/>
                <w:sz w:val="18"/>
                <w:szCs w:val="18"/>
                <w:lang w:val="sr-Cyrl-CS"/>
              </w:rPr>
            </w:pPr>
            <w:r w:rsidRPr="00F27A03">
              <w:rPr>
                <w:rFonts w:eastAsia="MS PGothic" w:cstheme="minorHAnsi"/>
                <w:color w:val="002060"/>
                <w:sz w:val="18"/>
                <w:szCs w:val="18"/>
                <w:lang w:val="sr-Cyrl-CS" w:eastAsia="ja-JP"/>
              </w:rPr>
              <w:t>Фискални резултат*</w:t>
            </w:r>
          </w:p>
        </w:tc>
        <w:tc>
          <w:tcPr>
            <w:tcW w:w="786" w:type="pct"/>
            <w:tcBorders>
              <w:bottom w:val="single" w:sz="4" w:space="0" w:color="002060"/>
            </w:tcBorders>
            <w:shd w:val="clear" w:color="auto" w:fill="E7E6E6" w:themeFill="background2"/>
            <w:hideMark/>
          </w:tcPr>
          <w:p w14:paraId="1A9951CA"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-68,0</w:t>
            </w:r>
          </w:p>
        </w:tc>
        <w:tc>
          <w:tcPr>
            <w:tcW w:w="786" w:type="pct"/>
            <w:tcBorders>
              <w:bottom w:val="single" w:sz="4" w:space="0" w:color="002060"/>
            </w:tcBorders>
            <w:shd w:val="clear" w:color="auto" w:fill="E7E6E6" w:themeFill="background2"/>
            <w:hideMark/>
          </w:tcPr>
          <w:p w14:paraId="06E36C88" w14:textId="77777777" w:rsidR="00ED5386" w:rsidRPr="00F27A03" w:rsidRDefault="00ED5386" w:rsidP="00ED5386">
            <w:pPr>
              <w:spacing w:after="0" w:line="240" w:lineRule="auto"/>
              <w:ind w:right="340"/>
              <w:jc w:val="right"/>
              <w:rPr>
                <w:rFonts w:cstheme="minorHAnsi"/>
                <w:color w:val="002060"/>
                <w:sz w:val="18"/>
                <w:szCs w:val="18"/>
                <w:lang w:val="sr-Cyrl-CS"/>
              </w:rPr>
            </w:pPr>
            <w:r w:rsidRPr="00F27A03">
              <w:rPr>
                <w:color w:val="002060"/>
                <w:sz w:val="18"/>
                <w:szCs w:val="18"/>
                <w:lang w:val="sr-Cyrl-CS"/>
              </w:rPr>
              <w:t>48,3</w:t>
            </w:r>
          </w:p>
        </w:tc>
        <w:tc>
          <w:tcPr>
            <w:tcW w:w="786" w:type="pct"/>
            <w:tcBorders>
              <w:bottom w:val="single" w:sz="4" w:space="0" w:color="002060"/>
            </w:tcBorders>
            <w:shd w:val="clear" w:color="auto" w:fill="E7E6E6" w:themeFill="background2"/>
          </w:tcPr>
          <w:p w14:paraId="5DC74F15" w14:textId="77777777" w:rsidR="00ED5386" w:rsidRPr="00F27A03" w:rsidRDefault="00ED5386" w:rsidP="00ED5386">
            <w:pPr>
              <w:spacing w:after="0" w:line="240" w:lineRule="auto"/>
              <w:ind w:right="737"/>
              <w:jc w:val="right"/>
              <w:rPr>
                <w:rFonts w:cstheme="minorHAnsi"/>
                <w:color w:val="002060"/>
                <w:sz w:val="18"/>
                <w:szCs w:val="18"/>
                <w:lang w:val="sr-Cyrl-CS"/>
              </w:rPr>
            </w:pPr>
          </w:p>
        </w:tc>
        <w:tc>
          <w:tcPr>
            <w:tcW w:w="786" w:type="pct"/>
            <w:tcBorders>
              <w:bottom w:val="single" w:sz="4" w:space="0" w:color="002060"/>
            </w:tcBorders>
            <w:shd w:val="clear" w:color="auto" w:fill="E7E6E6" w:themeFill="background2"/>
            <w:hideMark/>
          </w:tcPr>
          <w:p w14:paraId="4231C2E1" w14:textId="77777777" w:rsidR="00ED5386" w:rsidRPr="00F27A03" w:rsidRDefault="00ED5386" w:rsidP="00ED5386">
            <w:pPr>
              <w:spacing w:after="0" w:line="240" w:lineRule="auto"/>
              <w:ind w:right="737"/>
              <w:jc w:val="right"/>
              <w:rPr>
                <w:rFonts w:cstheme="minorHAnsi"/>
                <w:color w:val="002060"/>
                <w:sz w:val="18"/>
                <w:szCs w:val="18"/>
                <w:lang w:val="sr-Cyrl-CS"/>
              </w:rPr>
            </w:pPr>
          </w:p>
        </w:tc>
      </w:tr>
    </w:tbl>
    <w:p w14:paraId="5560DB26" w14:textId="77777777" w:rsidR="00ED5386" w:rsidRPr="00F27A03" w:rsidRDefault="00ED5386" w:rsidP="00ED5386">
      <w:pPr>
        <w:tabs>
          <w:tab w:val="left" w:pos="623"/>
        </w:tabs>
        <w:spacing w:after="0" w:line="240" w:lineRule="auto"/>
        <w:rPr>
          <w:rFonts w:cstheme="minorHAnsi"/>
          <w:sz w:val="16"/>
          <w:szCs w:val="16"/>
          <w:lang w:val="sr-Cyrl-CS"/>
        </w:rPr>
      </w:pPr>
      <w:r w:rsidRPr="00F27A03">
        <w:rPr>
          <w:rFonts w:eastAsia="Calibri" w:cstheme="minorHAnsi"/>
          <w:bCs/>
          <w:sz w:val="16"/>
          <w:szCs w:val="16"/>
          <w:lang w:val="sr-Cyrl-CS" w:eastAsia="ja-JP"/>
        </w:rPr>
        <w:t xml:space="preserve">Извор: </w:t>
      </w:r>
      <w:r w:rsidRPr="00F27A03">
        <w:rPr>
          <w:rFonts w:cstheme="minorHAnsi"/>
          <w:sz w:val="16"/>
          <w:szCs w:val="16"/>
          <w:lang w:val="sr-Cyrl-CS"/>
        </w:rPr>
        <w:t>Министарство финансија</w:t>
      </w:r>
    </w:p>
    <w:p w14:paraId="7FC41459" w14:textId="09041876" w:rsidR="00ED5386" w:rsidRPr="00F27A03" w:rsidRDefault="00ED5386" w:rsidP="00ED5386">
      <w:pPr>
        <w:tabs>
          <w:tab w:val="left" w:pos="623"/>
        </w:tabs>
        <w:spacing w:after="0" w:line="240" w:lineRule="auto"/>
        <w:rPr>
          <w:rFonts w:cstheme="minorHAnsi"/>
          <w:sz w:val="16"/>
          <w:szCs w:val="16"/>
          <w:lang w:val="sr-Cyrl-CS"/>
        </w:rPr>
      </w:pPr>
      <w:r w:rsidRPr="00F27A03">
        <w:rPr>
          <w:rFonts w:cstheme="minorHAnsi"/>
          <w:sz w:val="16"/>
          <w:szCs w:val="16"/>
          <w:lang w:val="sr-Cyrl-CS"/>
        </w:rPr>
        <w:t>*део расхода за енергетику тренутно је приказан у саставу рачуна финансирања, а након усвојеног ребаланса за 2022. годину биће рекл</w:t>
      </w:r>
      <w:r w:rsidR="004E7EE8" w:rsidRPr="00F27A03">
        <w:rPr>
          <w:rFonts w:cstheme="minorHAnsi"/>
          <w:sz w:val="16"/>
          <w:szCs w:val="16"/>
          <w:lang w:val="sr-Cyrl-CS"/>
        </w:rPr>
        <w:t>асификован као расходна ставка.</w:t>
      </w:r>
    </w:p>
    <w:p w14:paraId="204D887B" w14:textId="77777777" w:rsidR="00ED5386" w:rsidRPr="00F27A03" w:rsidRDefault="00ED5386" w:rsidP="00E124CF">
      <w:pPr>
        <w:spacing w:after="120"/>
        <w:rPr>
          <w:lang w:val="sr-Cyrl-CS" w:eastAsia="ja-JP"/>
        </w:rPr>
      </w:pPr>
    </w:p>
    <w:p w14:paraId="59798AC2" w14:textId="77777777" w:rsidR="00ED5386" w:rsidRPr="00F27A03" w:rsidRDefault="00ED5386" w:rsidP="00ED5386">
      <w:pPr>
        <w:spacing w:after="120"/>
        <w:rPr>
          <w:lang w:val="sr-Cyrl-CS" w:eastAsia="ja-JP"/>
        </w:rPr>
        <w:sectPr w:rsidR="00ED5386" w:rsidRPr="00F27A03" w:rsidSect="00ED5386">
          <w:type w:val="continuous"/>
          <w:pgSz w:w="12240" w:h="15840" w:code="1"/>
          <w:pgMar w:top="1440" w:right="1440" w:bottom="1440" w:left="1440" w:header="720" w:footer="720" w:gutter="0"/>
          <w:cols w:space="720"/>
          <w:docGrid w:linePitch="360"/>
        </w:sectPr>
      </w:pPr>
    </w:p>
    <w:p w14:paraId="26CD1789" w14:textId="6275407F" w:rsidR="00ED5386" w:rsidRPr="00F27A03" w:rsidRDefault="00ED5386" w:rsidP="00ED5386">
      <w:pPr>
        <w:spacing w:after="480"/>
        <w:rPr>
          <w:rFonts w:eastAsia="MS PGothic" w:cstheme="minorHAnsi"/>
          <w:szCs w:val="20"/>
          <w:lang w:val="sr-Cyrl-CS" w:eastAsia="ja-JP"/>
        </w:rPr>
      </w:pPr>
      <w:r w:rsidRPr="00F27A03">
        <w:rPr>
          <w:rFonts w:eastAsia="MS PGothic" w:cstheme="minorHAnsi"/>
          <w:szCs w:val="20"/>
          <w:lang w:val="sr-Cyrl-CS" w:eastAsia="ja-JP"/>
        </w:rPr>
        <w:t xml:space="preserve">Стање доцњи (преко 60 дана кашњења)* буџетских корисника и организација обавезног социјалног осигурања последњег дана </w:t>
      </w:r>
      <w:r w:rsidRPr="00F27A03">
        <w:rPr>
          <w:lang w:val="sr-Cyrl-CS"/>
        </w:rPr>
        <w:t>септембра</w:t>
      </w:r>
      <w:r w:rsidRPr="00F27A03">
        <w:rPr>
          <w:rFonts w:eastAsia="MS PGothic" w:cstheme="minorHAnsi"/>
          <w:szCs w:val="20"/>
          <w:lang w:val="sr-Cyrl-CS" w:eastAsia="ja-JP"/>
        </w:rPr>
        <w:t xml:space="preserve"> 2022. године износило је 2,8 млрд динара (око 0,04% БДП), и повећано је у односу на крај 2021. </w:t>
      </w:r>
      <w:r w:rsidRPr="00F27A03">
        <w:rPr>
          <w:rFonts w:eastAsia="MS PGothic" w:cstheme="minorHAnsi"/>
          <w:szCs w:val="20"/>
          <w:lang w:val="sr-Cyrl-CS" w:eastAsia="ja-JP"/>
        </w:rPr>
        <w:t xml:space="preserve">године. Корисници буџета и ЈП „Путеви Србије” креирали су доцње у плаћању од </w:t>
      </w:r>
      <w:r w:rsidR="00E55AEF" w:rsidRPr="00F27A03">
        <w:rPr>
          <w:rFonts w:eastAsia="MS PGothic" w:cstheme="minorHAnsi"/>
          <w:szCs w:val="20"/>
          <w:lang w:val="sr-Cyrl-CS" w:eastAsia="ja-JP"/>
        </w:rPr>
        <w:t>1</w:t>
      </w:r>
      <w:r w:rsidRPr="00F27A03">
        <w:rPr>
          <w:rFonts w:eastAsia="MS PGothic" w:cstheme="minorHAnsi"/>
          <w:szCs w:val="20"/>
          <w:lang w:val="sr-Cyrl-CS" w:eastAsia="ja-JP"/>
        </w:rPr>
        <w:t>,4 млрд динара, док је стање доцњи организација обавезног социјалног осигурања 1,4 млрд динара</w:t>
      </w:r>
      <w:r w:rsidR="00A22786" w:rsidRPr="00F27A03">
        <w:rPr>
          <w:rFonts w:eastAsia="MS PGothic" w:cstheme="minorHAnsi"/>
          <w:szCs w:val="20"/>
          <w:lang w:val="sr-Cyrl-CS" w:eastAsia="ja-JP"/>
        </w:rPr>
        <w:t>.</w:t>
      </w:r>
    </w:p>
    <w:p w14:paraId="6AF93EA8" w14:textId="77777777" w:rsidR="00A22786" w:rsidRPr="00F27A03" w:rsidRDefault="00A22786" w:rsidP="00ED5386">
      <w:pPr>
        <w:spacing w:after="480"/>
        <w:rPr>
          <w:rFonts w:eastAsia="MS PGothic" w:cstheme="minorHAnsi"/>
          <w:szCs w:val="20"/>
          <w:lang w:val="sr-Cyrl-CS" w:eastAsia="ja-JP"/>
        </w:rPr>
        <w:sectPr w:rsidR="00A22786" w:rsidRPr="00F27A03" w:rsidSect="00ED5386">
          <w:headerReference w:type="even" r:id="rId106"/>
          <w:headerReference w:type="default" r:id="rId107"/>
          <w:footerReference w:type="even" r:id="rId108"/>
          <w:footerReference w:type="default" r:id="rId109"/>
          <w:headerReference w:type="first" r:id="rId110"/>
          <w:type w:val="continuous"/>
          <w:pgSz w:w="12240" w:h="15840" w:code="1"/>
          <w:pgMar w:top="1440" w:right="1440" w:bottom="1440" w:left="1440" w:header="720" w:footer="720" w:gutter="0"/>
          <w:cols w:num="2" w:space="720"/>
          <w:docGrid w:linePitch="360"/>
        </w:sectPr>
      </w:pPr>
    </w:p>
    <w:p w14:paraId="250C9B31" w14:textId="24D67ABC" w:rsidR="00ED5386" w:rsidRPr="00F27A03" w:rsidRDefault="00ED5386" w:rsidP="0098086A">
      <w:pPr>
        <w:spacing w:after="0"/>
        <w:jc w:val="center"/>
        <w:rPr>
          <w:rFonts w:eastAsia="MS PGothic" w:cstheme="minorHAnsi"/>
          <w:b/>
          <w:color w:val="002060"/>
          <w:szCs w:val="20"/>
          <w:lang w:val="sr-Cyrl-CS" w:eastAsia="ja-JP"/>
        </w:rPr>
      </w:pPr>
      <w:r w:rsidRPr="00F27A03">
        <w:rPr>
          <w:rFonts w:eastAsia="MS PGothic" w:cstheme="minorHAnsi"/>
          <w:b/>
          <w:color w:val="002060"/>
          <w:szCs w:val="20"/>
          <w:lang w:val="sr-Cyrl-CS" w:eastAsia="ja-JP"/>
        </w:rPr>
        <w:t xml:space="preserve">Табела </w:t>
      </w:r>
      <w:r w:rsidR="00524F94" w:rsidRPr="00F27A03">
        <w:rPr>
          <w:rFonts w:eastAsia="MS PGothic" w:cstheme="minorHAnsi"/>
          <w:b/>
          <w:color w:val="002060"/>
          <w:szCs w:val="20"/>
          <w:lang w:val="sr-Cyrl-CS" w:eastAsia="ja-JP"/>
        </w:rPr>
        <w:t>7</w:t>
      </w:r>
      <w:r w:rsidRPr="00F27A03">
        <w:rPr>
          <w:rFonts w:eastAsia="MS PGothic" w:cstheme="minorHAnsi"/>
          <w:b/>
          <w:color w:val="002060"/>
          <w:szCs w:val="20"/>
          <w:lang w:val="sr-Cyrl-CS" w:eastAsia="ja-JP"/>
        </w:rPr>
        <w:t xml:space="preserve">. Стање доцњи буџетских корисника и ООСО, крај 2021. године и </w:t>
      </w:r>
      <w:r w:rsidR="003B6075" w:rsidRPr="00F27A03">
        <w:rPr>
          <w:rFonts w:eastAsia="MS PGothic" w:cstheme="minorHAnsi"/>
          <w:b/>
          <w:color w:val="002060"/>
          <w:szCs w:val="20"/>
          <w:lang w:val="sr-Cyrl-CS" w:eastAsia="ja-JP"/>
        </w:rPr>
        <w:br w:type="textWrapping" w:clear="all"/>
      </w:r>
      <w:r w:rsidRPr="00F27A03">
        <w:rPr>
          <w:rFonts w:eastAsia="MS PGothic" w:cstheme="minorHAnsi"/>
          <w:b/>
          <w:color w:val="002060"/>
          <w:szCs w:val="20"/>
          <w:lang w:val="sr-Cyrl-CS" w:eastAsia="ja-JP"/>
        </w:rPr>
        <w:t>септембар 2022. године, у млрд динара</w:t>
      </w:r>
    </w:p>
    <w:tbl>
      <w:tblPr>
        <w:tblStyle w:val="LightShading-Accent335"/>
        <w:tblpPr w:leftFromText="180" w:rightFromText="180" w:vertAnchor="text" w:horzAnchor="margin" w:tblpY="56"/>
        <w:tblW w:w="4879" w:type="pct"/>
        <w:tblBorders>
          <w:top w:val="none" w:sz="0" w:space="0" w:color="auto"/>
          <w:bottom w:val="none" w:sz="0" w:space="0" w:color="auto"/>
        </w:tblBorders>
        <w:tblLook w:val="04A0" w:firstRow="1" w:lastRow="0" w:firstColumn="1" w:lastColumn="0" w:noHBand="0" w:noVBand="1"/>
      </w:tblPr>
      <w:tblGrid>
        <w:gridCol w:w="5451"/>
        <w:gridCol w:w="1841"/>
        <w:gridCol w:w="1841"/>
      </w:tblGrid>
      <w:tr w:rsidR="00ED5386" w:rsidRPr="00F27A03" w14:paraId="74E8B76E" w14:textId="77777777" w:rsidTr="0004786A">
        <w:trPr>
          <w:cnfStyle w:val="100000000000" w:firstRow="1" w:lastRow="0" w:firstColumn="0" w:lastColumn="0" w:oddVBand="0" w:evenVBand="0" w:oddHBand="0"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bottom w:val="single" w:sz="4" w:space="0" w:color="002060"/>
            </w:tcBorders>
            <w:shd w:val="clear" w:color="auto" w:fill="auto"/>
            <w:noWrap/>
            <w:hideMark/>
          </w:tcPr>
          <w:p w14:paraId="6FAA7805" w14:textId="77777777" w:rsidR="00ED5386" w:rsidRPr="00F27A03" w:rsidRDefault="00ED5386" w:rsidP="00E124CF">
            <w:pPr>
              <w:jc w:val="right"/>
              <w:rPr>
                <w:rFonts w:asciiTheme="minorHAnsi" w:hAnsiTheme="minorHAnsi" w:cstheme="minorHAnsi"/>
                <w:b w:val="0"/>
                <w:color w:val="002060"/>
                <w:sz w:val="18"/>
                <w:szCs w:val="18"/>
                <w:lang w:val="sr-Cyrl-CS"/>
              </w:rPr>
            </w:pPr>
            <w:r w:rsidRPr="00F27A03">
              <w:rPr>
                <w:rFonts w:asciiTheme="minorHAnsi" w:hAnsiTheme="minorHAnsi" w:cstheme="minorHAnsi"/>
                <w:b w:val="0"/>
                <w:color w:val="002060"/>
                <w:sz w:val="18"/>
                <w:szCs w:val="18"/>
                <w:lang w:val="sr-Cyrl-CS"/>
              </w:rPr>
              <w:t> </w:t>
            </w:r>
          </w:p>
        </w:tc>
        <w:tc>
          <w:tcPr>
            <w:tcW w:w="1008" w:type="pct"/>
            <w:tcBorders>
              <w:top w:val="single" w:sz="4" w:space="0" w:color="002060"/>
              <w:bottom w:val="single" w:sz="4" w:space="0" w:color="002060"/>
            </w:tcBorders>
            <w:shd w:val="clear" w:color="auto" w:fill="auto"/>
          </w:tcPr>
          <w:p w14:paraId="79CB541F" w14:textId="77777777" w:rsidR="00ED5386" w:rsidRPr="00F27A03" w:rsidRDefault="00ED5386" w:rsidP="00FE1A2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8"/>
                <w:szCs w:val="18"/>
                <w:lang w:val="sr-Cyrl-CS"/>
              </w:rPr>
            </w:pPr>
            <w:r w:rsidRPr="00F27A03">
              <w:rPr>
                <w:rFonts w:asciiTheme="minorHAnsi" w:hAnsiTheme="minorHAnsi" w:cstheme="minorHAnsi"/>
                <w:b w:val="0"/>
                <w:color w:val="002060"/>
                <w:sz w:val="18"/>
                <w:szCs w:val="18"/>
                <w:lang w:val="sr-Cyrl-CS"/>
              </w:rPr>
              <w:t>31.12.2021.</w:t>
            </w:r>
          </w:p>
        </w:tc>
        <w:tc>
          <w:tcPr>
            <w:tcW w:w="1008" w:type="pct"/>
            <w:tcBorders>
              <w:top w:val="single" w:sz="4" w:space="0" w:color="002060"/>
              <w:bottom w:val="single" w:sz="4" w:space="0" w:color="002060"/>
            </w:tcBorders>
            <w:shd w:val="clear" w:color="auto" w:fill="auto"/>
          </w:tcPr>
          <w:p w14:paraId="0867104B" w14:textId="77777777" w:rsidR="00ED5386" w:rsidRPr="00F27A03" w:rsidRDefault="00ED5386" w:rsidP="00FE1A2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8"/>
                <w:szCs w:val="18"/>
                <w:lang w:val="sr-Cyrl-CS"/>
              </w:rPr>
            </w:pPr>
            <w:r w:rsidRPr="00F27A03">
              <w:rPr>
                <w:rFonts w:asciiTheme="minorHAnsi" w:hAnsiTheme="minorHAnsi" w:cstheme="minorHAnsi"/>
                <w:b w:val="0"/>
                <w:color w:val="002060"/>
                <w:sz w:val="18"/>
                <w:szCs w:val="18"/>
                <w:lang w:val="sr-Cyrl-CS"/>
              </w:rPr>
              <w:t>30.09.2022.</w:t>
            </w:r>
          </w:p>
        </w:tc>
      </w:tr>
      <w:tr w:rsidR="00ED5386" w:rsidRPr="00F27A03" w14:paraId="2A2896E9" w14:textId="77777777" w:rsidTr="0004786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tcBorders>
            <w:shd w:val="clear" w:color="auto" w:fill="auto"/>
            <w:noWrap/>
            <w:hideMark/>
          </w:tcPr>
          <w:p w14:paraId="1ED1DAEB" w14:textId="77777777" w:rsidR="00ED5386" w:rsidRPr="00F27A03" w:rsidRDefault="00ED5386" w:rsidP="00FE1A26">
            <w:pPr>
              <w:rPr>
                <w:rFonts w:asciiTheme="minorHAnsi" w:hAnsiTheme="minorHAnsi" w:cstheme="minorHAnsi"/>
                <w:b w:val="0"/>
                <w:color w:val="002060"/>
                <w:sz w:val="18"/>
                <w:szCs w:val="18"/>
                <w:lang w:val="sr-Cyrl-CS"/>
              </w:rPr>
            </w:pPr>
            <w:r w:rsidRPr="00F27A03">
              <w:rPr>
                <w:rFonts w:asciiTheme="minorHAnsi" w:hAnsiTheme="minorHAnsi" w:cstheme="minorHAnsi"/>
                <w:b w:val="0"/>
                <w:color w:val="002060"/>
                <w:sz w:val="18"/>
                <w:szCs w:val="18"/>
                <w:lang w:val="sr-Cyrl-CS"/>
              </w:rPr>
              <w:t xml:space="preserve">Буџетски корисници и ЈП „Путеви Србије” </w:t>
            </w:r>
          </w:p>
        </w:tc>
        <w:tc>
          <w:tcPr>
            <w:tcW w:w="1008" w:type="pct"/>
            <w:tcBorders>
              <w:top w:val="single" w:sz="4" w:space="0" w:color="002060"/>
            </w:tcBorders>
            <w:shd w:val="clear" w:color="auto" w:fill="auto"/>
          </w:tcPr>
          <w:p w14:paraId="73C828D5" w14:textId="77777777" w:rsidR="00ED5386" w:rsidRPr="00F27A03" w:rsidRDefault="00ED5386"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1,2</w:t>
            </w:r>
          </w:p>
        </w:tc>
        <w:tc>
          <w:tcPr>
            <w:tcW w:w="1008" w:type="pct"/>
            <w:tcBorders>
              <w:top w:val="single" w:sz="4" w:space="0" w:color="002060"/>
            </w:tcBorders>
            <w:shd w:val="clear" w:color="auto" w:fill="auto"/>
          </w:tcPr>
          <w:p w14:paraId="60D36DCF" w14:textId="77777777" w:rsidR="00ED5386" w:rsidRPr="00F27A03" w:rsidRDefault="00ED5386"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1,4</w:t>
            </w:r>
          </w:p>
        </w:tc>
      </w:tr>
      <w:tr w:rsidR="00ED5386" w:rsidRPr="00F27A03" w14:paraId="74C7D0C2" w14:textId="77777777" w:rsidTr="0004786A">
        <w:trPr>
          <w:trHeight w:val="239"/>
        </w:trPr>
        <w:tc>
          <w:tcPr>
            <w:cnfStyle w:val="001000000000" w:firstRow="0" w:lastRow="0" w:firstColumn="1" w:lastColumn="0" w:oddVBand="0" w:evenVBand="0" w:oddHBand="0" w:evenHBand="0" w:firstRowFirstColumn="0" w:firstRowLastColumn="0" w:lastRowFirstColumn="0" w:lastRowLastColumn="0"/>
            <w:tcW w:w="2984" w:type="pct"/>
            <w:shd w:val="clear" w:color="auto" w:fill="auto"/>
            <w:noWrap/>
            <w:hideMark/>
          </w:tcPr>
          <w:p w14:paraId="72323405" w14:textId="77777777" w:rsidR="00ED5386" w:rsidRPr="00F27A03" w:rsidRDefault="00ED5386" w:rsidP="00FE1A26">
            <w:pPr>
              <w:rPr>
                <w:rFonts w:asciiTheme="minorHAnsi" w:hAnsiTheme="minorHAnsi" w:cstheme="minorHAnsi"/>
                <w:b w:val="0"/>
                <w:color w:val="002060"/>
                <w:sz w:val="18"/>
                <w:szCs w:val="18"/>
                <w:lang w:val="sr-Cyrl-CS"/>
              </w:rPr>
            </w:pPr>
            <w:r w:rsidRPr="00F27A03">
              <w:rPr>
                <w:rFonts w:asciiTheme="minorHAnsi" w:hAnsiTheme="minorHAnsi" w:cstheme="minorHAnsi"/>
                <w:b w:val="0"/>
                <w:color w:val="002060"/>
                <w:sz w:val="18"/>
                <w:szCs w:val="18"/>
                <w:lang w:val="sr-Cyrl-CS"/>
              </w:rPr>
              <w:t>ООСО</w:t>
            </w:r>
          </w:p>
        </w:tc>
        <w:tc>
          <w:tcPr>
            <w:tcW w:w="1008" w:type="pct"/>
            <w:shd w:val="clear" w:color="auto" w:fill="auto"/>
          </w:tcPr>
          <w:p w14:paraId="0B0299AF" w14:textId="77777777" w:rsidR="00ED5386" w:rsidRPr="00F27A03" w:rsidRDefault="00ED5386" w:rsidP="00FE1A26">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w:t>
            </w:r>
          </w:p>
        </w:tc>
        <w:tc>
          <w:tcPr>
            <w:tcW w:w="1008" w:type="pct"/>
            <w:shd w:val="clear" w:color="auto" w:fill="auto"/>
          </w:tcPr>
          <w:p w14:paraId="7DCE7768" w14:textId="77777777" w:rsidR="00ED5386" w:rsidRPr="00F27A03" w:rsidRDefault="00ED5386" w:rsidP="00FE1A26">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1,4</w:t>
            </w:r>
          </w:p>
        </w:tc>
      </w:tr>
      <w:tr w:rsidR="00ED5386" w:rsidRPr="00F27A03" w14:paraId="746F3437" w14:textId="77777777" w:rsidTr="0004786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2984" w:type="pct"/>
            <w:tcBorders>
              <w:bottom w:val="single" w:sz="4" w:space="0" w:color="002060"/>
            </w:tcBorders>
            <w:shd w:val="clear" w:color="auto" w:fill="auto"/>
            <w:noWrap/>
            <w:hideMark/>
          </w:tcPr>
          <w:p w14:paraId="30A0859C" w14:textId="77777777" w:rsidR="00ED5386" w:rsidRPr="00F27A03" w:rsidRDefault="00ED5386" w:rsidP="00FE1A26">
            <w:pPr>
              <w:rPr>
                <w:rFonts w:asciiTheme="minorHAnsi" w:hAnsiTheme="minorHAnsi" w:cstheme="minorHAnsi"/>
                <w:b w:val="0"/>
                <w:color w:val="002060"/>
                <w:sz w:val="18"/>
                <w:szCs w:val="18"/>
                <w:lang w:val="sr-Cyrl-CS"/>
              </w:rPr>
            </w:pPr>
            <w:r w:rsidRPr="00F27A03">
              <w:rPr>
                <w:rFonts w:asciiTheme="minorHAnsi" w:hAnsiTheme="minorHAnsi" w:cstheme="minorHAnsi"/>
                <w:b w:val="0"/>
                <w:color w:val="002060"/>
                <w:sz w:val="18"/>
                <w:szCs w:val="18"/>
                <w:lang w:val="sr-Cyrl-CS"/>
              </w:rPr>
              <w:t>УКУПНО</w:t>
            </w:r>
          </w:p>
        </w:tc>
        <w:tc>
          <w:tcPr>
            <w:tcW w:w="1008" w:type="pct"/>
            <w:tcBorders>
              <w:bottom w:val="single" w:sz="4" w:space="0" w:color="002060"/>
            </w:tcBorders>
            <w:shd w:val="clear" w:color="auto" w:fill="auto"/>
          </w:tcPr>
          <w:p w14:paraId="19327124" w14:textId="77777777" w:rsidR="00ED5386" w:rsidRPr="00F27A03" w:rsidRDefault="00ED5386"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2,5</w:t>
            </w:r>
          </w:p>
        </w:tc>
        <w:tc>
          <w:tcPr>
            <w:tcW w:w="1008" w:type="pct"/>
            <w:tcBorders>
              <w:bottom w:val="single" w:sz="4" w:space="0" w:color="002060"/>
            </w:tcBorders>
            <w:shd w:val="clear" w:color="auto" w:fill="auto"/>
          </w:tcPr>
          <w:p w14:paraId="3F2B1FC9" w14:textId="77777777" w:rsidR="00ED5386" w:rsidRPr="00F27A03" w:rsidRDefault="00ED5386"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2,8</w:t>
            </w:r>
          </w:p>
        </w:tc>
      </w:tr>
    </w:tbl>
    <w:p w14:paraId="693305C8" w14:textId="77777777" w:rsidR="00ED5386" w:rsidRPr="00F27A03" w:rsidRDefault="00ED5386" w:rsidP="00FE1A26">
      <w:pPr>
        <w:spacing w:before="40" w:after="0" w:line="240" w:lineRule="auto"/>
        <w:rPr>
          <w:rFonts w:cstheme="minorHAnsi"/>
          <w:sz w:val="16"/>
          <w:szCs w:val="20"/>
          <w:lang w:val="sr-Cyrl-CS"/>
        </w:rPr>
      </w:pPr>
      <w:r w:rsidRPr="00F27A03">
        <w:rPr>
          <w:rFonts w:eastAsia="Calibri" w:cstheme="minorHAnsi"/>
          <w:bCs/>
          <w:sz w:val="16"/>
          <w:szCs w:val="20"/>
          <w:lang w:val="sr-Cyrl-CS" w:eastAsia="ja-JP"/>
        </w:rPr>
        <w:t xml:space="preserve">Извор: </w:t>
      </w:r>
      <w:r w:rsidRPr="00F27A03">
        <w:rPr>
          <w:rFonts w:cstheme="minorHAnsi"/>
          <w:sz w:val="16"/>
          <w:szCs w:val="20"/>
          <w:lang w:val="sr-Cyrl-CS"/>
        </w:rPr>
        <w:t>Министарство финансија</w:t>
      </w:r>
    </w:p>
    <w:p w14:paraId="6571C7C2" w14:textId="77777777" w:rsidR="00ED5386" w:rsidRPr="00F27A03" w:rsidRDefault="00ED5386" w:rsidP="00FE1A26">
      <w:pPr>
        <w:spacing w:after="0" w:line="240" w:lineRule="auto"/>
        <w:rPr>
          <w:rFonts w:eastAsia="MS PGothic" w:cstheme="minorHAnsi"/>
          <w:sz w:val="16"/>
          <w:szCs w:val="16"/>
          <w:lang w:val="sr-Cyrl-CS" w:eastAsia="ja-JP"/>
        </w:rPr>
      </w:pPr>
      <w:r w:rsidRPr="00F27A03">
        <w:rPr>
          <w:rFonts w:eastAsia="MS PGothic" w:cstheme="minorHAnsi"/>
          <w:sz w:val="16"/>
          <w:szCs w:val="16"/>
          <w:lang w:val="sr-Cyrl-CS" w:eastAsia="ja-JP"/>
        </w:rPr>
        <w:t>* У складу са дефиницијом која се користила за потребе праћења спровођења аранжмана са ММФ.</w:t>
      </w:r>
    </w:p>
    <w:p w14:paraId="59095237" w14:textId="77777777" w:rsidR="00ED5386" w:rsidRPr="00F27A03" w:rsidRDefault="00ED5386" w:rsidP="00ED5386">
      <w:pPr>
        <w:rPr>
          <w:lang w:val="sr-Cyrl-CS" w:eastAsia="ja-JP"/>
        </w:rPr>
      </w:pPr>
    </w:p>
    <w:p w14:paraId="55A3E1AB" w14:textId="779CE7F0" w:rsidR="00ED5386" w:rsidRPr="00F27A03" w:rsidRDefault="00ED5386" w:rsidP="00ED5386">
      <w:pPr>
        <w:rPr>
          <w:lang w:val="sr-Cyrl-CS" w:eastAsia="ja-JP"/>
        </w:rPr>
      </w:pPr>
    </w:p>
    <w:p w14:paraId="597ACAA3" w14:textId="3E0F07BB" w:rsidR="00ED5386" w:rsidRPr="00F27A03" w:rsidRDefault="00ED5386" w:rsidP="00ED5386">
      <w:pPr>
        <w:rPr>
          <w:lang w:val="sr-Cyrl-CS" w:eastAsia="ja-JP"/>
        </w:rPr>
      </w:pPr>
    </w:p>
    <w:p w14:paraId="61A87530" w14:textId="77777777" w:rsidR="00ED5386" w:rsidRPr="00F27A03" w:rsidRDefault="00ED5386" w:rsidP="00ED5386">
      <w:pPr>
        <w:rPr>
          <w:lang w:val="sr-Cyrl-CS" w:eastAsia="ja-JP"/>
        </w:rPr>
      </w:pPr>
    </w:p>
    <w:p w14:paraId="0B154739" w14:textId="77777777" w:rsidR="00ED5386" w:rsidRPr="00F27A03" w:rsidRDefault="00ED5386" w:rsidP="00ED5386">
      <w:pPr>
        <w:rPr>
          <w:lang w:val="sr-Cyrl-CS" w:eastAsia="ja-JP"/>
        </w:rPr>
      </w:pPr>
    </w:p>
    <w:p w14:paraId="4A5A10FA" w14:textId="77777777" w:rsidR="00ED5386" w:rsidRPr="00F27A03" w:rsidRDefault="00ED5386" w:rsidP="00ED5386">
      <w:pPr>
        <w:spacing w:after="240" w:line="240" w:lineRule="auto"/>
        <w:contextualSpacing/>
        <w:jc w:val="center"/>
        <w:rPr>
          <w:rFonts w:ascii="Calibri" w:eastAsia="Calibri" w:hAnsi="Calibri" w:cs="Calibri"/>
          <w:b/>
          <w:color w:val="2F5496" w:themeColor="accent1" w:themeShade="BF"/>
          <w:sz w:val="24"/>
          <w:szCs w:val="24"/>
          <w:lang w:val="sr-Cyrl-CS"/>
        </w:rPr>
      </w:pPr>
      <w:r w:rsidRPr="00F27A03">
        <w:rPr>
          <w:rFonts w:ascii="Calibri" w:eastAsia="Calibri" w:hAnsi="Calibri" w:cs="Calibri"/>
          <w:b/>
          <w:noProof/>
          <w:color w:val="2F5496" w:themeColor="accent1" w:themeShade="BF"/>
          <w:sz w:val="24"/>
          <w:szCs w:val="24"/>
          <w:lang w:val="sr-Cyrl-RS" w:eastAsia="sr-Cyrl-RS"/>
        </w:rPr>
        <w:lastRenderedPageBreak/>
        <mc:AlternateContent>
          <mc:Choice Requires="wps">
            <w:drawing>
              <wp:anchor distT="0" distB="0" distL="114300" distR="114300" simplePos="0" relativeHeight="251679232" behindDoc="1" locked="0" layoutInCell="1" allowOverlap="1" wp14:anchorId="35574DB2" wp14:editId="714C88CB">
                <wp:simplePos x="0" y="0"/>
                <wp:positionH relativeFrom="margin">
                  <wp:posOffset>-266700</wp:posOffset>
                </wp:positionH>
                <wp:positionV relativeFrom="paragraph">
                  <wp:posOffset>-95249</wp:posOffset>
                </wp:positionV>
                <wp:extent cx="6480000" cy="8058150"/>
                <wp:effectExtent l="0" t="0" r="0" b="0"/>
                <wp:wrapNone/>
                <wp:docPr id="70" name="Rectangle 70"/>
                <wp:cNvGraphicFramePr/>
                <a:graphic xmlns:a="http://schemas.openxmlformats.org/drawingml/2006/main">
                  <a:graphicData uri="http://schemas.microsoft.com/office/word/2010/wordprocessingShape">
                    <wps:wsp>
                      <wps:cNvSpPr/>
                      <wps:spPr>
                        <a:xfrm>
                          <a:off x="0" y="0"/>
                          <a:ext cx="6480000" cy="8058150"/>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708DC4" id="Rectangle 70" o:spid="_x0000_s1026" style="position:absolute;margin-left:-21pt;margin-top:-7.5pt;width:510.25pt;height:634.5pt;z-index:-251637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" fillcolor="#d9d9d9" stroked="f" strokeweight="1pt">
                <v:fill r:id="rId111" o:title="" color2="window" type="pattern"/>
                <w10:wrap anchorx="margin"/>
              </v:rect>
            </w:pict>
          </mc:Fallback>
        </mc:AlternateContent>
      </w:r>
      <w:r w:rsidRPr="00F27A03">
        <w:rPr>
          <w:rFonts w:ascii="Calibri" w:eastAsia="Calibri" w:hAnsi="Calibri" w:cs="Calibri"/>
          <w:b/>
          <w:color w:val="2F5496" w:themeColor="accent1" w:themeShade="BF"/>
          <w:sz w:val="24"/>
          <w:szCs w:val="24"/>
          <w:lang w:val="sr-Cyrl-CS"/>
        </w:rPr>
        <w:t>S0 индикатор краткорочне фискалне одрживости</w:t>
      </w:r>
    </w:p>
    <w:p w14:paraId="7C4A144B" w14:textId="77777777" w:rsidR="00ED5386" w:rsidRPr="00F27A03" w:rsidRDefault="00ED5386" w:rsidP="00ED5386">
      <w:pPr>
        <w:spacing w:after="60"/>
        <w:rPr>
          <w:rFonts w:cstheme="minorHAnsi"/>
          <w:color w:val="auto"/>
          <w:szCs w:val="20"/>
          <w:lang w:val="sr-Cyrl-CS"/>
        </w:rPr>
      </w:pPr>
    </w:p>
    <w:p w14:paraId="40F97A68" w14:textId="77777777" w:rsidR="00ED5386" w:rsidRPr="00F27A03" w:rsidRDefault="00ED5386" w:rsidP="00ED5386">
      <w:pPr>
        <w:spacing w:after="60"/>
        <w:rPr>
          <w:rFonts w:cstheme="minorHAnsi"/>
          <w:color w:val="auto"/>
          <w:szCs w:val="20"/>
          <w:lang w:val="sr-Cyrl-CS"/>
        </w:rPr>
        <w:sectPr w:rsidR="00ED5386" w:rsidRPr="00F27A03" w:rsidSect="00C95509">
          <w:headerReference w:type="even" r:id="rId112"/>
          <w:headerReference w:type="default" r:id="rId113"/>
          <w:footerReference w:type="even" r:id="rId114"/>
          <w:footerReference w:type="default" r:id="rId115"/>
          <w:headerReference w:type="first" r:id="rId116"/>
          <w:type w:val="continuous"/>
          <w:pgSz w:w="12240" w:h="15840"/>
          <w:pgMar w:top="1440" w:right="1440" w:bottom="1440" w:left="1440" w:header="720" w:footer="720" w:gutter="0"/>
          <w:cols w:space="720"/>
          <w:docGrid w:linePitch="360"/>
        </w:sectPr>
      </w:pPr>
    </w:p>
    <w:p w14:paraId="3DD9B6AE" w14:textId="77777777" w:rsidR="00ED5386" w:rsidRPr="00F27A03" w:rsidRDefault="00ED5386" w:rsidP="00ED5386">
      <w:pPr>
        <w:rPr>
          <w:rFonts w:cstheme="minorHAnsi"/>
          <w:szCs w:val="20"/>
          <w:lang w:val="sr-Cyrl-CS"/>
        </w:rPr>
      </w:pPr>
      <w:r w:rsidRPr="00F27A03">
        <w:rPr>
          <w:rFonts w:cstheme="minorHAnsi"/>
          <w:szCs w:val="20"/>
          <w:lang w:val="sr-Cyrl-CS"/>
        </w:rPr>
        <w:t>Европска комисија је за оцену краткорочне фискалне одрживости дизајнирала композитни индикатор S0 којим се кроз идентификацију потенцијалних краткорочних ризика у текућој години настоји да антиципира фискални стрес у наредној години. Уколико вредност S0 индикатора прелази дефинисани праг сматра се да је земља у краткорочном ризику од фискалног стреса. Поред вредности за целокупан индикатор, ради лоцирања извора из ког ризик потиче, разматрају се и вредности подиндекса и њихових компоненти. S0 композитни индикатор се састоји од два подиндекса, који у себи садрже низ варијабли фискалне и макро-финансијске одрживости. Вредност ових подиндекса испод дефинисаног прага указују на одсуство краткорочног фискалног ризика.</w:t>
      </w:r>
    </w:p>
    <w:p w14:paraId="64421550" w14:textId="206EC9FA" w:rsidR="00ED5386" w:rsidRPr="00F27A03" w:rsidRDefault="00ED5386" w:rsidP="00ED5386">
      <w:pPr>
        <w:rPr>
          <w:rFonts w:cstheme="minorHAnsi"/>
          <w:szCs w:val="20"/>
          <w:lang w:val="sr-Cyrl-CS"/>
        </w:rPr>
      </w:pPr>
      <w:r w:rsidRPr="00F27A03">
        <w:rPr>
          <w:rFonts w:cstheme="minorHAnsi"/>
          <w:szCs w:val="20"/>
          <w:lang w:val="sr-Cyrl-CS"/>
        </w:rPr>
        <w:t xml:space="preserve">У 2021. години вредности фискалног (0,22) и финансијског подиндекса (0,27) су унутар за њих дефинисаног прага, као и вредност целокупног S0 индикатора за Републику Србију (0,25), што начелно указује да не постоји опасност од појаве макроекономске нестабилности у наредном средњорочном периоду. Успешно очувана макроекономска и фискална стабилност успостављена у претходном периоду обезбедила је простор за брзе и значајне </w:t>
      </w:r>
      <w:r w:rsidR="00CB0E10" w:rsidRPr="00F27A03">
        <w:rPr>
          <w:rFonts w:cstheme="minorHAnsi"/>
          <w:szCs w:val="20"/>
          <w:lang w:val="sr-Cyrl-CS"/>
        </w:rPr>
        <w:t xml:space="preserve">мере подршке </w:t>
      </w:r>
      <w:r w:rsidRPr="00F27A03">
        <w:rPr>
          <w:rFonts w:cstheme="minorHAnsi"/>
          <w:szCs w:val="20"/>
          <w:lang w:val="sr-Cyrl-CS"/>
        </w:rPr>
        <w:t xml:space="preserve">фискалне и монетарне </w:t>
      </w:r>
      <w:r w:rsidR="00CB0E10" w:rsidRPr="00F27A03">
        <w:rPr>
          <w:rFonts w:cstheme="minorHAnsi"/>
          <w:szCs w:val="20"/>
          <w:lang w:val="sr-Cyrl-CS"/>
        </w:rPr>
        <w:t>политике</w:t>
      </w:r>
      <w:r w:rsidRPr="00F27A03">
        <w:rPr>
          <w:rFonts w:cstheme="minorHAnsi"/>
          <w:szCs w:val="20"/>
          <w:lang w:val="sr-Cyrl-CS"/>
        </w:rPr>
        <w:t>.</w:t>
      </w:r>
    </w:p>
    <w:p w14:paraId="563891AD" w14:textId="77777777" w:rsidR="00ED5386" w:rsidRPr="00F27A03" w:rsidRDefault="00ED5386" w:rsidP="00ED5386">
      <w:pPr>
        <w:rPr>
          <w:rFonts w:cstheme="minorHAnsi"/>
          <w:color w:val="auto"/>
          <w:szCs w:val="20"/>
          <w:lang w:val="sr-Cyrl-CS"/>
        </w:rPr>
      </w:pPr>
      <w:r w:rsidRPr="00F27A03">
        <w:rPr>
          <w:noProof/>
          <w:lang w:val="sr-Cyrl-RS" w:eastAsia="sr-Cyrl-RS"/>
        </w:rPr>
        <w:drawing>
          <wp:inline distT="0" distB="0" distL="0" distR="0" wp14:anchorId="2028B980" wp14:editId="5B4C7A67">
            <wp:extent cx="2886075" cy="3943350"/>
            <wp:effectExtent l="0" t="0" r="0" b="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53397E1A" w14:textId="77777777" w:rsidR="00ED5386" w:rsidRPr="00F27A03" w:rsidRDefault="00ED5386" w:rsidP="00ED5386">
      <w:pPr>
        <w:rPr>
          <w:rFonts w:cstheme="minorHAnsi"/>
          <w:color w:val="auto"/>
          <w:szCs w:val="20"/>
          <w:lang w:val="sr-Cyrl-CS"/>
        </w:rPr>
      </w:pPr>
    </w:p>
    <w:p w14:paraId="5FA786A2" w14:textId="77777777" w:rsidR="00ED5386" w:rsidRPr="00F27A03" w:rsidRDefault="00ED5386" w:rsidP="00ED5386">
      <w:pPr>
        <w:rPr>
          <w:rFonts w:cstheme="minorHAnsi"/>
          <w:color w:val="auto"/>
          <w:szCs w:val="20"/>
          <w:lang w:val="sr-Cyrl-CS"/>
        </w:rPr>
      </w:pPr>
    </w:p>
    <w:p w14:paraId="38E4D0DD" w14:textId="77777777" w:rsidR="00ED5386" w:rsidRPr="00F27A03" w:rsidRDefault="00ED5386" w:rsidP="00ED5386">
      <w:pPr>
        <w:rPr>
          <w:rFonts w:cstheme="minorHAnsi"/>
          <w:color w:val="auto"/>
          <w:szCs w:val="20"/>
          <w:lang w:val="sr-Cyrl-CS"/>
        </w:rPr>
      </w:pPr>
    </w:p>
    <w:p w14:paraId="3D2D8A39" w14:textId="77777777" w:rsidR="00ED5386" w:rsidRPr="00F27A03" w:rsidRDefault="00ED5386" w:rsidP="00ED5386">
      <w:pPr>
        <w:rPr>
          <w:rFonts w:eastAsia="Calibri" w:cstheme="minorHAnsi"/>
          <w:b/>
          <w:color w:val="auto"/>
          <w:sz w:val="24"/>
          <w:szCs w:val="26"/>
          <w:lang w:val="sr-Cyrl-CS"/>
        </w:rPr>
        <w:sectPr w:rsidR="00ED5386" w:rsidRPr="00F27A03" w:rsidSect="00C95509">
          <w:type w:val="continuous"/>
          <w:pgSz w:w="12240" w:h="15840"/>
          <w:pgMar w:top="1440" w:right="1440" w:bottom="1440" w:left="1440" w:header="720" w:footer="720" w:gutter="0"/>
          <w:cols w:num="2" w:space="720"/>
          <w:docGrid w:linePitch="360"/>
        </w:sectPr>
      </w:pPr>
    </w:p>
    <w:p w14:paraId="171C81AE" w14:textId="77777777" w:rsidR="00ED5386" w:rsidRPr="00F27A03" w:rsidRDefault="00ED5386" w:rsidP="00ED5386">
      <w:pPr>
        <w:jc w:val="center"/>
        <w:rPr>
          <w:rFonts w:cstheme="minorHAnsi"/>
          <w:color w:val="auto"/>
          <w:szCs w:val="20"/>
          <w:lang w:val="sr-Cyrl-CS"/>
        </w:rPr>
      </w:pPr>
      <w:r w:rsidRPr="00F27A03">
        <w:rPr>
          <w:noProof/>
          <w:lang w:val="sr-Cyrl-RS" w:eastAsia="sr-Cyrl-RS"/>
        </w:rPr>
        <w:drawing>
          <wp:inline distT="0" distB="0" distL="0" distR="0" wp14:anchorId="0C981A02" wp14:editId="2978DB5E">
            <wp:extent cx="5943600" cy="2038350"/>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3BA7A2F0" w14:textId="77777777" w:rsidR="00ED5386" w:rsidRPr="00F27A03" w:rsidRDefault="00ED5386" w:rsidP="00ED5386">
      <w:pPr>
        <w:rPr>
          <w:rFonts w:cstheme="minorHAnsi"/>
          <w:color w:val="auto"/>
          <w:szCs w:val="20"/>
          <w:lang w:val="sr-Cyrl-CS"/>
        </w:rPr>
      </w:pPr>
    </w:p>
    <w:p w14:paraId="2922A9E8" w14:textId="77777777" w:rsidR="00ED5386" w:rsidRPr="00F27A03" w:rsidRDefault="00ED5386" w:rsidP="00ED5386">
      <w:pPr>
        <w:rPr>
          <w:rFonts w:cstheme="minorHAnsi"/>
          <w:color w:val="auto"/>
          <w:szCs w:val="20"/>
          <w:lang w:val="sr-Cyrl-CS"/>
        </w:rPr>
        <w:sectPr w:rsidR="00ED5386" w:rsidRPr="00F27A03" w:rsidSect="00C95509">
          <w:type w:val="continuous"/>
          <w:pgSz w:w="12240" w:h="15840"/>
          <w:pgMar w:top="1440" w:right="1440" w:bottom="1440" w:left="1440" w:header="720" w:footer="720" w:gutter="0"/>
          <w:cols w:space="720"/>
          <w:docGrid w:linePitch="360"/>
        </w:sectPr>
      </w:pPr>
    </w:p>
    <w:p w14:paraId="31DCDF28" w14:textId="77777777" w:rsidR="00ED5386" w:rsidRPr="00F27A03" w:rsidRDefault="00ED5386" w:rsidP="00ED5386">
      <w:pPr>
        <w:rPr>
          <w:rFonts w:cstheme="minorHAnsi"/>
          <w:szCs w:val="20"/>
          <w:lang w:val="sr-Cyrl-CS"/>
        </w:rPr>
      </w:pPr>
      <w:r w:rsidRPr="00F27A03">
        <w:rPr>
          <w:rFonts w:cstheme="minorHAnsi"/>
          <w:noProof/>
          <w:color w:val="auto"/>
          <w:szCs w:val="20"/>
          <w:lang w:val="sr-Cyrl-RS" w:eastAsia="sr-Cyrl-RS"/>
        </w:rPr>
        <w:lastRenderedPageBreak/>
        <w:drawing>
          <wp:inline distT="0" distB="0" distL="0" distR="0" wp14:anchorId="719FC43B" wp14:editId="19380DBD">
            <wp:extent cx="2971800" cy="3723005"/>
            <wp:effectExtent l="0" t="0" r="0" b="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0169CC04" w14:textId="77777777" w:rsidR="00ED5386" w:rsidRPr="00F27A03" w:rsidRDefault="00ED5386" w:rsidP="00ED5386">
      <w:pPr>
        <w:rPr>
          <w:rFonts w:cstheme="minorHAnsi"/>
          <w:szCs w:val="20"/>
          <w:lang w:val="sr-Cyrl-CS"/>
        </w:rPr>
      </w:pPr>
      <w:r w:rsidRPr="00F27A03">
        <w:rPr>
          <w:rFonts w:cstheme="minorHAnsi"/>
          <w:noProof/>
          <w:color w:val="auto"/>
          <w:lang w:val="sr-Cyrl-RS" w:eastAsia="sr-Cyrl-RS"/>
        </w:rPr>
        <mc:AlternateContent>
          <mc:Choice Requires="wps">
            <w:drawing>
              <wp:anchor distT="0" distB="0" distL="114300" distR="114300" simplePos="0" relativeHeight="251680256" behindDoc="1" locked="0" layoutInCell="1" allowOverlap="1" wp14:anchorId="1673BA58" wp14:editId="70C07BA9">
                <wp:simplePos x="0" y="0"/>
                <wp:positionH relativeFrom="margin">
                  <wp:posOffset>-239395</wp:posOffset>
                </wp:positionH>
                <wp:positionV relativeFrom="paragraph">
                  <wp:posOffset>-85725</wp:posOffset>
                </wp:positionV>
                <wp:extent cx="6480000" cy="4238625"/>
                <wp:effectExtent l="0" t="0" r="0" b="9525"/>
                <wp:wrapNone/>
                <wp:docPr id="93" name="Rectangle 93"/>
                <wp:cNvGraphicFramePr/>
                <a:graphic xmlns:a="http://schemas.openxmlformats.org/drawingml/2006/main">
                  <a:graphicData uri="http://schemas.microsoft.com/office/word/2010/wordprocessingShape">
                    <wps:wsp>
                      <wps:cNvSpPr/>
                      <wps:spPr>
                        <a:xfrm>
                          <a:off x="0" y="0"/>
                          <a:ext cx="6480000" cy="4238625"/>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53BADA" id="Rectangle 93" o:spid="_x0000_s1026" style="position:absolute;margin-left:-18.85pt;margin-top:-6.75pt;width:510.25pt;height:333.75pt;z-index:-251636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" fillcolor="#d9d9d9" stroked="f" strokeweight="1pt">
                <v:fill r:id="rId111" o:title="" color2="window" type="pattern"/>
                <w10:wrap anchorx="margin"/>
              </v:rect>
            </w:pict>
          </mc:Fallback>
        </mc:AlternateContent>
      </w:r>
      <w:r w:rsidRPr="00F27A03">
        <w:rPr>
          <w:rFonts w:cstheme="minorHAnsi"/>
          <w:szCs w:val="20"/>
          <w:lang w:val="sr-Cyrl-CS"/>
        </w:rPr>
        <w:t>Обрачун S0 индикатора за Републику Србију, урађен је од стране Министарства финансија, и базира се на методологији ЕК.</w:t>
      </w:r>
    </w:p>
    <w:p w14:paraId="52C457B2" w14:textId="77777777" w:rsidR="00ED5386" w:rsidRPr="00F27A03" w:rsidRDefault="00ED5386" w:rsidP="00ED5386">
      <w:pPr>
        <w:rPr>
          <w:rFonts w:cstheme="minorHAnsi"/>
          <w:szCs w:val="20"/>
          <w:lang w:val="sr-Cyrl-CS"/>
        </w:rPr>
      </w:pPr>
      <w:r w:rsidRPr="00F27A03">
        <w:rPr>
          <w:rFonts w:cstheme="minorHAnsi"/>
          <w:szCs w:val="20"/>
          <w:lang w:val="sr-Cyrl-CS"/>
        </w:rPr>
        <w:t>На основу података ЕК за земље ЕУ за 2021. годину и обрачуна Министарства финансија за Републику Србију, закључујемо да већина посматраних земаља, као и Србија, није била изложена краткорочном ризику реализације фискалног стреса, будући да вредност S0 нигде не премашује дефинисани праг. Минимизирање потенцијалних ризика за настанак фискалног стреса у посматраним земљама допринело је стварању простора за доношење мера економске политике без преседана по свом обиму, а као одговор на здравствену кризу која се прелила у све сфере економије.</w:t>
      </w:r>
    </w:p>
    <w:p w14:paraId="2FD18E5B" w14:textId="77777777" w:rsidR="00ED5386" w:rsidRPr="00F27A03" w:rsidRDefault="00ED5386" w:rsidP="00ED5386">
      <w:pPr>
        <w:rPr>
          <w:rFonts w:cstheme="minorHAnsi"/>
          <w:color w:val="auto"/>
          <w:szCs w:val="20"/>
          <w:lang w:val="sr-Cyrl-CS"/>
        </w:rPr>
        <w:sectPr w:rsidR="00ED5386" w:rsidRPr="00F27A03" w:rsidSect="00ED5386">
          <w:headerReference w:type="even" r:id="rId120"/>
          <w:headerReference w:type="default" r:id="rId121"/>
          <w:footerReference w:type="even" r:id="rId122"/>
          <w:footerReference w:type="default" r:id="rId123"/>
          <w:headerReference w:type="first" r:id="rId124"/>
          <w:type w:val="continuous"/>
          <w:pgSz w:w="12240" w:h="15840" w:code="1"/>
          <w:pgMar w:top="1440" w:right="1440" w:bottom="1440" w:left="1440" w:header="720" w:footer="720" w:gutter="0"/>
          <w:cols w:num="2" w:space="332"/>
          <w:docGrid w:linePitch="360"/>
        </w:sectPr>
      </w:pPr>
    </w:p>
    <w:p w14:paraId="66BFB3E1" w14:textId="77777777" w:rsidR="00ED5386" w:rsidRPr="00F27A03" w:rsidRDefault="00ED5386" w:rsidP="00CE2DC7">
      <w:pPr>
        <w:rPr>
          <w:lang w:val="sr-Cyrl-CS"/>
        </w:rPr>
      </w:pPr>
      <w:bookmarkStart w:id="24" w:name="_Toc530635107"/>
      <w:r w:rsidRPr="00F27A03">
        <w:rPr>
          <w:lang w:val="sr-Cyrl-CS"/>
        </w:rPr>
        <w:br w:type="page"/>
      </w:r>
    </w:p>
    <w:p w14:paraId="6364BB6B" w14:textId="77777777" w:rsidR="00ED5386" w:rsidRPr="00F27A03" w:rsidRDefault="00ED5386" w:rsidP="00E124CF">
      <w:pPr>
        <w:rPr>
          <w:rFonts w:ascii="Calibri" w:eastAsia="Calibri" w:hAnsi="Calibri" w:cs="Calibri"/>
          <w:color w:val="auto"/>
          <w:szCs w:val="20"/>
          <w:lang w:val="sr-Cyrl-CS"/>
        </w:rPr>
        <w:sectPr w:rsidR="00ED5386" w:rsidRPr="00F27A03" w:rsidSect="00ED5386">
          <w:headerReference w:type="even" r:id="rId125"/>
          <w:footerReference w:type="even" r:id="rId126"/>
          <w:footerReference w:type="default" r:id="rId127"/>
          <w:headerReference w:type="first" r:id="rId128"/>
          <w:type w:val="continuous"/>
          <w:pgSz w:w="12240" w:h="15840"/>
          <w:pgMar w:top="1440" w:right="1440" w:bottom="1440" w:left="1440" w:header="720" w:footer="720" w:gutter="0"/>
          <w:cols w:space="720"/>
          <w:docGrid w:linePitch="360"/>
        </w:sectPr>
      </w:pPr>
    </w:p>
    <w:p w14:paraId="10571814" w14:textId="536399A3" w:rsidR="008800D8" w:rsidRPr="00F27A03" w:rsidRDefault="00AF48C6" w:rsidP="00DD3FA7">
      <w:pPr>
        <w:pStyle w:val="Heading2"/>
        <w:spacing w:before="0" w:after="320"/>
        <w:jc w:val="center"/>
        <w:rPr>
          <w:rFonts w:asciiTheme="minorHAnsi" w:eastAsia="Calibri" w:hAnsiTheme="minorHAnsi" w:cstheme="minorHAnsi"/>
          <w:b/>
          <w:sz w:val="24"/>
          <w:lang w:val="sr-Cyrl-CS"/>
        </w:rPr>
      </w:pPr>
      <w:bookmarkStart w:id="25" w:name="_Toc56667078"/>
      <w:bookmarkStart w:id="26" w:name="_Toc119326595"/>
      <w:bookmarkStart w:id="27" w:name="_Toc499650053"/>
      <w:bookmarkStart w:id="28" w:name="_Toc530635109"/>
      <w:bookmarkStart w:id="29" w:name="_Toc11155995"/>
      <w:bookmarkStart w:id="30" w:name="_Toc56667080"/>
      <w:bookmarkStart w:id="31" w:name="_Toc73364972"/>
      <w:bookmarkEnd w:id="23"/>
      <w:bookmarkEnd w:id="24"/>
      <w:r w:rsidRPr="00F27A03">
        <w:rPr>
          <w:rFonts w:asciiTheme="minorHAnsi" w:eastAsia="Calibri" w:hAnsiTheme="minorHAnsi" w:cstheme="minorHAnsi"/>
          <w:b/>
          <w:sz w:val="24"/>
          <w:lang w:val="sr-Cyrl-CS"/>
        </w:rPr>
        <w:lastRenderedPageBreak/>
        <w:t>3</w:t>
      </w:r>
      <w:r w:rsidR="008800D8" w:rsidRPr="00F27A03">
        <w:rPr>
          <w:rFonts w:asciiTheme="minorHAnsi" w:eastAsia="Calibri" w:hAnsiTheme="minorHAnsi" w:cstheme="minorHAnsi"/>
          <w:b/>
          <w:sz w:val="24"/>
          <w:lang w:val="sr-Cyrl-CS"/>
        </w:rPr>
        <w:t>. Фискалне пројекције у периоду 2023–2025. године</w:t>
      </w:r>
      <w:bookmarkEnd w:id="25"/>
      <w:bookmarkEnd w:id="26"/>
    </w:p>
    <w:p w14:paraId="7843681E" w14:textId="77777777" w:rsidR="008800D8" w:rsidRPr="00F27A03" w:rsidRDefault="008800D8" w:rsidP="00A42963">
      <w:pPr>
        <w:rPr>
          <w:lang w:val="sr-Cyrl-CS" w:eastAsia="ja-JP"/>
        </w:rPr>
        <w:sectPr w:rsidR="008800D8" w:rsidRPr="00F27A03" w:rsidSect="00A42963">
          <w:headerReference w:type="default" r:id="rId129"/>
          <w:footerReference w:type="even" r:id="rId130"/>
          <w:footerReference w:type="default" r:id="rId131"/>
          <w:headerReference w:type="first" r:id="rId132"/>
          <w:type w:val="continuous"/>
          <w:pgSz w:w="12240" w:h="15840" w:code="1"/>
          <w:pgMar w:top="1440" w:right="1440" w:bottom="1440" w:left="1440" w:header="720" w:footer="720" w:gutter="0"/>
          <w:cols w:space="720"/>
          <w:docGrid w:linePitch="360"/>
        </w:sectPr>
      </w:pPr>
    </w:p>
    <w:p w14:paraId="4CFE3139" w14:textId="77777777" w:rsidR="008800D8" w:rsidRPr="00F27A03" w:rsidRDefault="008800D8" w:rsidP="00333B2E">
      <w:pPr>
        <w:rPr>
          <w:lang w:val="sr-Cyrl-CS" w:eastAsia="ja-JP"/>
        </w:rPr>
      </w:pPr>
      <w:r w:rsidRPr="00F27A03">
        <w:rPr>
          <w:lang w:val="sr-Cyrl-CS" w:eastAsia="ja-JP"/>
        </w:rPr>
        <w:t>Циљеви фискалне политике су усмерени на одржање фискалне стабилности и смањење учешћа јавног дуга у БДП. Средњорочни фискални оквир предвиђа постепено смањење дефицита опште државе на ниво од 1,4%</w:t>
      </w:r>
      <w:r w:rsidRPr="00F27A03">
        <w:rPr>
          <w:color w:val="1F3864" w:themeColor="accent1" w:themeShade="80"/>
          <w:lang w:val="sr-Cyrl-CS" w:eastAsia="ja-JP"/>
        </w:rPr>
        <w:t xml:space="preserve"> </w:t>
      </w:r>
      <w:r w:rsidRPr="00F27A03">
        <w:rPr>
          <w:lang w:val="sr-Cyrl-CS" w:eastAsia="ja-JP"/>
        </w:rPr>
        <w:t>БДП до 2025. године и пад учешћа јавног дуга на 54% БДП. Пројекције фискалних агрегата у периоду од 2023. до 2025. године заснивају се на пројекцијама макроекономских показатеља за наведени период, планираној пореској политици која подразумева даље усаглашавање са законима и директивама ЕУ и фискалним и структурним мерама, укључујући и даљу реформу великих јавних предузећа.</w:t>
      </w:r>
    </w:p>
    <w:p w14:paraId="4EB327F4" w14:textId="72DDF0CD" w:rsidR="008800D8" w:rsidRPr="00F27A03" w:rsidRDefault="008800D8" w:rsidP="00953528">
      <w:pPr>
        <w:spacing w:after="360"/>
        <w:rPr>
          <w:lang w:val="sr-Cyrl-CS" w:eastAsia="ja-JP"/>
        </w:rPr>
      </w:pPr>
      <w:r w:rsidRPr="00F27A03">
        <w:rPr>
          <w:lang w:val="sr-Cyrl-CS" w:eastAsia="ja-JP"/>
        </w:rPr>
        <w:t xml:space="preserve">Захваљујући мерама фискалне консолидације у претходном периоду створен је фискални простор који је омогућио богате пакете мера у склопу </w:t>
      </w:r>
      <w:r w:rsidRPr="00F27A03">
        <w:rPr>
          <w:lang w:val="sr-Cyrl-CS" w:eastAsia="ja-JP"/>
        </w:rPr>
        <w:t>борбе против ефеката кризе изазване пандемијом током 2020. и 2021. године. Смиривање пандемије у овој години довело је до стварања фискалног простора који је неопходан у новонасталим неповољним околностима. С</w:t>
      </w:r>
      <w:r w:rsidR="00176249" w:rsidRPr="00F27A03">
        <w:rPr>
          <w:lang w:val="sr-Cyrl-CS" w:eastAsia="ja-JP"/>
        </w:rPr>
        <w:t>итуација</w:t>
      </w:r>
      <w:r w:rsidRPr="00F27A03">
        <w:rPr>
          <w:lang w:val="sr-Cyrl-CS" w:eastAsia="ja-JP"/>
        </w:rPr>
        <w:t xml:space="preserve"> у Украјини и међународни односи који се формирају као реакција на њу снажно утичу на економска кретања. У 2022. години су већ почеле да се примењују мере које би требало да амортизују шокове настале из ове кризе. Реакција фискалне политике у наредном периоду, креиране мере и њихове фискалне импликације биће дизајниране тако да не угрозе стабилност јавних финансија и темпо смањења јавног дуга, затим да одрже животни стандард становништва и помогну привредни развој, али и да осигурају флексибилност реакције на евентуално снажнији удар кризе.</w:t>
      </w:r>
    </w:p>
    <w:p w14:paraId="4A10AA16" w14:textId="77777777" w:rsidR="008800D8" w:rsidRPr="00F27A03" w:rsidRDefault="008800D8" w:rsidP="00953528">
      <w:pPr>
        <w:rPr>
          <w:rFonts w:eastAsia="MS PGothic" w:cstheme="minorHAnsi"/>
          <w:b/>
          <w:color w:val="002060"/>
          <w:szCs w:val="20"/>
          <w:lang w:val="sr-Cyrl-CS" w:eastAsia="ja-JP"/>
        </w:rPr>
        <w:sectPr w:rsidR="008800D8" w:rsidRPr="00F27A03" w:rsidSect="00A42963">
          <w:type w:val="continuous"/>
          <w:pgSz w:w="12240" w:h="15840" w:code="1"/>
          <w:pgMar w:top="1440" w:right="1440" w:bottom="1440" w:left="1440" w:header="720" w:footer="720" w:gutter="0"/>
          <w:cols w:num="2" w:space="720"/>
          <w:docGrid w:linePitch="360"/>
        </w:sectPr>
      </w:pPr>
    </w:p>
    <w:p w14:paraId="7C59DDCA" w14:textId="18D52016" w:rsidR="008800D8" w:rsidRPr="00F27A03" w:rsidRDefault="008800D8" w:rsidP="00953528">
      <w:pPr>
        <w:jc w:val="center"/>
        <w:rPr>
          <w:rFonts w:eastAsia="MS PGothic" w:cstheme="minorHAnsi"/>
          <w:b/>
          <w:color w:val="002060"/>
          <w:szCs w:val="20"/>
          <w:lang w:val="sr-Cyrl-CS" w:eastAsia="ja-JP"/>
        </w:rPr>
      </w:pPr>
      <w:r w:rsidRPr="00F27A03">
        <w:rPr>
          <w:rFonts w:eastAsia="MS PGothic" w:cstheme="minorHAnsi"/>
          <w:b/>
          <w:color w:val="002060"/>
          <w:szCs w:val="20"/>
          <w:lang w:val="sr-Cyrl-CS" w:eastAsia="ja-JP"/>
        </w:rPr>
        <w:t xml:space="preserve">Табела </w:t>
      </w:r>
      <w:r w:rsidR="00524F94" w:rsidRPr="00F27A03">
        <w:rPr>
          <w:rFonts w:eastAsia="MS PGothic" w:cstheme="minorHAnsi"/>
          <w:b/>
          <w:color w:val="002060"/>
          <w:szCs w:val="20"/>
          <w:lang w:val="sr-Cyrl-CS" w:eastAsia="ja-JP"/>
        </w:rPr>
        <w:t>8</w:t>
      </w:r>
      <w:r w:rsidRPr="00F27A03">
        <w:rPr>
          <w:rFonts w:eastAsia="MS PGothic" w:cstheme="minorHAnsi"/>
          <w:b/>
          <w:color w:val="002060"/>
          <w:szCs w:val="20"/>
          <w:lang w:val="sr-Cyrl-CS" w:eastAsia="ja-JP"/>
        </w:rPr>
        <w:t>. Фискални агрегати у периоду 2021–2025. године, % БДП</w:t>
      </w:r>
    </w:p>
    <w:tbl>
      <w:tblPr>
        <w:tblStyle w:val="LightShading-Accent1221"/>
        <w:tblW w:w="5000" w:type="pct"/>
        <w:tblBorders>
          <w:top w:val="none" w:sz="0" w:space="0" w:color="auto"/>
          <w:bottom w:val="none" w:sz="0" w:space="0" w:color="auto"/>
        </w:tblBorders>
        <w:tblLook w:val="0420" w:firstRow="1" w:lastRow="0" w:firstColumn="0" w:lastColumn="0" w:noHBand="0" w:noVBand="1"/>
      </w:tblPr>
      <w:tblGrid>
        <w:gridCol w:w="3971"/>
        <w:gridCol w:w="1133"/>
        <w:gridCol w:w="1133"/>
        <w:gridCol w:w="1041"/>
        <w:gridCol w:w="1041"/>
        <w:gridCol w:w="1041"/>
      </w:tblGrid>
      <w:tr w:rsidR="008800D8" w:rsidRPr="00F27A03" w14:paraId="4516FBBC" w14:textId="77777777" w:rsidTr="00A42963">
        <w:trPr>
          <w:cnfStyle w:val="100000000000" w:firstRow="1" w:lastRow="0" w:firstColumn="0" w:lastColumn="0" w:oddVBand="0" w:evenVBand="0" w:oddHBand="0" w:evenHBand="0" w:firstRowFirstColumn="0" w:firstRowLastColumn="0" w:lastRowFirstColumn="0" w:lastRowLastColumn="0"/>
          <w:trHeight w:val="253"/>
        </w:trPr>
        <w:tc>
          <w:tcPr>
            <w:tcW w:w="2122" w:type="pct"/>
            <w:tcBorders>
              <w:top w:val="single" w:sz="4" w:space="0" w:color="002060"/>
              <w:bottom w:val="single" w:sz="4" w:space="0" w:color="002060"/>
            </w:tcBorders>
            <w:shd w:val="clear" w:color="auto" w:fill="auto"/>
            <w:noWrap/>
            <w:vAlign w:val="center"/>
          </w:tcPr>
          <w:p w14:paraId="1E9E7962" w14:textId="77777777" w:rsidR="008800D8" w:rsidRPr="00F27A03" w:rsidRDefault="008800D8" w:rsidP="00C130D2">
            <w:pPr>
              <w:spacing w:line="276" w:lineRule="auto"/>
              <w:rPr>
                <w:rFonts w:asciiTheme="minorHAnsi" w:hAnsiTheme="minorHAnsi" w:cstheme="minorHAnsi"/>
                <w:b w:val="0"/>
                <w:color w:val="002060"/>
                <w:sz w:val="18"/>
                <w:lang w:val="sr-Cyrl-CS"/>
              </w:rPr>
            </w:pPr>
            <w:r w:rsidRPr="00F27A03">
              <w:rPr>
                <w:rFonts w:asciiTheme="minorHAnsi" w:hAnsiTheme="minorHAnsi" w:cstheme="minorHAnsi"/>
                <w:b w:val="0"/>
                <w:color w:val="002060"/>
                <w:sz w:val="18"/>
                <w:lang w:val="sr-Cyrl-CS"/>
              </w:rPr>
              <w:t>Опис</w:t>
            </w:r>
          </w:p>
        </w:tc>
        <w:tc>
          <w:tcPr>
            <w:tcW w:w="605" w:type="pct"/>
            <w:tcBorders>
              <w:top w:val="single" w:sz="4" w:space="0" w:color="002060"/>
              <w:bottom w:val="single" w:sz="4" w:space="0" w:color="002060"/>
            </w:tcBorders>
            <w:shd w:val="clear" w:color="auto" w:fill="auto"/>
            <w:vAlign w:val="center"/>
          </w:tcPr>
          <w:p w14:paraId="40A366C3" w14:textId="77777777" w:rsidR="008800D8" w:rsidRPr="00F27A03" w:rsidRDefault="008800D8" w:rsidP="00C130D2">
            <w:pPr>
              <w:spacing w:line="276" w:lineRule="auto"/>
              <w:jc w:val="right"/>
              <w:rPr>
                <w:rFonts w:asciiTheme="minorHAnsi" w:hAnsiTheme="minorHAnsi" w:cstheme="minorHAnsi"/>
                <w:b w:val="0"/>
                <w:color w:val="002060"/>
                <w:sz w:val="18"/>
                <w:lang w:val="sr-Cyrl-CS"/>
              </w:rPr>
            </w:pPr>
            <w:r w:rsidRPr="00F27A03">
              <w:rPr>
                <w:rFonts w:asciiTheme="minorHAnsi" w:hAnsiTheme="minorHAnsi" w:cstheme="minorHAnsi"/>
                <w:b w:val="0"/>
                <w:color w:val="002060"/>
                <w:sz w:val="18"/>
                <w:lang w:val="sr-Cyrl-CS"/>
              </w:rPr>
              <w:t>Извршење</w:t>
            </w:r>
          </w:p>
        </w:tc>
        <w:tc>
          <w:tcPr>
            <w:tcW w:w="605" w:type="pct"/>
            <w:tcBorders>
              <w:top w:val="single" w:sz="4" w:space="0" w:color="002060"/>
              <w:bottom w:val="single" w:sz="4" w:space="0" w:color="002060"/>
            </w:tcBorders>
            <w:shd w:val="clear" w:color="auto" w:fill="auto"/>
            <w:vAlign w:val="center"/>
          </w:tcPr>
          <w:p w14:paraId="57AA2F97" w14:textId="77777777" w:rsidR="008800D8" w:rsidRPr="00F27A03" w:rsidRDefault="008800D8" w:rsidP="00C130D2">
            <w:pPr>
              <w:spacing w:line="276" w:lineRule="auto"/>
              <w:jc w:val="right"/>
              <w:rPr>
                <w:rFonts w:asciiTheme="minorHAnsi" w:hAnsiTheme="minorHAnsi" w:cstheme="minorHAnsi"/>
                <w:b w:val="0"/>
                <w:color w:val="002060"/>
                <w:sz w:val="18"/>
                <w:lang w:val="sr-Cyrl-CS"/>
              </w:rPr>
            </w:pPr>
            <w:r w:rsidRPr="00F27A03">
              <w:rPr>
                <w:rFonts w:asciiTheme="minorHAnsi" w:hAnsiTheme="minorHAnsi" w:cstheme="minorHAnsi"/>
                <w:b w:val="0"/>
                <w:color w:val="002060"/>
                <w:sz w:val="18"/>
                <w:lang w:val="sr-Cyrl-CS"/>
              </w:rPr>
              <w:t>Процена</w:t>
            </w:r>
          </w:p>
        </w:tc>
        <w:tc>
          <w:tcPr>
            <w:tcW w:w="1669" w:type="pct"/>
            <w:gridSpan w:val="3"/>
            <w:tcBorders>
              <w:top w:val="single" w:sz="4" w:space="0" w:color="002060"/>
              <w:bottom w:val="single" w:sz="4" w:space="0" w:color="002060"/>
            </w:tcBorders>
            <w:shd w:val="clear" w:color="auto" w:fill="auto"/>
            <w:vAlign w:val="center"/>
          </w:tcPr>
          <w:p w14:paraId="36F08B26" w14:textId="77777777" w:rsidR="008800D8" w:rsidRPr="00F27A03" w:rsidRDefault="008800D8" w:rsidP="00C130D2">
            <w:pPr>
              <w:spacing w:line="276" w:lineRule="auto"/>
              <w:jc w:val="center"/>
              <w:rPr>
                <w:rFonts w:asciiTheme="minorHAnsi" w:hAnsiTheme="minorHAnsi" w:cstheme="minorHAnsi"/>
                <w:b w:val="0"/>
                <w:color w:val="002060"/>
                <w:sz w:val="18"/>
                <w:lang w:val="sr-Cyrl-CS"/>
              </w:rPr>
            </w:pPr>
            <w:r w:rsidRPr="00F27A03">
              <w:rPr>
                <w:rFonts w:asciiTheme="minorHAnsi" w:hAnsiTheme="minorHAnsi" w:cstheme="minorHAnsi"/>
                <w:b w:val="0"/>
                <w:color w:val="002060"/>
                <w:sz w:val="18"/>
                <w:lang w:val="sr-Cyrl-CS"/>
              </w:rPr>
              <w:t>Пројекција</w:t>
            </w:r>
          </w:p>
        </w:tc>
      </w:tr>
      <w:tr w:rsidR="008800D8" w:rsidRPr="00F27A03" w14:paraId="076D8C3F" w14:textId="77777777" w:rsidTr="00A42963">
        <w:trPr>
          <w:cnfStyle w:val="000000100000" w:firstRow="0" w:lastRow="0" w:firstColumn="0" w:lastColumn="0" w:oddVBand="0" w:evenVBand="0" w:oddHBand="1" w:evenHBand="0" w:firstRowFirstColumn="0" w:firstRowLastColumn="0" w:lastRowFirstColumn="0" w:lastRowLastColumn="0"/>
          <w:trHeight w:val="253"/>
        </w:trPr>
        <w:tc>
          <w:tcPr>
            <w:tcW w:w="2122" w:type="pct"/>
            <w:tcBorders>
              <w:top w:val="single" w:sz="4" w:space="0" w:color="002060"/>
            </w:tcBorders>
            <w:shd w:val="clear" w:color="auto" w:fill="auto"/>
            <w:noWrap/>
            <w:vAlign w:val="center"/>
          </w:tcPr>
          <w:p w14:paraId="1DC4275A" w14:textId="77777777" w:rsidR="008800D8" w:rsidRPr="00F27A03" w:rsidRDefault="008800D8" w:rsidP="00C130D2">
            <w:pPr>
              <w:spacing w:line="276" w:lineRule="auto"/>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 </w:t>
            </w:r>
          </w:p>
        </w:tc>
        <w:tc>
          <w:tcPr>
            <w:tcW w:w="605" w:type="pct"/>
            <w:tcBorders>
              <w:top w:val="single" w:sz="4" w:space="0" w:color="002060"/>
              <w:bottom w:val="single" w:sz="4" w:space="0" w:color="002060"/>
            </w:tcBorders>
            <w:shd w:val="clear" w:color="auto" w:fill="auto"/>
            <w:vAlign w:val="center"/>
          </w:tcPr>
          <w:p w14:paraId="09266930"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2021</w:t>
            </w:r>
          </w:p>
        </w:tc>
        <w:tc>
          <w:tcPr>
            <w:tcW w:w="605" w:type="pct"/>
            <w:tcBorders>
              <w:top w:val="single" w:sz="4" w:space="0" w:color="002060"/>
              <w:bottom w:val="single" w:sz="4" w:space="0" w:color="002060"/>
            </w:tcBorders>
            <w:shd w:val="clear" w:color="auto" w:fill="auto"/>
            <w:vAlign w:val="center"/>
          </w:tcPr>
          <w:p w14:paraId="219E0079"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2022</w:t>
            </w:r>
          </w:p>
        </w:tc>
        <w:tc>
          <w:tcPr>
            <w:tcW w:w="556" w:type="pct"/>
            <w:tcBorders>
              <w:top w:val="single" w:sz="4" w:space="0" w:color="002060"/>
              <w:bottom w:val="single" w:sz="4" w:space="0" w:color="002060"/>
            </w:tcBorders>
            <w:shd w:val="clear" w:color="auto" w:fill="auto"/>
            <w:vAlign w:val="center"/>
          </w:tcPr>
          <w:p w14:paraId="4584F7FA"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2023</w:t>
            </w:r>
          </w:p>
        </w:tc>
        <w:tc>
          <w:tcPr>
            <w:tcW w:w="556" w:type="pct"/>
            <w:tcBorders>
              <w:top w:val="single" w:sz="4" w:space="0" w:color="002060"/>
              <w:bottom w:val="single" w:sz="4" w:space="0" w:color="002060"/>
            </w:tcBorders>
            <w:shd w:val="clear" w:color="auto" w:fill="auto"/>
            <w:vAlign w:val="center"/>
          </w:tcPr>
          <w:p w14:paraId="1929F961"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2024</w:t>
            </w:r>
          </w:p>
        </w:tc>
        <w:tc>
          <w:tcPr>
            <w:tcW w:w="556" w:type="pct"/>
            <w:tcBorders>
              <w:top w:val="single" w:sz="4" w:space="0" w:color="002060"/>
              <w:bottom w:val="single" w:sz="4" w:space="0" w:color="002060"/>
            </w:tcBorders>
            <w:shd w:val="clear" w:color="auto" w:fill="auto"/>
            <w:vAlign w:val="center"/>
          </w:tcPr>
          <w:p w14:paraId="7A50C39E" w14:textId="77777777" w:rsidR="008800D8" w:rsidRPr="00F27A03" w:rsidRDefault="008800D8" w:rsidP="005D42AC">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2025</w:t>
            </w:r>
          </w:p>
        </w:tc>
      </w:tr>
      <w:tr w:rsidR="008800D8" w:rsidRPr="00F27A03" w14:paraId="1C2B3A5A" w14:textId="77777777" w:rsidTr="00A42963">
        <w:trPr>
          <w:trHeight w:val="253"/>
        </w:trPr>
        <w:tc>
          <w:tcPr>
            <w:tcW w:w="2122" w:type="pct"/>
            <w:shd w:val="clear" w:color="auto" w:fill="auto"/>
            <w:vAlign w:val="center"/>
          </w:tcPr>
          <w:p w14:paraId="10AA0C81" w14:textId="77777777" w:rsidR="008800D8" w:rsidRPr="00F27A03" w:rsidRDefault="008800D8" w:rsidP="00C130D2">
            <w:pPr>
              <w:spacing w:line="276" w:lineRule="auto"/>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Јавни приходи</w:t>
            </w:r>
          </w:p>
        </w:tc>
        <w:tc>
          <w:tcPr>
            <w:tcW w:w="605" w:type="pct"/>
            <w:tcBorders>
              <w:top w:val="single" w:sz="4" w:space="0" w:color="002060"/>
            </w:tcBorders>
            <w:shd w:val="clear" w:color="auto" w:fill="auto"/>
            <w:vAlign w:val="center"/>
          </w:tcPr>
          <w:p w14:paraId="66AE6C81"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43,3</w:t>
            </w:r>
          </w:p>
        </w:tc>
        <w:tc>
          <w:tcPr>
            <w:tcW w:w="605" w:type="pct"/>
            <w:tcBorders>
              <w:top w:val="single" w:sz="4" w:space="0" w:color="002060"/>
            </w:tcBorders>
            <w:shd w:val="clear" w:color="auto" w:fill="auto"/>
            <w:vAlign w:val="center"/>
          </w:tcPr>
          <w:p w14:paraId="4C85812E"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43,0</w:t>
            </w:r>
          </w:p>
        </w:tc>
        <w:tc>
          <w:tcPr>
            <w:tcW w:w="556" w:type="pct"/>
            <w:tcBorders>
              <w:top w:val="single" w:sz="4" w:space="0" w:color="002060"/>
            </w:tcBorders>
            <w:shd w:val="clear" w:color="auto" w:fill="auto"/>
            <w:vAlign w:val="center"/>
          </w:tcPr>
          <w:p w14:paraId="38B9A644"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40,8</w:t>
            </w:r>
          </w:p>
        </w:tc>
        <w:tc>
          <w:tcPr>
            <w:tcW w:w="556" w:type="pct"/>
            <w:tcBorders>
              <w:top w:val="single" w:sz="4" w:space="0" w:color="002060"/>
            </w:tcBorders>
            <w:shd w:val="clear" w:color="auto" w:fill="auto"/>
            <w:vAlign w:val="center"/>
          </w:tcPr>
          <w:p w14:paraId="452C4F67"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40,3</w:t>
            </w:r>
          </w:p>
        </w:tc>
        <w:tc>
          <w:tcPr>
            <w:tcW w:w="556" w:type="pct"/>
            <w:tcBorders>
              <w:top w:val="single" w:sz="4" w:space="0" w:color="002060"/>
            </w:tcBorders>
            <w:shd w:val="clear" w:color="auto" w:fill="auto"/>
            <w:vAlign w:val="center"/>
          </w:tcPr>
          <w:p w14:paraId="4FEEEDF2"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39,6</w:t>
            </w:r>
          </w:p>
        </w:tc>
      </w:tr>
      <w:tr w:rsidR="008800D8" w:rsidRPr="00F27A03" w14:paraId="4A181096" w14:textId="77777777" w:rsidTr="00A42963">
        <w:trPr>
          <w:cnfStyle w:val="000000100000" w:firstRow="0" w:lastRow="0" w:firstColumn="0" w:lastColumn="0" w:oddVBand="0" w:evenVBand="0" w:oddHBand="1" w:evenHBand="0" w:firstRowFirstColumn="0" w:firstRowLastColumn="0" w:lastRowFirstColumn="0" w:lastRowLastColumn="0"/>
          <w:trHeight w:val="253"/>
        </w:trPr>
        <w:tc>
          <w:tcPr>
            <w:tcW w:w="2122" w:type="pct"/>
            <w:shd w:val="clear" w:color="auto" w:fill="auto"/>
            <w:vAlign w:val="center"/>
          </w:tcPr>
          <w:p w14:paraId="416A5594" w14:textId="77777777" w:rsidR="008800D8" w:rsidRPr="00F27A03" w:rsidRDefault="008800D8" w:rsidP="00C130D2">
            <w:pPr>
              <w:spacing w:line="276" w:lineRule="auto"/>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Јавни расходи</w:t>
            </w:r>
          </w:p>
        </w:tc>
        <w:tc>
          <w:tcPr>
            <w:tcW w:w="605" w:type="pct"/>
            <w:shd w:val="clear" w:color="auto" w:fill="auto"/>
            <w:vAlign w:val="center"/>
          </w:tcPr>
          <w:p w14:paraId="2761E22A"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47,4</w:t>
            </w:r>
          </w:p>
        </w:tc>
        <w:tc>
          <w:tcPr>
            <w:tcW w:w="605" w:type="pct"/>
            <w:shd w:val="clear" w:color="auto" w:fill="auto"/>
            <w:vAlign w:val="center"/>
          </w:tcPr>
          <w:p w14:paraId="712E1F1A"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46,8</w:t>
            </w:r>
          </w:p>
        </w:tc>
        <w:tc>
          <w:tcPr>
            <w:tcW w:w="556" w:type="pct"/>
            <w:shd w:val="clear" w:color="auto" w:fill="auto"/>
            <w:vAlign w:val="center"/>
          </w:tcPr>
          <w:p w14:paraId="116C0AFB" w14:textId="77777777" w:rsidR="008800D8" w:rsidRPr="00F27A03" w:rsidRDefault="008800D8" w:rsidP="005D42AC">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44,1</w:t>
            </w:r>
          </w:p>
        </w:tc>
        <w:tc>
          <w:tcPr>
            <w:tcW w:w="556" w:type="pct"/>
            <w:shd w:val="clear" w:color="auto" w:fill="auto"/>
            <w:vAlign w:val="center"/>
          </w:tcPr>
          <w:p w14:paraId="78EDED43"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42,5</w:t>
            </w:r>
          </w:p>
        </w:tc>
        <w:tc>
          <w:tcPr>
            <w:tcW w:w="556" w:type="pct"/>
            <w:shd w:val="clear" w:color="auto" w:fill="auto"/>
            <w:vAlign w:val="center"/>
          </w:tcPr>
          <w:p w14:paraId="5AB41860"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41,0</w:t>
            </w:r>
          </w:p>
        </w:tc>
      </w:tr>
      <w:tr w:rsidR="008800D8" w:rsidRPr="00F27A03" w14:paraId="0FB8C08E" w14:textId="77777777" w:rsidTr="00A42963">
        <w:trPr>
          <w:trHeight w:val="253"/>
        </w:trPr>
        <w:tc>
          <w:tcPr>
            <w:tcW w:w="2122" w:type="pct"/>
            <w:shd w:val="clear" w:color="auto" w:fill="auto"/>
            <w:vAlign w:val="center"/>
          </w:tcPr>
          <w:p w14:paraId="1841320C" w14:textId="77777777" w:rsidR="008800D8" w:rsidRPr="00F27A03" w:rsidRDefault="008800D8" w:rsidP="00C130D2">
            <w:pPr>
              <w:spacing w:line="276" w:lineRule="auto"/>
              <w:rPr>
                <w:rFonts w:asciiTheme="minorHAnsi" w:hAnsiTheme="minorHAnsi" w:cstheme="minorHAnsi"/>
                <w:color w:val="002060"/>
                <w:sz w:val="18"/>
                <w:szCs w:val="18"/>
                <w:lang w:val="sr-Cyrl-CS"/>
              </w:rPr>
            </w:pPr>
          </w:p>
        </w:tc>
        <w:tc>
          <w:tcPr>
            <w:tcW w:w="605" w:type="pct"/>
            <w:shd w:val="clear" w:color="auto" w:fill="auto"/>
            <w:vAlign w:val="center"/>
          </w:tcPr>
          <w:p w14:paraId="1829AAE3"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p>
        </w:tc>
        <w:tc>
          <w:tcPr>
            <w:tcW w:w="605" w:type="pct"/>
            <w:shd w:val="clear" w:color="auto" w:fill="auto"/>
            <w:vAlign w:val="center"/>
          </w:tcPr>
          <w:p w14:paraId="118D869B" w14:textId="77777777" w:rsidR="008800D8" w:rsidRPr="00F27A03" w:rsidRDefault="008800D8" w:rsidP="00C130D2">
            <w:pPr>
              <w:spacing w:line="276" w:lineRule="auto"/>
              <w:jc w:val="right"/>
              <w:rPr>
                <w:rFonts w:asciiTheme="minorHAnsi" w:hAnsiTheme="minorHAnsi" w:cstheme="minorHAnsi"/>
                <w:sz w:val="18"/>
                <w:szCs w:val="18"/>
                <w:lang w:val="sr-Cyrl-CS"/>
              </w:rPr>
            </w:pPr>
          </w:p>
        </w:tc>
        <w:tc>
          <w:tcPr>
            <w:tcW w:w="556" w:type="pct"/>
            <w:shd w:val="clear" w:color="auto" w:fill="auto"/>
            <w:vAlign w:val="center"/>
          </w:tcPr>
          <w:p w14:paraId="7D71AE5D" w14:textId="77777777" w:rsidR="008800D8" w:rsidRPr="00F27A03" w:rsidRDefault="008800D8" w:rsidP="00C130D2">
            <w:pPr>
              <w:spacing w:line="276" w:lineRule="auto"/>
              <w:jc w:val="right"/>
              <w:rPr>
                <w:rFonts w:asciiTheme="minorHAnsi" w:hAnsiTheme="minorHAnsi" w:cstheme="minorHAnsi"/>
                <w:sz w:val="18"/>
                <w:szCs w:val="18"/>
                <w:lang w:val="sr-Cyrl-CS"/>
              </w:rPr>
            </w:pPr>
          </w:p>
        </w:tc>
        <w:tc>
          <w:tcPr>
            <w:tcW w:w="556" w:type="pct"/>
            <w:shd w:val="clear" w:color="auto" w:fill="auto"/>
            <w:vAlign w:val="center"/>
          </w:tcPr>
          <w:p w14:paraId="0D3B1F9F" w14:textId="77777777" w:rsidR="008800D8" w:rsidRPr="00F27A03" w:rsidRDefault="008800D8" w:rsidP="00C130D2">
            <w:pPr>
              <w:spacing w:line="276" w:lineRule="auto"/>
              <w:jc w:val="right"/>
              <w:rPr>
                <w:rFonts w:asciiTheme="minorHAnsi" w:hAnsiTheme="minorHAnsi" w:cstheme="minorHAnsi"/>
                <w:sz w:val="18"/>
                <w:szCs w:val="18"/>
                <w:lang w:val="sr-Cyrl-CS"/>
              </w:rPr>
            </w:pPr>
          </w:p>
        </w:tc>
        <w:tc>
          <w:tcPr>
            <w:tcW w:w="556" w:type="pct"/>
            <w:shd w:val="clear" w:color="auto" w:fill="auto"/>
            <w:vAlign w:val="center"/>
          </w:tcPr>
          <w:p w14:paraId="3038D7BA" w14:textId="77777777" w:rsidR="008800D8" w:rsidRPr="00F27A03" w:rsidRDefault="008800D8" w:rsidP="00C130D2">
            <w:pPr>
              <w:spacing w:line="276" w:lineRule="auto"/>
              <w:jc w:val="right"/>
              <w:rPr>
                <w:rFonts w:asciiTheme="minorHAnsi" w:hAnsiTheme="minorHAnsi" w:cstheme="minorHAnsi"/>
                <w:sz w:val="18"/>
                <w:szCs w:val="18"/>
                <w:lang w:val="sr-Cyrl-CS"/>
              </w:rPr>
            </w:pPr>
          </w:p>
        </w:tc>
      </w:tr>
      <w:tr w:rsidR="008800D8" w:rsidRPr="00F27A03" w14:paraId="3E5CFCD5" w14:textId="77777777" w:rsidTr="00A42963">
        <w:trPr>
          <w:cnfStyle w:val="000000100000" w:firstRow="0" w:lastRow="0" w:firstColumn="0" w:lastColumn="0" w:oddVBand="0" w:evenVBand="0" w:oddHBand="1" w:evenHBand="0" w:firstRowFirstColumn="0" w:firstRowLastColumn="0" w:lastRowFirstColumn="0" w:lastRowLastColumn="0"/>
          <w:trHeight w:val="253"/>
        </w:trPr>
        <w:tc>
          <w:tcPr>
            <w:tcW w:w="2122" w:type="pct"/>
            <w:shd w:val="clear" w:color="auto" w:fill="auto"/>
            <w:vAlign w:val="center"/>
          </w:tcPr>
          <w:p w14:paraId="3DBFD417" w14:textId="77777777" w:rsidR="008800D8" w:rsidRPr="00F27A03" w:rsidRDefault="008800D8" w:rsidP="00C130D2">
            <w:pPr>
              <w:spacing w:line="276" w:lineRule="auto"/>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Консолидовани фискални резултат</w:t>
            </w:r>
          </w:p>
        </w:tc>
        <w:tc>
          <w:tcPr>
            <w:tcW w:w="605" w:type="pct"/>
            <w:shd w:val="clear" w:color="auto" w:fill="auto"/>
            <w:vAlign w:val="center"/>
          </w:tcPr>
          <w:p w14:paraId="03383B4B" w14:textId="77777777" w:rsidR="008800D8" w:rsidRPr="00F27A03" w:rsidRDefault="008800D8" w:rsidP="00953528">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-4,1</w:t>
            </w:r>
          </w:p>
        </w:tc>
        <w:tc>
          <w:tcPr>
            <w:tcW w:w="605" w:type="pct"/>
            <w:shd w:val="clear" w:color="auto" w:fill="auto"/>
            <w:vAlign w:val="center"/>
          </w:tcPr>
          <w:p w14:paraId="1F4763EC" w14:textId="77777777" w:rsidR="008800D8" w:rsidRPr="00F27A03" w:rsidRDefault="008800D8" w:rsidP="00953528">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-3,8</w:t>
            </w:r>
          </w:p>
        </w:tc>
        <w:tc>
          <w:tcPr>
            <w:tcW w:w="556" w:type="pct"/>
            <w:shd w:val="clear" w:color="auto" w:fill="auto"/>
            <w:vAlign w:val="center"/>
          </w:tcPr>
          <w:p w14:paraId="10D106A4" w14:textId="77777777" w:rsidR="008800D8" w:rsidRPr="00F27A03" w:rsidRDefault="008800D8" w:rsidP="00953528">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-3,3</w:t>
            </w:r>
          </w:p>
        </w:tc>
        <w:tc>
          <w:tcPr>
            <w:tcW w:w="556" w:type="pct"/>
            <w:shd w:val="clear" w:color="auto" w:fill="auto"/>
            <w:vAlign w:val="center"/>
          </w:tcPr>
          <w:p w14:paraId="3DF88B02" w14:textId="77777777" w:rsidR="008800D8" w:rsidRPr="00F27A03" w:rsidRDefault="008800D8" w:rsidP="00953528">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-2,2</w:t>
            </w:r>
          </w:p>
        </w:tc>
        <w:tc>
          <w:tcPr>
            <w:tcW w:w="556" w:type="pct"/>
            <w:shd w:val="clear" w:color="auto" w:fill="auto"/>
            <w:vAlign w:val="center"/>
          </w:tcPr>
          <w:p w14:paraId="02F9A5DF" w14:textId="77777777" w:rsidR="008800D8" w:rsidRPr="00F27A03" w:rsidRDefault="008800D8" w:rsidP="00A42963">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-1,4</w:t>
            </w:r>
          </w:p>
        </w:tc>
      </w:tr>
      <w:tr w:rsidR="008800D8" w:rsidRPr="00F27A03" w14:paraId="433D1016" w14:textId="77777777" w:rsidTr="00A42963">
        <w:trPr>
          <w:trHeight w:val="253"/>
        </w:trPr>
        <w:tc>
          <w:tcPr>
            <w:tcW w:w="2122" w:type="pct"/>
            <w:shd w:val="clear" w:color="auto" w:fill="auto"/>
            <w:vAlign w:val="center"/>
          </w:tcPr>
          <w:p w14:paraId="105C404A" w14:textId="77777777" w:rsidR="008800D8" w:rsidRPr="00F27A03" w:rsidRDefault="008800D8" w:rsidP="00C130D2">
            <w:pPr>
              <w:spacing w:line="276" w:lineRule="auto"/>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Примарни консолидовани резултат</w:t>
            </w:r>
          </w:p>
        </w:tc>
        <w:tc>
          <w:tcPr>
            <w:tcW w:w="605" w:type="pct"/>
            <w:shd w:val="clear" w:color="auto" w:fill="auto"/>
            <w:vAlign w:val="center"/>
          </w:tcPr>
          <w:p w14:paraId="3E1B173F" w14:textId="77777777" w:rsidR="008800D8" w:rsidRPr="00F27A03" w:rsidRDefault="008800D8" w:rsidP="00953528">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-2,4</w:t>
            </w:r>
          </w:p>
        </w:tc>
        <w:tc>
          <w:tcPr>
            <w:tcW w:w="605" w:type="pct"/>
            <w:shd w:val="clear" w:color="auto" w:fill="auto"/>
            <w:vAlign w:val="center"/>
          </w:tcPr>
          <w:p w14:paraId="3057A6DA" w14:textId="77777777" w:rsidR="008800D8" w:rsidRPr="00F27A03" w:rsidRDefault="008800D8" w:rsidP="00953528">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-2,2</w:t>
            </w:r>
          </w:p>
        </w:tc>
        <w:tc>
          <w:tcPr>
            <w:tcW w:w="556" w:type="pct"/>
            <w:shd w:val="clear" w:color="auto" w:fill="auto"/>
            <w:vAlign w:val="center"/>
          </w:tcPr>
          <w:p w14:paraId="2DA8C04E" w14:textId="77777777" w:rsidR="008800D8" w:rsidRPr="00F27A03" w:rsidRDefault="008800D8" w:rsidP="00953528">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-1,5</w:t>
            </w:r>
          </w:p>
        </w:tc>
        <w:tc>
          <w:tcPr>
            <w:tcW w:w="556" w:type="pct"/>
            <w:shd w:val="clear" w:color="auto" w:fill="auto"/>
            <w:vAlign w:val="center"/>
          </w:tcPr>
          <w:p w14:paraId="3DE63246"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-0,1</w:t>
            </w:r>
          </w:p>
        </w:tc>
        <w:tc>
          <w:tcPr>
            <w:tcW w:w="556" w:type="pct"/>
            <w:shd w:val="clear" w:color="auto" w:fill="auto"/>
            <w:vAlign w:val="center"/>
          </w:tcPr>
          <w:p w14:paraId="43237B46" w14:textId="77777777" w:rsidR="008800D8" w:rsidRPr="00F27A03" w:rsidRDefault="008800D8" w:rsidP="00C130D2">
            <w:pPr>
              <w:spacing w:line="276" w:lineRule="auto"/>
              <w:jc w:val="right"/>
              <w:rPr>
                <w:rFonts w:asciiTheme="minorHAnsi" w:hAnsiTheme="minorHAnsi" w:cstheme="minorHAnsi"/>
                <w:color w:val="1F3864" w:themeColor="accent1" w:themeShade="80"/>
                <w:sz w:val="18"/>
                <w:szCs w:val="18"/>
                <w:lang w:val="sr-Cyrl-CS"/>
              </w:rPr>
            </w:pPr>
            <w:r w:rsidRPr="00F27A03">
              <w:rPr>
                <w:rFonts w:asciiTheme="minorHAnsi" w:hAnsiTheme="minorHAnsi" w:cstheme="minorHAnsi"/>
                <w:color w:val="1F3864" w:themeColor="accent1" w:themeShade="80"/>
                <w:sz w:val="18"/>
                <w:szCs w:val="18"/>
                <w:lang w:val="sr-Cyrl-CS"/>
              </w:rPr>
              <w:t>0,5</w:t>
            </w:r>
          </w:p>
        </w:tc>
      </w:tr>
      <w:tr w:rsidR="008800D8" w:rsidRPr="00F27A03" w14:paraId="4B6678FE" w14:textId="77777777" w:rsidTr="00A42963">
        <w:trPr>
          <w:cnfStyle w:val="000000100000" w:firstRow="0" w:lastRow="0" w:firstColumn="0" w:lastColumn="0" w:oddVBand="0" w:evenVBand="0" w:oddHBand="1" w:evenHBand="0" w:firstRowFirstColumn="0" w:firstRowLastColumn="0" w:lastRowFirstColumn="0" w:lastRowLastColumn="0"/>
          <w:trHeight w:val="253"/>
        </w:trPr>
        <w:tc>
          <w:tcPr>
            <w:tcW w:w="2122" w:type="pct"/>
            <w:shd w:val="clear" w:color="auto" w:fill="auto"/>
            <w:vAlign w:val="center"/>
          </w:tcPr>
          <w:p w14:paraId="189EE5CD" w14:textId="77777777" w:rsidR="008800D8" w:rsidRPr="00F27A03" w:rsidRDefault="008800D8" w:rsidP="00C130D2">
            <w:pPr>
              <w:spacing w:line="276" w:lineRule="auto"/>
              <w:rPr>
                <w:rFonts w:asciiTheme="minorHAnsi" w:hAnsiTheme="minorHAnsi" w:cstheme="minorHAnsi"/>
                <w:color w:val="002060"/>
                <w:sz w:val="18"/>
                <w:szCs w:val="18"/>
                <w:lang w:val="sr-Cyrl-CS"/>
              </w:rPr>
            </w:pPr>
          </w:p>
        </w:tc>
        <w:tc>
          <w:tcPr>
            <w:tcW w:w="605" w:type="pct"/>
            <w:shd w:val="clear" w:color="auto" w:fill="auto"/>
            <w:vAlign w:val="center"/>
          </w:tcPr>
          <w:p w14:paraId="22E299BB"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p>
        </w:tc>
        <w:tc>
          <w:tcPr>
            <w:tcW w:w="605" w:type="pct"/>
            <w:shd w:val="clear" w:color="auto" w:fill="auto"/>
            <w:vAlign w:val="center"/>
          </w:tcPr>
          <w:p w14:paraId="6A304D82"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5A1A655E"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41AFABA1"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0B580939"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p>
        </w:tc>
      </w:tr>
      <w:tr w:rsidR="008800D8" w:rsidRPr="00F27A03" w14:paraId="5846FD9C" w14:textId="77777777" w:rsidTr="00A42963">
        <w:trPr>
          <w:trHeight w:val="253"/>
        </w:trPr>
        <w:tc>
          <w:tcPr>
            <w:tcW w:w="2122" w:type="pct"/>
            <w:shd w:val="clear" w:color="auto" w:fill="auto"/>
            <w:vAlign w:val="center"/>
          </w:tcPr>
          <w:p w14:paraId="353C8556" w14:textId="77777777" w:rsidR="008800D8" w:rsidRPr="00F27A03" w:rsidRDefault="008800D8" w:rsidP="00C130D2">
            <w:pPr>
              <w:spacing w:line="276" w:lineRule="auto"/>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Дуг опште државе</w:t>
            </w:r>
          </w:p>
        </w:tc>
        <w:tc>
          <w:tcPr>
            <w:tcW w:w="605" w:type="pct"/>
            <w:shd w:val="clear" w:color="auto" w:fill="auto"/>
            <w:vAlign w:val="center"/>
          </w:tcPr>
          <w:p w14:paraId="6DD3FEA5"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57,1</w:t>
            </w:r>
          </w:p>
        </w:tc>
        <w:tc>
          <w:tcPr>
            <w:tcW w:w="605" w:type="pct"/>
            <w:shd w:val="clear" w:color="auto" w:fill="auto"/>
            <w:vAlign w:val="center"/>
          </w:tcPr>
          <w:p w14:paraId="78DCE7F0"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56,9</w:t>
            </w:r>
          </w:p>
        </w:tc>
        <w:tc>
          <w:tcPr>
            <w:tcW w:w="556" w:type="pct"/>
            <w:shd w:val="clear" w:color="auto" w:fill="auto"/>
            <w:vAlign w:val="center"/>
          </w:tcPr>
          <w:p w14:paraId="4DBAE6E3" w14:textId="77777777" w:rsidR="008800D8" w:rsidRPr="00F27A03" w:rsidRDefault="008800D8" w:rsidP="005D42AC">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56,1</w:t>
            </w:r>
          </w:p>
        </w:tc>
        <w:tc>
          <w:tcPr>
            <w:tcW w:w="556" w:type="pct"/>
            <w:shd w:val="clear" w:color="auto" w:fill="auto"/>
            <w:vAlign w:val="center"/>
          </w:tcPr>
          <w:p w14:paraId="16386051"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55,1</w:t>
            </w:r>
          </w:p>
        </w:tc>
        <w:tc>
          <w:tcPr>
            <w:tcW w:w="556" w:type="pct"/>
            <w:shd w:val="clear" w:color="auto" w:fill="auto"/>
            <w:vAlign w:val="center"/>
          </w:tcPr>
          <w:p w14:paraId="0BD3D2B4" w14:textId="77777777" w:rsidR="008800D8" w:rsidRPr="00F27A03" w:rsidRDefault="008800D8" w:rsidP="00953528">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54,0</w:t>
            </w:r>
          </w:p>
        </w:tc>
      </w:tr>
      <w:tr w:rsidR="008800D8" w:rsidRPr="00F27A03" w14:paraId="5E73BAB2" w14:textId="77777777" w:rsidTr="00A42963">
        <w:trPr>
          <w:cnfStyle w:val="000000100000" w:firstRow="0" w:lastRow="0" w:firstColumn="0" w:lastColumn="0" w:oddVBand="0" w:evenVBand="0" w:oddHBand="1" w:evenHBand="0" w:firstRowFirstColumn="0" w:firstRowLastColumn="0" w:lastRowFirstColumn="0" w:lastRowLastColumn="0"/>
          <w:trHeight w:val="253"/>
        </w:trPr>
        <w:tc>
          <w:tcPr>
            <w:tcW w:w="2122" w:type="pct"/>
            <w:tcBorders>
              <w:bottom w:val="single" w:sz="4" w:space="0" w:color="002060"/>
            </w:tcBorders>
            <w:shd w:val="clear" w:color="auto" w:fill="auto"/>
            <w:vAlign w:val="center"/>
          </w:tcPr>
          <w:p w14:paraId="367C28AF" w14:textId="77777777" w:rsidR="008800D8" w:rsidRPr="00F27A03" w:rsidRDefault="008800D8" w:rsidP="00C130D2">
            <w:pPr>
              <w:spacing w:line="276" w:lineRule="auto"/>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Реална стопа раста БДП</w:t>
            </w:r>
          </w:p>
        </w:tc>
        <w:tc>
          <w:tcPr>
            <w:tcW w:w="605" w:type="pct"/>
            <w:tcBorders>
              <w:bottom w:val="single" w:sz="4" w:space="0" w:color="002060"/>
            </w:tcBorders>
            <w:shd w:val="clear" w:color="auto" w:fill="auto"/>
            <w:vAlign w:val="center"/>
          </w:tcPr>
          <w:p w14:paraId="54318156" w14:textId="77777777" w:rsidR="008800D8" w:rsidRPr="00F27A03" w:rsidRDefault="008800D8" w:rsidP="00953528">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7,4%</w:t>
            </w:r>
          </w:p>
        </w:tc>
        <w:tc>
          <w:tcPr>
            <w:tcW w:w="605" w:type="pct"/>
            <w:tcBorders>
              <w:bottom w:val="single" w:sz="4" w:space="0" w:color="002060"/>
            </w:tcBorders>
            <w:shd w:val="clear" w:color="auto" w:fill="auto"/>
            <w:vAlign w:val="center"/>
          </w:tcPr>
          <w:p w14:paraId="0A3BB030" w14:textId="77777777" w:rsidR="008800D8" w:rsidRPr="00F27A03" w:rsidRDefault="008800D8" w:rsidP="005D42AC">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2,5%</w:t>
            </w:r>
          </w:p>
        </w:tc>
        <w:tc>
          <w:tcPr>
            <w:tcW w:w="556" w:type="pct"/>
            <w:tcBorders>
              <w:bottom w:val="single" w:sz="4" w:space="0" w:color="002060"/>
            </w:tcBorders>
            <w:shd w:val="clear" w:color="auto" w:fill="auto"/>
            <w:vAlign w:val="center"/>
          </w:tcPr>
          <w:p w14:paraId="2EE2E327"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2,5%</w:t>
            </w:r>
          </w:p>
        </w:tc>
        <w:tc>
          <w:tcPr>
            <w:tcW w:w="556" w:type="pct"/>
            <w:tcBorders>
              <w:bottom w:val="single" w:sz="4" w:space="0" w:color="002060"/>
            </w:tcBorders>
            <w:shd w:val="clear" w:color="auto" w:fill="auto"/>
            <w:vAlign w:val="center"/>
          </w:tcPr>
          <w:p w14:paraId="51310E1B"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3,5%</w:t>
            </w:r>
          </w:p>
        </w:tc>
        <w:tc>
          <w:tcPr>
            <w:tcW w:w="556" w:type="pct"/>
            <w:tcBorders>
              <w:bottom w:val="single" w:sz="4" w:space="0" w:color="002060"/>
            </w:tcBorders>
            <w:shd w:val="clear" w:color="auto" w:fill="auto"/>
            <w:vAlign w:val="center"/>
          </w:tcPr>
          <w:p w14:paraId="61F711D3" w14:textId="77777777" w:rsidR="008800D8" w:rsidRPr="00F27A03" w:rsidRDefault="008800D8" w:rsidP="00C130D2">
            <w:pPr>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r>
    </w:tbl>
    <w:p w14:paraId="18CE1FD9" w14:textId="77777777" w:rsidR="008800D8" w:rsidRPr="00F27A03" w:rsidRDefault="008800D8" w:rsidP="00277F83">
      <w:pPr>
        <w:spacing w:before="40" w:after="240" w:line="276" w:lineRule="auto"/>
        <w:rPr>
          <w:rFonts w:cstheme="minorHAnsi"/>
          <w:sz w:val="16"/>
          <w:szCs w:val="20"/>
          <w:lang w:val="sr-Cyrl-CS"/>
        </w:rPr>
      </w:pPr>
      <w:r w:rsidRPr="00F27A03">
        <w:rPr>
          <w:rFonts w:eastAsia="Calibri" w:cstheme="minorHAnsi"/>
          <w:bCs/>
          <w:sz w:val="16"/>
          <w:szCs w:val="20"/>
          <w:lang w:val="sr-Cyrl-CS" w:eastAsia="ja-JP"/>
        </w:rPr>
        <w:t xml:space="preserve">Извор: </w:t>
      </w:r>
      <w:r w:rsidRPr="00F27A03">
        <w:rPr>
          <w:rFonts w:cstheme="minorHAnsi"/>
          <w:sz w:val="16"/>
          <w:szCs w:val="20"/>
          <w:lang w:val="sr-Cyrl-CS"/>
        </w:rPr>
        <w:t>Министарство финансија</w:t>
      </w:r>
    </w:p>
    <w:p w14:paraId="36A891DD" w14:textId="77777777" w:rsidR="008800D8" w:rsidRPr="00F27A03" w:rsidRDefault="008800D8" w:rsidP="00277F83">
      <w:pPr>
        <w:spacing w:before="40" w:after="240" w:line="276" w:lineRule="auto"/>
        <w:rPr>
          <w:rFonts w:eastAsia="MS PGothic" w:cstheme="minorHAnsi"/>
          <w:szCs w:val="20"/>
          <w:lang w:val="sr-Cyrl-CS" w:eastAsia="ja-JP"/>
        </w:rPr>
        <w:sectPr w:rsidR="008800D8" w:rsidRPr="00F27A03" w:rsidSect="00A42963">
          <w:type w:val="continuous"/>
          <w:pgSz w:w="12240" w:h="15840" w:code="1"/>
          <w:pgMar w:top="1440" w:right="1440" w:bottom="1440" w:left="1440" w:header="720" w:footer="720" w:gutter="0"/>
          <w:cols w:space="720"/>
          <w:docGrid w:linePitch="360"/>
        </w:sectPr>
      </w:pPr>
    </w:p>
    <w:p w14:paraId="7BF09071" w14:textId="77777777" w:rsidR="008800D8" w:rsidRPr="00F27A03" w:rsidRDefault="008800D8" w:rsidP="00953528">
      <w:pPr>
        <w:spacing w:before="40" w:after="120" w:line="276" w:lineRule="auto"/>
        <w:rPr>
          <w:rFonts w:cstheme="minorHAnsi"/>
          <w:lang w:val="sr-Cyrl-CS"/>
        </w:rPr>
      </w:pPr>
      <w:r w:rsidRPr="00F27A03">
        <w:rPr>
          <w:rFonts w:eastAsia="MS PGothic" w:cstheme="minorHAnsi"/>
          <w:szCs w:val="20"/>
          <w:lang w:val="sr-Cyrl-CS" w:eastAsia="ja-JP"/>
        </w:rPr>
        <w:t>Циљеви фискалне политике у наредном средњорочном периоду биће обезбеђење стабилне позиције јавних финансија и опадајућа путања јавног дуга. Смањење</w:t>
      </w:r>
      <w:r w:rsidRPr="00F27A03">
        <w:rPr>
          <w:rFonts w:cstheme="minorHAnsi"/>
          <w:lang w:val="sr-Cyrl-CS"/>
        </w:rPr>
        <w:t xml:space="preserve"> учешћа дуга је уско везано за снижавање дефицита као главног фактора задуживања, тако да динамика спуштања дефицита опредељује и промену кретања дуга. Растући трошкови задуживања на међународном финансијском тржишту такође захтевају опрез и рестриктивност фискалне политике.</w:t>
      </w:r>
    </w:p>
    <w:p w14:paraId="56E231FD" w14:textId="77777777" w:rsidR="008800D8" w:rsidRPr="00F27A03" w:rsidRDefault="008800D8" w:rsidP="001D5B47">
      <w:pPr>
        <w:jc w:val="center"/>
        <w:rPr>
          <w:rFonts w:cstheme="minorHAnsi"/>
          <w:b/>
          <w:color w:val="002060"/>
          <w:lang w:val="sr-Cyrl-CS"/>
        </w:rPr>
      </w:pPr>
      <w:r w:rsidRPr="00F27A03">
        <w:rPr>
          <w:rFonts w:cstheme="minorHAnsi"/>
          <w:b/>
          <w:color w:val="002060"/>
          <w:lang w:val="sr-Cyrl-CS"/>
        </w:rPr>
        <w:br w:type="column"/>
      </w:r>
      <w:r w:rsidRPr="00F27A03">
        <w:rPr>
          <w:rFonts w:cstheme="minorHAnsi"/>
          <w:b/>
          <w:color w:val="002060"/>
          <w:lang w:val="sr-Cyrl-CS"/>
        </w:rPr>
        <w:t>Фискални резултат и дуг опште државе, % БДП</w:t>
      </w:r>
    </w:p>
    <w:p w14:paraId="3EA4A953" w14:textId="77777777" w:rsidR="008800D8" w:rsidRPr="00F27A03" w:rsidRDefault="008800D8" w:rsidP="003D6556">
      <w:pPr>
        <w:spacing w:line="276" w:lineRule="auto"/>
        <w:jc w:val="right"/>
        <w:rPr>
          <w:rFonts w:cstheme="minorHAnsi"/>
          <w:lang w:val="sr-Cyrl-CS"/>
        </w:rPr>
      </w:pPr>
      <w:r w:rsidRPr="00F27A03">
        <w:rPr>
          <w:noProof/>
          <w:lang w:val="sr-Cyrl-RS" w:eastAsia="sr-Cyrl-RS"/>
        </w:rPr>
        <w:drawing>
          <wp:inline distT="0" distB="0" distL="0" distR="0" wp14:anchorId="61050EC5" wp14:editId="14455C36">
            <wp:extent cx="2667000" cy="2047875"/>
            <wp:effectExtent l="0" t="0" r="0" b="0"/>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4E00BD01" w14:textId="0AC40776" w:rsidR="008800D8" w:rsidRPr="00F27A03" w:rsidRDefault="008800D8" w:rsidP="00953528">
      <w:pPr>
        <w:rPr>
          <w:rFonts w:eastAsia="Times New Roman" w:cstheme="minorHAnsi"/>
          <w:b/>
          <w:bCs/>
          <w:szCs w:val="20"/>
          <w:lang w:val="sr-Cyrl-CS" w:eastAsia="ja-JP"/>
        </w:rPr>
      </w:pPr>
      <w:r w:rsidRPr="00F27A03">
        <w:rPr>
          <w:rFonts w:eastAsia="MS PGothic" w:cstheme="minorHAnsi"/>
          <w:szCs w:val="20"/>
          <w:lang w:val="sr-Cyrl-CS" w:eastAsia="ja-JP"/>
        </w:rPr>
        <w:lastRenderedPageBreak/>
        <w:t>Експанзивна фискална политика током 2020. и 2021. године умањила је негативне економске последице пандемије. У наредном средњорочном периоду предвиђено је умерено смањење дефицита опште државе како би се путем фискалне политике обезбедила потребна флексибилност националне економије како б</w:t>
      </w:r>
      <w:r w:rsidR="00AA4291">
        <w:rPr>
          <w:rFonts w:eastAsia="MS PGothic" w:cstheme="minorHAnsi"/>
          <w:szCs w:val="20"/>
          <w:lang w:val="sr-Cyrl-CS" w:eastAsia="ja-JP"/>
        </w:rPr>
        <w:t>и се правовремено и ефикасно од</w:t>
      </w:r>
      <w:r w:rsidRPr="00F27A03">
        <w:rPr>
          <w:rFonts w:eastAsia="MS PGothic" w:cstheme="minorHAnsi"/>
          <w:szCs w:val="20"/>
          <w:lang w:val="sr-Cyrl-CS" w:eastAsia="ja-JP"/>
        </w:rPr>
        <w:t xml:space="preserve">говорило на евентуалне екстерне шокове. То се, </w:t>
      </w:r>
      <w:r w:rsidRPr="00F27A03">
        <w:rPr>
          <w:rFonts w:eastAsia="Calibri" w:cstheme="minorHAnsi"/>
          <w:szCs w:val="20"/>
          <w:lang w:val="sr-Cyrl-CS" w:eastAsia="ja-JP"/>
        </w:rPr>
        <w:t xml:space="preserve">пре свега, односи на расходну страну, у виду повећања средстава намењених за енергетску политику, али и даље високо улагање у инфраструктуру. На приходној страни приоритет ће остати даље </w:t>
      </w:r>
      <w:r w:rsidRPr="00F27A03">
        <w:rPr>
          <w:rFonts w:eastAsia="Calibri" w:cstheme="minorHAnsi"/>
          <w:szCs w:val="20"/>
          <w:lang w:val="sr-Cyrl-CS" w:eastAsia="ja-JP"/>
        </w:rPr>
        <w:t>смањење пореског оптерећења зарада и наставак борбе против пореске евазије и сиве економије.</w:t>
      </w:r>
    </w:p>
    <w:p w14:paraId="0D5F9FC4" w14:textId="77777777" w:rsidR="008800D8" w:rsidRPr="00F27A03" w:rsidRDefault="008800D8" w:rsidP="00953528">
      <w:pPr>
        <w:keepNext/>
        <w:spacing w:after="80"/>
        <w:rPr>
          <w:rFonts w:eastAsia="MS PGothic" w:cstheme="minorHAnsi"/>
          <w:szCs w:val="20"/>
          <w:lang w:val="sr-Cyrl-CS" w:eastAsia="ja-JP"/>
        </w:rPr>
      </w:pPr>
      <w:r w:rsidRPr="00F27A03">
        <w:rPr>
          <w:rFonts w:eastAsia="MS PGothic" w:cstheme="minorHAnsi"/>
          <w:szCs w:val="20"/>
          <w:lang w:val="sr-Cyrl-CS" w:eastAsia="ja-JP"/>
        </w:rPr>
        <w:t>Пројекција прихода у периоду од 2023. до 2025. године израђена је на основу:</w:t>
      </w:r>
    </w:p>
    <w:p w14:paraId="2880D1DC" w14:textId="77777777" w:rsidR="008800D8" w:rsidRPr="00F27A03" w:rsidRDefault="008800D8" w:rsidP="00DB0157">
      <w:pPr>
        <w:numPr>
          <w:ilvl w:val="0"/>
          <w:numId w:val="1"/>
        </w:numPr>
        <w:ind w:left="181" w:hanging="181"/>
        <w:contextualSpacing/>
        <w:rPr>
          <w:rFonts w:eastAsia="Calibri" w:cstheme="minorHAnsi"/>
          <w:lang w:val="sr-Cyrl-CS"/>
        </w:rPr>
      </w:pPr>
      <w:r w:rsidRPr="00F27A03">
        <w:rPr>
          <w:rFonts w:eastAsia="Calibri" w:cstheme="minorHAnsi"/>
          <w:lang w:val="sr-Cyrl-CS"/>
        </w:rPr>
        <w:t>пројекције кретања најважнијих макроекономских показатеља: БДП и његових компоненти, инфлације, девизног курса, спољнотрговинске размене, запослености и зарада;</w:t>
      </w:r>
    </w:p>
    <w:p w14:paraId="70FFAC7A" w14:textId="77777777" w:rsidR="008800D8" w:rsidRPr="00F27A03" w:rsidRDefault="008800D8" w:rsidP="00DB0157">
      <w:pPr>
        <w:numPr>
          <w:ilvl w:val="0"/>
          <w:numId w:val="1"/>
        </w:numPr>
        <w:ind w:left="181" w:hanging="181"/>
        <w:contextualSpacing/>
        <w:rPr>
          <w:rFonts w:eastAsia="Calibri" w:cstheme="minorHAnsi"/>
          <w:lang w:val="sr-Cyrl-CS"/>
        </w:rPr>
      </w:pPr>
      <w:r w:rsidRPr="00F27A03">
        <w:rPr>
          <w:rFonts w:eastAsia="Calibri" w:cstheme="minorHAnsi"/>
          <w:lang w:val="sr-Cyrl-CS"/>
        </w:rPr>
        <w:t>важеће и планиране измене пореске политике;</w:t>
      </w:r>
    </w:p>
    <w:p w14:paraId="1B88B012" w14:textId="77777777" w:rsidR="008800D8" w:rsidRPr="00F27A03" w:rsidRDefault="008800D8" w:rsidP="006F4520">
      <w:pPr>
        <w:numPr>
          <w:ilvl w:val="0"/>
          <w:numId w:val="1"/>
        </w:numPr>
        <w:spacing w:after="240"/>
        <w:ind w:left="181" w:hanging="181"/>
        <w:rPr>
          <w:rFonts w:eastAsia="Calibri" w:cstheme="minorHAnsi"/>
          <w:lang w:val="sr-Cyrl-CS"/>
        </w:rPr>
      </w:pPr>
      <w:r w:rsidRPr="00F27A03">
        <w:rPr>
          <w:rFonts w:eastAsia="Calibri" w:cstheme="minorHAnsi"/>
          <w:lang w:val="sr-Cyrl-CS"/>
        </w:rPr>
        <w:t>процењених ефеката фискалних и структурних мера у наредном периоду.</w:t>
      </w:r>
    </w:p>
    <w:p w14:paraId="65D75DCE" w14:textId="77777777" w:rsidR="008800D8" w:rsidRPr="00F27A03" w:rsidRDefault="008800D8" w:rsidP="00451097">
      <w:pPr>
        <w:spacing w:before="240" w:after="120" w:line="276" w:lineRule="auto"/>
        <w:jc w:val="center"/>
        <w:rPr>
          <w:rFonts w:eastAsia="MS PGothic" w:cstheme="minorHAnsi"/>
          <w:b/>
          <w:color w:val="002060"/>
          <w:szCs w:val="20"/>
          <w:lang w:val="sr-Cyrl-CS" w:eastAsia="ja-JP"/>
        </w:rPr>
        <w:sectPr w:rsidR="008800D8" w:rsidRPr="00F27A03" w:rsidSect="00A42963">
          <w:type w:val="continuous"/>
          <w:pgSz w:w="12240" w:h="15840" w:code="1"/>
          <w:pgMar w:top="1440" w:right="1440" w:bottom="1440" w:left="1440" w:header="720" w:footer="720" w:gutter="0"/>
          <w:cols w:num="2" w:space="720"/>
          <w:docGrid w:linePitch="360"/>
        </w:sectPr>
      </w:pPr>
    </w:p>
    <w:p w14:paraId="12369BAE" w14:textId="528873BE" w:rsidR="008800D8" w:rsidRPr="00F27A03" w:rsidRDefault="008800D8" w:rsidP="00A42963">
      <w:pPr>
        <w:spacing w:before="120" w:after="120" w:line="276" w:lineRule="auto"/>
        <w:jc w:val="center"/>
        <w:rPr>
          <w:rFonts w:eastAsia="MS PGothic" w:cstheme="minorHAnsi"/>
          <w:b/>
          <w:color w:val="002060"/>
          <w:szCs w:val="20"/>
          <w:lang w:val="sr-Cyrl-CS" w:eastAsia="ja-JP"/>
        </w:rPr>
      </w:pPr>
      <w:r w:rsidRPr="00F27A03">
        <w:rPr>
          <w:rFonts w:eastAsia="MS PGothic" w:cstheme="minorHAnsi"/>
          <w:b/>
          <w:color w:val="002060"/>
          <w:szCs w:val="20"/>
          <w:lang w:val="sr-Cyrl-CS" w:eastAsia="ja-JP"/>
        </w:rPr>
        <w:t xml:space="preserve">Табела </w:t>
      </w:r>
      <w:r w:rsidR="00524F94" w:rsidRPr="00F27A03">
        <w:rPr>
          <w:rFonts w:eastAsia="MS PGothic" w:cstheme="minorHAnsi"/>
          <w:b/>
          <w:color w:val="002060"/>
          <w:szCs w:val="20"/>
          <w:lang w:val="sr-Cyrl-CS" w:eastAsia="ja-JP"/>
        </w:rPr>
        <w:t>9</w:t>
      </w:r>
      <w:r w:rsidRPr="00F27A03">
        <w:rPr>
          <w:rFonts w:eastAsia="MS PGothic" w:cstheme="minorHAnsi"/>
          <w:b/>
          <w:color w:val="002060"/>
          <w:szCs w:val="20"/>
          <w:lang w:val="sr-Cyrl-CS" w:eastAsia="ja-JP"/>
        </w:rPr>
        <w:t>. Укупни приходи и донације у периоду 2021–2025. године, % БДП</w:t>
      </w:r>
    </w:p>
    <w:tbl>
      <w:tblPr>
        <w:tblStyle w:val="LightShading-Accent1211"/>
        <w:tblW w:w="5000" w:type="pct"/>
        <w:tblBorders>
          <w:top w:val="none" w:sz="0" w:space="0" w:color="auto"/>
          <w:bottom w:val="none" w:sz="0" w:space="0" w:color="auto"/>
        </w:tblBorders>
        <w:tblLook w:val="0420" w:firstRow="1" w:lastRow="0" w:firstColumn="0" w:lastColumn="0" w:noHBand="0" w:noVBand="1"/>
      </w:tblPr>
      <w:tblGrid>
        <w:gridCol w:w="3824"/>
        <w:gridCol w:w="1133"/>
        <w:gridCol w:w="1134"/>
        <w:gridCol w:w="1088"/>
        <w:gridCol w:w="1090"/>
        <w:gridCol w:w="1091"/>
      </w:tblGrid>
      <w:tr w:rsidR="008800D8" w:rsidRPr="00F27A03" w14:paraId="74429E91" w14:textId="77777777" w:rsidTr="00953528">
        <w:trPr>
          <w:cnfStyle w:val="100000000000" w:firstRow="1" w:lastRow="0" w:firstColumn="0" w:lastColumn="0" w:oddVBand="0" w:evenVBand="0" w:oddHBand="0" w:evenHBand="0" w:firstRowFirstColumn="0" w:firstRowLastColumn="0" w:lastRowFirstColumn="0" w:lastRowLastColumn="0"/>
          <w:trHeight w:val="253"/>
        </w:trPr>
        <w:tc>
          <w:tcPr>
            <w:tcW w:w="2043" w:type="pct"/>
            <w:tcBorders>
              <w:top w:val="single" w:sz="4" w:space="0" w:color="002060"/>
              <w:bottom w:val="single" w:sz="4" w:space="0" w:color="002060"/>
            </w:tcBorders>
            <w:noWrap/>
            <w:vAlign w:val="center"/>
          </w:tcPr>
          <w:p w14:paraId="53FF0EA4" w14:textId="77777777" w:rsidR="008800D8" w:rsidRPr="00F27A03" w:rsidRDefault="008800D8" w:rsidP="00C130D2">
            <w:pPr>
              <w:keepLines/>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CS"/>
              </w:rPr>
            </w:pPr>
            <w:r w:rsidRPr="00F27A03">
              <w:rPr>
                <w:rFonts w:asciiTheme="minorHAnsi" w:hAnsiTheme="minorHAnsi" w:cstheme="minorHAnsi"/>
                <w:b w:val="0"/>
                <w:color w:val="002060"/>
                <w:sz w:val="18"/>
                <w:lang w:val="sr-Cyrl-CS"/>
              </w:rPr>
              <w:t>Опис</w:t>
            </w:r>
          </w:p>
        </w:tc>
        <w:tc>
          <w:tcPr>
            <w:tcW w:w="605" w:type="pct"/>
            <w:tcBorders>
              <w:top w:val="single" w:sz="4" w:space="0" w:color="002060"/>
              <w:bottom w:val="single" w:sz="4" w:space="0" w:color="002060"/>
            </w:tcBorders>
            <w:vAlign w:val="center"/>
          </w:tcPr>
          <w:p w14:paraId="7AE19EC3" w14:textId="77777777" w:rsidR="008800D8" w:rsidRPr="00F27A03" w:rsidRDefault="008800D8"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F27A03">
              <w:rPr>
                <w:rFonts w:asciiTheme="minorHAnsi" w:hAnsiTheme="minorHAnsi" w:cstheme="minorHAnsi"/>
                <w:b w:val="0"/>
                <w:color w:val="002060"/>
                <w:sz w:val="18"/>
                <w:lang w:val="sr-Cyrl-CS"/>
              </w:rPr>
              <w:t>Извршење</w:t>
            </w:r>
          </w:p>
        </w:tc>
        <w:tc>
          <w:tcPr>
            <w:tcW w:w="606" w:type="pct"/>
            <w:tcBorders>
              <w:top w:val="single" w:sz="4" w:space="0" w:color="002060"/>
              <w:bottom w:val="single" w:sz="4" w:space="0" w:color="002060"/>
            </w:tcBorders>
            <w:vAlign w:val="center"/>
          </w:tcPr>
          <w:p w14:paraId="3C94A257" w14:textId="77777777" w:rsidR="008800D8" w:rsidRPr="00F27A03" w:rsidRDefault="008800D8"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F27A03">
              <w:rPr>
                <w:rFonts w:asciiTheme="minorHAnsi" w:hAnsiTheme="minorHAnsi" w:cstheme="minorHAnsi"/>
                <w:b w:val="0"/>
                <w:color w:val="002060"/>
                <w:sz w:val="18"/>
                <w:lang w:val="sr-Cyrl-CS"/>
              </w:rPr>
              <w:t>Процена</w:t>
            </w:r>
          </w:p>
        </w:tc>
        <w:tc>
          <w:tcPr>
            <w:tcW w:w="1746" w:type="pct"/>
            <w:gridSpan w:val="3"/>
            <w:tcBorders>
              <w:top w:val="single" w:sz="4" w:space="0" w:color="002060"/>
              <w:bottom w:val="single" w:sz="4" w:space="0" w:color="002060"/>
            </w:tcBorders>
            <w:vAlign w:val="center"/>
          </w:tcPr>
          <w:p w14:paraId="2D24B50E" w14:textId="77777777" w:rsidR="008800D8" w:rsidRPr="00F27A03" w:rsidRDefault="008800D8" w:rsidP="001940DA">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CS"/>
              </w:rPr>
            </w:pPr>
            <w:r w:rsidRPr="00F27A03">
              <w:rPr>
                <w:rFonts w:asciiTheme="minorHAnsi" w:hAnsiTheme="minorHAnsi" w:cstheme="minorHAnsi"/>
                <w:b w:val="0"/>
                <w:color w:val="002060"/>
                <w:sz w:val="18"/>
                <w:lang w:val="sr-Cyrl-CS"/>
              </w:rPr>
              <w:t>Пројекција</w:t>
            </w:r>
          </w:p>
        </w:tc>
      </w:tr>
      <w:tr w:rsidR="008800D8" w:rsidRPr="00F27A03" w14:paraId="0AA83C90"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tcBorders>
              <w:top w:val="single" w:sz="4" w:space="0" w:color="002060"/>
            </w:tcBorders>
            <w:shd w:val="clear" w:color="auto" w:fill="FFFFFF" w:themeFill="background1"/>
            <w:noWrap/>
          </w:tcPr>
          <w:p w14:paraId="3ACA21A1" w14:textId="77777777" w:rsidR="008800D8" w:rsidRPr="00F27A03" w:rsidRDefault="008800D8"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p>
        </w:tc>
        <w:tc>
          <w:tcPr>
            <w:tcW w:w="605" w:type="pct"/>
            <w:tcBorders>
              <w:top w:val="single" w:sz="4" w:space="0" w:color="002060"/>
              <w:bottom w:val="single" w:sz="4" w:space="0" w:color="002060"/>
            </w:tcBorders>
            <w:shd w:val="clear" w:color="auto" w:fill="FFFFFF" w:themeFill="background1"/>
          </w:tcPr>
          <w:p w14:paraId="7778E830" w14:textId="77777777" w:rsidR="008800D8" w:rsidRPr="00F27A03" w:rsidRDefault="008800D8" w:rsidP="005D42AC">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2021</w:t>
            </w:r>
          </w:p>
        </w:tc>
        <w:tc>
          <w:tcPr>
            <w:tcW w:w="606" w:type="pct"/>
            <w:tcBorders>
              <w:top w:val="single" w:sz="4" w:space="0" w:color="002060"/>
              <w:bottom w:val="single" w:sz="4" w:space="0" w:color="002060"/>
            </w:tcBorders>
            <w:shd w:val="clear" w:color="auto" w:fill="FFFFFF" w:themeFill="background1"/>
          </w:tcPr>
          <w:p w14:paraId="74707D4F" w14:textId="77777777" w:rsidR="008800D8" w:rsidRPr="00F27A03" w:rsidRDefault="008800D8"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2022</w:t>
            </w:r>
          </w:p>
        </w:tc>
        <w:tc>
          <w:tcPr>
            <w:tcW w:w="581" w:type="pct"/>
            <w:tcBorders>
              <w:top w:val="single" w:sz="4" w:space="0" w:color="002060"/>
              <w:bottom w:val="single" w:sz="4" w:space="0" w:color="002060"/>
            </w:tcBorders>
            <w:shd w:val="clear" w:color="auto" w:fill="FFFFFF" w:themeFill="background1"/>
          </w:tcPr>
          <w:p w14:paraId="1A8433EA" w14:textId="77777777" w:rsidR="008800D8" w:rsidRPr="00F27A03" w:rsidRDefault="008800D8"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2023</w:t>
            </w:r>
          </w:p>
        </w:tc>
        <w:tc>
          <w:tcPr>
            <w:tcW w:w="582" w:type="pct"/>
            <w:tcBorders>
              <w:top w:val="single" w:sz="4" w:space="0" w:color="002060"/>
              <w:bottom w:val="single" w:sz="4" w:space="0" w:color="002060"/>
            </w:tcBorders>
            <w:shd w:val="clear" w:color="auto" w:fill="FFFFFF" w:themeFill="background1"/>
          </w:tcPr>
          <w:p w14:paraId="5CC8675B" w14:textId="77777777" w:rsidR="008800D8" w:rsidRPr="00F27A03" w:rsidRDefault="008800D8"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2024</w:t>
            </w:r>
          </w:p>
        </w:tc>
        <w:tc>
          <w:tcPr>
            <w:tcW w:w="582" w:type="pct"/>
            <w:tcBorders>
              <w:top w:val="single" w:sz="4" w:space="0" w:color="002060"/>
              <w:bottom w:val="single" w:sz="4" w:space="0" w:color="002060"/>
            </w:tcBorders>
            <w:shd w:val="clear" w:color="auto" w:fill="FFFFFF" w:themeFill="background1"/>
          </w:tcPr>
          <w:p w14:paraId="0F31F59D" w14:textId="77777777" w:rsidR="008800D8" w:rsidRPr="00F27A03" w:rsidRDefault="008800D8"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2025</w:t>
            </w:r>
          </w:p>
        </w:tc>
      </w:tr>
      <w:tr w:rsidR="008800D8" w:rsidRPr="00F27A03" w14:paraId="0216C873" w14:textId="77777777" w:rsidTr="00953528">
        <w:trPr>
          <w:trHeight w:val="253"/>
        </w:trPr>
        <w:tc>
          <w:tcPr>
            <w:tcW w:w="2043" w:type="pct"/>
            <w:shd w:val="clear" w:color="auto" w:fill="FFFFFF" w:themeFill="background1"/>
          </w:tcPr>
          <w:p w14:paraId="73282073" w14:textId="77777777" w:rsidR="008800D8" w:rsidRPr="00F27A03" w:rsidRDefault="008800D8" w:rsidP="00953528">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ЈАВНИ ПРИХОДИ</w:t>
            </w:r>
          </w:p>
        </w:tc>
        <w:tc>
          <w:tcPr>
            <w:tcW w:w="605" w:type="pct"/>
            <w:tcBorders>
              <w:top w:val="single" w:sz="4" w:space="0" w:color="002060"/>
            </w:tcBorders>
            <w:shd w:val="clear" w:color="auto" w:fill="auto"/>
            <w:vAlign w:val="center"/>
          </w:tcPr>
          <w:p w14:paraId="6571C832"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43,3</w:t>
            </w:r>
          </w:p>
        </w:tc>
        <w:tc>
          <w:tcPr>
            <w:tcW w:w="606" w:type="pct"/>
            <w:tcBorders>
              <w:top w:val="single" w:sz="4" w:space="0" w:color="002060"/>
            </w:tcBorders>
            <w:shd w:val="clear" w:color="auto" w:fill="auto"/>
            <w:noWrap/>
            <w:vAlign w:val="center"/>
          </w:tcPr>
          <w:p w14:paraId="591A2012"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43,0</w:t>
            </w:r>
          </w:p>
        </w:tc>
        <w:tc>
          <w:tcPr>
            <w:tcW w:w="581" w:type="pct"/>
            <w:tcBorders>
              <w:top w:val="single" w:sz="4" w:space="0" w:color="002060"/>
            </w:tcBorders>
            <w:shd w:val="clear" w:color="auto" w:fill="auto"/>
            <w:noWrap/>
            <w:vAlign w:val="center"/>
          </w:tcPr>
          <w:p w14:paraId="5A4D40AF"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40,9</w:t>
            </w:r>
          </w:p>
        </w:tc>
        <w:tc>
          <w:tcPr>
            <w:tcW w:w="582" w:type="pct"/>
            <w:tcBorders>
              <w:top w:val="single" w:sz="4" w:space="0" w:color="002060"/>
            </w:tcBorders>
            <w:shd w:val="clear" w:color="auto" w:fill="auto"/>
            <w:noWrap/>
            <w:vAlign w:val="center"/>
          </w:tcPr>
          <w:p w14:paraId="60B753DC"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40,3</w:t>
            </w:r>
          </w:p>
        </w:tc>
        <w:tc>
          <w:tcPr>
            <w:tcW w:w="582" w:type="pct"/>
            <w:tcBorders>
              <w:top w:val="single" w:sz="4" w:space="0" w:color="002060"/>
            </w:tcBorders>
            <w:shd w:val="clear" w:color="auto" w:fill="auto"/>
            <w:noWrap/>
            <w:vAlign w:val="center"/>
          </w:tcPr>
          <w:p w14:paraId="74191A67"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39,6</w:t>
            </w:r>
          </w:p>
        </w:tc>
      </w:tr>
      <w:tr w:rsidR="008800D8" w:rsidRPr="00F27A03" w14:paraId="4554D0B9"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3F148DF6" w14:textId="77777777" w:rsidR="008800D8" w:rsidRPr="00F27A03" w:rsidRDefault="008800D8"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Текући приходи</w:t>
            </w:r>
          </w:p>
        </w:tc>
        <w:tc>
          <w:tcPr>
            <w:tcW w:w="605" w:type="pct"/>
            <w:shd w:val="clear" w:color="auto" w:fill="FFFFFF" w:themeFill="background1"/>
          </w:tcPr>
          <w:p w14:paraId="1296FA54"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42,9</w:t>
            </w:r>
          </w:p>
        </w:tc>
        <w:tc>
          <w:tcPr>
            <w:tcW w:w="606" w:type="pct"/>
            <w:shd w:val="clear" w:color="auto" w:fill="FFFFFF" w:themeFill="background1"/>
            <w:noWrap/>
          </w:tcPr>
          <w:p w14:paraId="450E1878"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42,7</w:t>
            </w:r>
          </w:p>
        </w:tc>
        <w:tc>
          <w:tcPr>
            <w:tcW w:w="581" w:type="pct"/>
            <w:shd w:val="clear" w:color="auto" w:fill="FFFFFF" w:themeFill="background1"/>
            <w:noWrap/>
          </w:tcPr>
          <w:p w14:paraId="48CD9706"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40,3</w:t>
            </w:r>
          </w:p>
        </w:tc>
        <w:tc>
          <w:tcPr>
            <w:tcW w:w="582" w:type="pct"/>
            <w:shd w:val="clear" w:color="auto" w:fill="FFFFFF" w:themeFill="background1"/>
            <w:noWrap/>
          </w:tcPr>
          <w:p w14:paraId="12279C72"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40,0</w:t>
            </w:r>
          </w:p>
        </w:tc>
        <w:tc>
          <w:tcPr>
            <w:tcW w:w="582" w:type="pct"/>
            <w:shd w:val="clear" w:color="auto" w:fill="FFFFFF" w:themeFill="background1"/>
            <w:noWrap/>
          </w:tcPr>
          <w:p w14:paraId="14A97E09"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39,2</w:t>
            </w:r>
          </w:p>
        </w:tc>
      </w:tr>
      <w:tr w:rsidR="008800D8" w:rsidRPr="00F27A03" w14:paraId="42C72B4D" w14:textId="77777777" w:rsidTr="00953528">
        <w:trPr>
          <w:trHeight w:val="253"/>
        </w:trPr>
        <w:tc>
          <w:tcPr>
            <w:tcW w:w="2043" w:type="pct"/>
            <w:shd w:val="clear" w:color="auto" w:fill="FFFFFF" w:themeFill="background1"/>
          </w:tcPr>
          <w:p w14:paraId="61D81E8C" w14:textId="77777777" w:rsidR="008800D8" w:rsidRPr="00F27A03" w:rsidRDefault="008800D8"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 xml:space="preserve"> Порески приходи</w:t>
            </w:r>
          </w:p>
        </w:tc>
        <w:tc>
          <w:tcPr>
            <w:tcW w:w="605" w:type="pct"/>
            <w:shd w:val="clear" w:color="auto" w:fill="FFFFFF" w:themeFill="background1"/>
          </w:tcPr>
          <w:p w14:paraId="3B18DCCB"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38,6</w:t>
            </w:r>
          </w:p>
        </w:tc>
        <w:tc>
          <w:tcPr>
            <w:tcW w:w="606" w:type="pct"/>
            <w:shd w:val="clear" w:color="auto" w:fill="FFFFFF" w:themeFill="background1"/>
            <w:noWrap/>
          </w:tcPr>
          <w:p w14:paraId="43DB1BDB"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38,7</w:t>
            </w:r>
          </w:p>
        </w:tc>
        <w:tc>
          <w:tcPr>
            <w:tcW w:w="581" w:type="pct"/>
            <w:shd w:val="clear" w:color="auto" w:fill="FFFFFF" w:themeFill="background1"/>
            <w:noWrap/>
          </w:tcPr>
          <w:p w14:paraId="47C87EAB"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36,6</w:t>
            </w:r>
          </w:p>
        </w:tc>
        <w:tc>
          <w:tcPr>
            <w:tcW w:w="582" w:type="pct"/>
            <w:shd w:val="clear" w:color="auto" w:fill="FFFFFF" w:themeFill="background1"/>
            <w:noWrap/>
          </w:tcPr>
          <w:p w14:paraId="71B0455A"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36,4</w:t>
            </w:r>
          </w:p>
        </w:tc>
        <w:tc>
          <w:tcPr>
            <w:tcW w:w="582" w:type="pct"/>
            <w:shd w:val="clear" w:color="auto" w:fill="FFFFFF" w:themeFill="background1"/>
            <w:noWrap/>
          </w:tcPr>
          <w:p w14:paraId="126188BB"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35,8</w:t>
            </w:r>
          </w:p>
        </w:tc>
      </w:tr>
      <w:tr w:rsidR="008800D8" w:rsidRPr="00F27A03" w14:paraId="07CB533E"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6DD4F9BE" w14:textId="77777777" w:rsidR="008800D8" w:rsidRPr="00F27A03" w:rsidRDefault="008800D8"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Порез на доходак грађана</w:t>
            </w:r>
          </w:p>
        </w:tc>
        <w:tc>
          <w:tcPr>
            <w:tcW w:w="605" w:type="pct"/>
            <w:shd w:val="clear" w:color="auto" w:fill="FFFFFF" w:themeFill="background1"/>
          </w:tcPr>
          <w:p w14:paraId="1E7DE6E3"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4,1</w:t>
            </w:r>
          </w:p>
        </w:tc>
        <w:tc>
          <w:tcPr>
            <w:tcW w:w="606" w:type="pct"/>
            <w:shd w:val="clear" w:color="auto" w:fill="FFFFFF" w:themeFill="background1"/>
            <w:noWrap/>
          </w:tcPr>
          <w:p w14:paraId="5F0F457D" w14:textId="77777777" w:rsidR="008800D8" w:rsidRPr="00F27A03" w:rsidRDefault="008800D8" w:rsidP="00A42963">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4,2</w:t>
            </w:r>
          </w:p>
        </w:tc>
        <w:tc>
          <w:tcPr>
            <w:tcW w:w="581" w:type="pct"/>
            <w:shd w:val="clear" w:color="auto" w:fill="FFFFFF" w:themeFill="background1"/>
            <w:noWrap/>
          </w:tcPr>
          <w:p w14:paraId="67E9C0FF" w14:textId="77777777" w:rsidR="008800D8" w:rsidRPr="00F27A03" w:rsidRDefault="008800D8" w:rsidP="00A42963">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4,1</w:t>
            </w:r>
          </w:p>
        </w:tc>
        <w:tc>
          <w:tcPr>
            <w:tcW w:w="582" w:type="pct"/>
            <w:shd w:val="clear" w:color="auto" w:fill="FFFFFF" w:themeFill="background1"/>
            <w:noWrap/>
          </w:tcPr>
          <w:p w14:paraId="0D9DE8C2"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c>
          <w:tcPr>
            <w:tcW w:w="582" w:type="pct"/>
            <w:shd w:val="clear" w:color="auto" w:fill="FFFFFF" w:themeFill="background1"/>
            <w:noWrap/>
          </w:tcPr>
          <w:p w14:paraId="7DF70016"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r>
      <w:tr w:rsidR="008800D8" w:rsidRPr="00F27A03" w14:paraId="5FF71A6F" w14:textId="77777777" w:rsidTr="00953528">
        <w:trPr>
          <w:trHeight w:val="253"/>
        </w:trPr>
        <w:tc>
          <w:tcPr>
            <w:tcW w:w="2043" w:type="pct"/>
            <w:shd w:val="clear" w:color="auto" w:fill="FFFFFF" w:themeFill="background1"/>
          </w:tcPr>
          <w:p w14:paraId="1E451FC2" w14:textId="77777777" w:rsidR="008800D8" w:rsidRPr="00F27A03" w:rsidRDefault="008800D8"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Порез на добит правних лица</w:t>
            </w:r>
          </w:p>
        </w:tc>
        <w:tc>
          <w:tcPr>
            <w:tcW w:w="605" w:type="pct"/>
            <w:shd w:val="clear" w:color="auto" w:fill="FFFFFF" w:themeFill="background1"/>
          </w:tcPr>
          <w:p w14:paraId="5CE00BB9"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2,5</w:t>
            </w:r>
          </w:p>
        </w:tc>
        <w:tc>
          <w:tcPr>
            <w:tcW w:w="606" w:type="pct"/>
            <w:shd w:val="clear" w:color="auto" w:fill="FFFFFF" w:themeFill="background1"/>
            <w:noWrap/>
          </w:tcPr>
          <w:p w14:paraId="1A2EA588"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2,9</w:t>
            </w:r>
          </w:p>
        </w:tc>
        <w:tc>
          <w:tcPr>
            <w:tcW w:w="581" w:type="pct"/>
            <w:shd w:val="clear" w:color="auto" w:fill="FFFFFF" w:themeFill="background1"/>
            <w:noWrap/>
          </w:tcPr>
          <w:p w14:paraId="0A910669"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2,6</w:t>
            </w:r>
          </w:p>
        </w:tc>
        <w:tc>
          <w:tcPr>
            <w:tcW w:w="582" w:type="pct"/>
            <w:shd w:val="clear" w:color="auto" w:fill="FFFFFF" w:themeFill="background1"/>
            <w:noWrap/>
          </w:tcPr>
          <w:p w14:paraId="78AF9FDD"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2,5</w:t>
            </w:r>
          </w:p>
        </w:tc>
        <w:tc>
          <w:tcPr>
            <w:tcW w:w="582" w:type="pct"/>
            <w:shd w:val="clear" w:color="auto" w:fill="FFFFFF" w:themeFill="background1"/>
            <w:noWrap/>
          </w:tcPr>
          <w:p w14:paraId="0494EA8F"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2,4</w:t>
            </w:r>
          </w:p>
        </w:tc>
      </w:tr>
      <w:tr w:rsidR="008800D8" w:rsidRPr="00F27A03" w14:paraId="29F434C2"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25BDEDCA" w14:textId="77777777" w:rsidR="008800D8" w:rsidRPr="00F27A03" w:rsidRDefault="008800D8"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ПДВ</w:t>
            </w:r>
          </w:p>
        </w:tc>
        <w:tc>
          <w:tcPr>
            <w:tcW w:w="605" w:type="pct"/>
            <w:shd w:val="clear" w:color="auto" w:fill="FFFFFF" w:themeFill="background1"/>
          </w:tcPr>
          <w:p w14:paraId="02583395"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10,5</w:t>
            </w:r>
          </w:p>
        </w:tc>
        <w:tc>
          <w:tcPr>
            <w:tcW w:w="606" w:type="pct"/>
            <w:shd w:val="clear" w:color="auto" w:fill="FFFFFF" w:themeFill="background1"/>
            <w:noWrap/>
          </w:tcPr>
          <w:p w14:paraId="0CBF7C67"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11,0</w:t>
            </w:r>
          </w:p>
        </w:tc>
        <w:tc>
          <w:tcPr>
            <w:tcW w:w="581" w:type="pct"/>
            <w:shd w:val="clear" w:color="auto" w:fill="FFFFFF" w:themeFill="background1"/>
            <w:noWrap/>
          </w:tcPr>
          <w:p w14:paraId="29142169"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10,8</w:t>
            </w:r>
          </w:p>
        </w:tc>
        <w:tc>
          <w:tcPr>
            <w:tcW w:w="582" w:type="pct"/>
            <w:shd w:val="clear" w:color="auto" w:fill="FFFFFF" w:themeFill="background1"/>
            <w:noWrap/>
          </w:tcPr>
          <w:p w14:paraId="04528724"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10,8</w:t>
            </w:r>
          </w:p>
        </w:tc>
        <w:tc>
          <w:tcPr>
            <w:tcW w:w="582" w:type="pct"/>
            <w:shd w:val="clear" w:color="auto" w:fill="FFFFFF" w:themeFill="background1"/>
            <w:noWrap/>
          </w:tcPr>
          <w:p w14:paraId="6D1717AD"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10,7</w:t>
            </w:r>
          </w:p>
        </w:tc>
      </w:tr>
      <w:tr w:rsidR="008800D8" w:rsidRPr="00F27A03" w14:paraId="45FC155A" w14:textId="77777777" w:rsidTr="00953528">
        <w:trPr>
          <w:trHeight w:val="253"/>
        </w:trPr>
        <w:tc>
          <w:tcPr>
            <w:tcW w:w="2043" w:type="pct"/>
            <w:shd w:val="clear" w:color="auto" w:fill="FFFFFF" w:themeFill="background1"/>
          </w:tcPr>
          <w:p w14:paraId="1898BDBC" w14:textId="77777777" w:rsidR="008800D8" w:rsidRPr="00F27A03" w:rsidRDefault="008800D8"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Акцизе</w:t>
            </w:r>
          </w:p>
        </w:tc>
        <w:tc>
          <w:tcPr>
            <w:tcW w:w="605" w:type="pct"/>
            <w:shd w:val="clear" w:color="auto" w:fill="FFFFFF" w:themeFill="background1"/>
          </w:tcPr>
          <w:p w14:paraId="36B3A52C"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5,3</w:t>
            </w:r>
          </w:p>
        </w:tc>
        <w:tc>
          <w:tcPr>
            <w:tcW w:w="606" w:type="pct"/>
            <w:shd w:val="clear" w:color="auto" w:fill="FFFFFF" w:themeFill="background1"/>
            <w:noWrap/>
          </w:tcPr>
          <w:p w14:paraId="24D45497"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4,8</w:t>
            </w:r>
          </w:p>
        </w:tc>
        <w:tc>
          <w:tcPr>
            <w:tcW w:w="581" w:type="pct"/>
            <w:shd w:val="clear" w:color="auto" w:fill="FFFFFF" w:themeFill="background1"/>
            <w:noWrap/>
          </w:tcPr>
          <w:p w14:paraId="00BDE2E6"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4,1</w:t>
            </w:r>
          </w:p>
        </w:tc>
        <w:tc>
          <w:tcPr>
            <w:tcW w:w="582" w:type="pct"/>
            <w:shd w:val="clear" w:color="auto" w:fill="FFFFFF" w:themeFill="background1"/>
            <w:noWrap/>
          </w:tcPr>
          <w:p w14:paraId="0FB65452"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4,2</w:t>
            </w:r>
          </w:p>
        </w:tc>
        <w:tc>
          <w:tcPr>
            <w:tcW w:w="582" w:type="pct"/>
            <w:shd w:val="clear" w:color="auto" w:fill="FFFFFF" w:themeFill="background1"/>
            <w:noWrap/>
          </w:tcPr>
          <w:p w14:paraId="60CD7B32"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r>
      <w:tr w:rsidR="008800D8" w:rsidRPr="00F27A03" w14:paraId="31AB21B6"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72CBFA4E" w14:textId="77777777" w:rsidR="008800D8" w:rsidRPr="00F27A03" w:rsidRDefault="008800D8"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Царине</w:t>
            </w:r>
          </w:p>
        </w:tc>
        <w:tc>
          <w:tcPr>
            <w:tcW w:w="605" w:type="pct"/>
            <w:shd w:val="clear" w:color="auto" w:fill="FFFFFF" w:themeFill="background1"/>
          </w:tcPr>
          <w:p w14:paraId="164E6FA9"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1,0</w:t>
            </w:r>
          </w:p>
        </w:tc>
        <w:tc>
          <w:tcPr>
            <w:tcW w:w="606" w:type="pct"/>
            <w:shd w:val="clear" w:color="auto" w:fill="FFFFFF" w:themeFill="background1"/>
            <w:noWrap/>
          </w:tcPr>
          <w:p w14:paraId="5A1E5A78"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1,1</w:t>
            </w:r>
          </w:p>
        </w:tc>
        <w:tc>
          <w:tcPr>
            <w:tcW w:w="581" w:type="pct"/>
            <w:shd w:val="clear" w:color="auto" w:fill="FFFFFF" w:themeFill="background1"/>
            <w:noWrap/>
          </w:tcPr>
          <w:p w14:paraId="598190A6"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1,1</w:t>
            </w:r>
          </w:p>
        </w:tc>
        <w:tc>
          <w:tcPr>
            <w:tcW w:w="582" w:type="pct"/>
            <w:shd w:val="clear" w:color="auto" w:fill="FFFFFF" w:themeFill="background1"/>
            <w:noWrap/>
          </w:tcPr>
          <w:p w14:paraId="5A970F16"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1,1</w:t>
            </w:r>
          </w:p>
        </w:tc>
        <w:tc>
          <w:tcPr>
            <w:tcW w:w="582" w:type="pct"/>
            <w:shd w:val="clear" w:color="auto" w:fill="FFFFFF" w:themeFill="background1"/>
            <w:noWrap/>
          </w:tcPr>
          <w:p w14:paraId="702AB693" w14:textId="77777777" w:rsidR="008800D8" w:rsidRPr="00F27A03" w:rsidRDefault="008800D8" w:rsidP="00A42963">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1,1</w:t>
            </w:r>
          </w:p>
        </w:tc>
      </w:tr>
      <w:tr w:rsidR="008800D8" w:rsidRPr="00F27A03" w14:paraId="19FAB847" w14:textId="77777777" w:rsidTr="00953528">
        <w:trPr>
          <w:trHeight w:val="253"/>
        </w:trPr>
        <w:tc>
          <w:tcPr>
            <w:tcW w:w="2043" w:type="pct"/>
            <w:shd w:val="clear" w:color="auto" w:fill="FFFFFF" w:themeFill="background1"/>
          </w:tcPr>
          <w:p w14:paraId="0D3903C9" w14:textId="77777777" w:rsidR="008800D8" w:rsidRPr="00F27A03" w:rsidRDefault="008800D8"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Остали порески приходи</w:t>
            </w:r>
          </w:p>
        </w:tc>
        <w:tc>
          <w:tcPr>
            <w:tcW w:w="605" w:type="pct"/>
            <w:shd w:val="clear" w:color="auto" w:fill="FFFFFF" w:themeFill="background1"/>
          </w:tcPr>
          <w:p w14:paraId="5F52E021"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1,5</w:t>
            </w:r>
          </w:p>
        </w:tc>
        <w:tc>
          <w:tcPr>
            <w:tcW w:w="606" w:type="pct"/>
            <w:shd w:val="clear" w:color="auto" w:fill="FFFFFF" w:themeFill="background1"/>
            <w:noWrap/>
          </w:tcPr>
          <w:p w14:paraId="096D2EFA"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1,4</w:t>
            </w:r>
          </w:p>
        </w:tc>
        <w:tc>
          <w:tcPr>
            <w:tcW w:w="581" w:type="pct"/>
            <w:shd w:val="clear" w:color="auto" w:fill="FFFFFF" w:themeFill="background1"/>
            <w:noWrap/>
          </w:tcPr>
          <w:p w14:paraId="3CAFF042"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w:t>
            </w:r>
          </w:p>
        </w:tc>
        <w:tc>
          <w:tcPr>
            <w:tcW w:w="582" w:type="pct"/>
            <w:shd w:val="clear" w:color="auto" w:fill="FFFFFF" w:themeFill="background1"/>
            <w:noWrap/>
          </w:tcPr>
          <w:p w14:paraId="44A0D9BC"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w:t>
            </w:r>
          </w:p>
        </w:tc>
        <w:tc>
          <w:tcPr>
            <w:tcW w:w="582" w:type="pct"/>
            <w:shd w:val="clear" w:color="auto" w:fill="FFFFFF" w:themeFill="background1"/>
            <w:noWrap/>
          </w:tcPr>
          <w:p w14:paraId="69CDDF41"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1,2</w:t>
            </w:r>
          </w:p>
        </w:tc>
      </w:tr>
      <w:tr w:rsidR="008800D8" w:rsidRPr="00F27A03" w14:paraId="3FCDE635"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427C3257" w14:textId="77777777" w:rsidR="008800D8" w:rsidRPr="00F27A03" w:rsidRDefault="008800D8"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Доприноси</w:t>
            </w:r>
          </w:p>
        </w:tc>
        <w:tc>
          <w:tcPr>
            <w:tcW w:w="605" w:type="pct"/>
            <w:shd w:val="clear" w:color="auto" w:fill="FFFFFF" w:themeFill="background1"/>
          </w:tcPr>
          <w:p w14:paraId="31A41670"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13,7</w:t>
            </w:r>
          </w:p>
        </w:tc>
        <w:tc>
          <w:tcPr>
            <w:tcW w:w="606" w:type="pct"/>
            <w:shd w:val="clear" w:color="auto" w:fill="FFFFFF" w:themeFill="background1"/>
            <w:noWrap/>
          </w:tcPr>
          <w:p w14:paraId="7EFD9090"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13,4</w:t>
            </w:r>
          </w:p>
        </w:tc>
        <w:tc>
          <w:tcPr>
            <w:tcW w:w="581" w:type="pct"/>
            <w:shd w:val="clear" w:color="auto" w:fill="FFFFFF" w:themeFill="background1"/>
            <w:noWrap/>
          </w:tcPr>
          <w:p w14:paraId="609FE842"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12,6</w:t>
            </w:r>
          </w:p>
        </w:tc>
        <w:tc>
          <w:tcPr>
            <w:tcW w:w="582" w:type="pct"/>
            <w:shd w:val="clear" w:color="auto" w:fill="FFFFFF" w:themeFill="background1"/>
            <w:noWrap/>
          </w:tcPr>
          <w:p w14:paraId="719E273B"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12,5</w:t>
            </w:r>
          </w:p>
        </w:tc>
        <w:tc>
          <w:tcPr>
            <w:tcW w:w="582" w:type="pct"/>
            <w:shd w:val="clear" w:color="auto" w:fill="FFFFFF" w:themeFill="background1"/>
            <w:noWrap/>
          </w:tcPr>
          <w:p w14:paraId="5B53FAEB"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12,4</w:t>
            </w:r>
          </w:p>
        </w:tc>
      </w:tr>
      <w:tr w:rsidR="008800D8" w:rsidRPr="00F27A03" w14:paraId="1A647FC3" w14:textId="77777777" w:rsidTr="00953528">
        <w:trPr>
          <w:trHeight w:val="253"/>
        </w:trPr>
        <w:tc>
          <w:tcPr>
            <w:tcW w:w="2043" w:type="pct"/>
            <w:shd w:val="clear" w:color="auto" w:fill="FFFFFF" w:themeFill="background1"/>
          </w:tcPr>
          <w:p w14:paraId="59055B1D" w14:textId="77777777" w:rsidR="008800D8" w:rsidRPr="00F27A03" w:rsidRDefault="008800D8"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 xml:space="preserve"> Непорески приходи</w:t>
            </w:r>
          </w:p>
        </w:tc>
        <w:tc>
          <w:tcPr>
            <w:tcW w:w="605" w:type="pct"/>
            <w:shd w:val="clear" w:color="auto" w:fill="FFFFFF" w:themeFill="background1"/>
          </w:tcPr>
          <w:p w14:paraId="3D855BE6"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4,3</w:t>
            </w:r>
          </w:p>
        </w:tc>
        <w:tc>
          <w:tcPr>
            <w:tcW w:w="606" w:type="pct"/>
            <w:shd w:val="clear" w:color="auto" w:fill="FFFFFF" w:themeFill="background1"/>
            <w:noWrap/>
          </w:tcPr>
          <w:p w14:paraId="402363C4"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c>
          <w:tcPr>
            <w:tcW w:w="581" w:type="pct"/>
            <w:shd w:val="clear" w:color="auto" w:fill="FFFFFF" w:themeFill="background1"/>
            <w:noWrap/>
          </w:tcPr>
          <w:p w14:paraId="28B72E8C"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3,7</w:t>
            </w:r>
          </w:p>
        </w:tc>
        <w:tc>
          <w:tcPr>
            <w:tcW w:w="582" w:type="pct"/>
            <w:shd w:val="clear" w:color="auto" w:fill="FFFFFF" w:themeFill="background1"/>
            <w:noWrap/>
          </w:tcPr>
          <w:p w14:paraId="16816A42"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3,6</w:t>
            </w:r>
          </w:p>
        </w:tc>
        <w:tc>
          <w:tcPr>
            <w:tcW w:w="582" w:type="pct"/>
            <w:shd w:val="clear" w:color="auto" w:fill="FFFFFF" w:themeFill="background1"/>
            <w:noWrap/>
          </w:tcPr>
          <w:p w14:paraId="7DD61EB2"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3,4</w:t>
            </w:r>
          </w:p>
        </w:tc>
      </w:tr>
      <w:tr w:rsidR="008800D8" w:rsidRPr="00F27A03" w14:paraId="45E57C3A"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tcBorders>
              <w:bottom w:val="single" w:sz="4" w:space="0" w:color="002060"/>
            </w:tcBorders>
            <w:shd w:val="clear" w:color="auto" w:fill="FFFFFF" w:themeFill="background1"/>
          </w:tcPr>
          <w:p w14:paraId="1C86214D" w14:textId="77777777" w:rsidR="008800D8" w:rsidRPr="00F27A03" w:rsidRDefault="008800D8"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Донације</w:t>
            </w:r>
          </w:p>
        </w:tc>
        <w:tc>
          <w:tcPr>
            <w:tcW w:w="605" w:type="pct"/>
            <w:tcBorders>
              <w:bottom w:val="single" w:sz="4" w:space="0" w:color="002060"/>
            </w:tcBorders>
            <w:shd w:val="clear" w:color="auto" w:fill="FFFFFF" w:themeFill="background1"/>
          </w:tcPr>
          <w:p w14:paraId="60B8490F"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0,3</w:t>
            </w:r>
          </w:p>
        </w:tc>
        <w:tc>
          <w:tcPr>
            <w:tcW w:w="606" w:type="pct"/>
            <w:tcBorders>
              <w:bottom w:val="single" w:sz="4" w:space="0" w:color="002060"/>
            </w:tcBorders>
            <w:shd w:val="clear" w:color="auto" w:fill="FFFFFF" w:themeFill="background1"/>
            <w:noWrap/>
          </w:tcPr>
          <w:p w14:paraId="18D7A63C"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0,3</w:t>
            </w:r>
          </w:p>
        </w:tc>
        <w:tc>
          <w:tcPr>
            <w:tcW w:w="581" w:type="pct"/>
            <w:tcBorders>
              <w:bottom w:val="single" w:sz="4" w:space="0" w:color="002060"/>
            </w:tcBorders>
            <w:shd w:val="clear" w:color="auto" w:fill="FFFFFF" w:themeFill="background1"/>
            <w:noWrap/>
          </w:tcPr>
          <w:p w14:paraId="241100D9"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0,7</w:t>
            </w:r>
          </w:p>
        </w:tc>
        <w:tc>
          <w:tcPr>
            <w:tcW w:w="582" w:type="pct"/>
            <w:tcBorders>
              <w:bottom w:val="single" w:sz="4" w:space="0" w:color="002060"/>
            </w:tcBorders>
            <w:shd w:val="clear" w:color="auto" w:fill="FFFFFF" w:themeFill="background1"/>
            <w:noWrap/>
          </w:tcPr>
          <w:p w14:paraId="3B5A4F63"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0,4</w:t>
            </w:r>
          </w:p>
        </w:tc>
        <w:tc>
          <w:tcPr>
            <w:tcW w:w="582" w:type="pct"/>
            <w:tcBorders>
              <w:bottom w:val="single" w:sz="4" w:space="0" w:color="002060"/>
            </w:tcBorders>
            <w:shd w:val="clear" w:color="auto" w:fill="FFFFFF" w:themeFill="background1"/>
            <w:noWrap/>
          </w:tcPr>
          <w:p w14:paraId="12A4588B" w14:textId="77777777" w:rsidR="008800D8" w:rsidRPr="00F27A03" w:rsidRDefault="008800D8"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0,4</w:t>
            </w:r>
          </w:p>
        </w:tc>
      </w:tr>
    </w:tbl>
    <w:p w14:paraId="0FDB8B99" w14:textId="77777777" w:rsidR="008800D8" w:rsidRPr="00F27A03" w:rsidRDefault="008800D8" w:rsidP="00953528">
      <w:pPr>
        <w:spacing w:before="40" w:after="120" w:line="276" w:lineRule="auto"/>
        <w:jc w:val="left"/>
        <w:rPr>
          <w:rFonts w:cstheme="minorHAnsi"/>
          <w:sz w:val="16"/>
          <w:szCs w:val="20"/>
          <w:lang w:val="sr-Cyrl-CS"/>
        </w:rPr>
        <w:sectPr w:rsidR="008800D8" w:rsidRPr="00F27A03" w:rsidSect="00A42963">
          <w:type w:val="continuous"/>
          <w:pgSz w:w="12240" w:h="15840" w:code="1"/>
          <w:pgMar w:top="1440" w:right="1440" w:bottom="1440" w:left="1440" w:header="720" w:footer="720" w:gutter="0"/>
          <w:cols w:space="720"/>
          <w:docGrid w:linePitch="360"/>
        </w:sectPr>
      </w:pPr>
      <w:r w:rsidRPr="00F27A03">
        <w:rPr>
          <w:rFonts w:eastAsia="Calibri" w:cstheme="minorHAnsi"/>
          <w:bCs/>
          <w:sz w:val="16"/>
          <w:szCs w:val="20"/>
          <w:lang w:val="sr-Cyrl-CS" w:eastAsia="ja-JP"/>
        </w:rPr>
        <w:t xml:space="preserve">Извор: </w:t>
      </w:r>
      <w:r w:rsidRPr="00F27A03">
        <w:rPr>
          <w:rFonts w:cstheme="minorHAnsi"/>
          <w:sz w:val="16"/>
          <w:szCs w:val="20"/>
          <w:lang w:val="sr-Cyrl-CS"/>
        </w:rPr>
        <w:t>Министарство финансија</w:t>
      </w:r>
    </w:p>
    <w:p w14:paraId="74872DD7" w14:textId="77777777" w:rsidR="008800D8" w:rsidRPr="00F27A03" w:rsidRDefault="008800D8" w:rsidP="00B51E6D">
      <w:pPr>
        <w:spacing w:before="40" w:after="120" w:line="276" w:lineRule="auto"/>
        <w:rPr>
          <w:rFonts w:eastAsia="MS PGothic" w:cstheme="minorHAnsi"/>
          <w:szCs w:val="20"/>
          <w:lang w:val="sr-Cyrl-CS" w:eastAsia="ja-JP"/>
        </w:rPr>
      </w:pPr>
      <w:r w:rsidRPr="00F27A03">
        <w:rPr>
          <w:rFonts w:eastAsia="MS PGothic" w:cstheme="minorHAnsi"/>
          <w:szCs w:val="20"/>
          <w:lang w:val="sr-Cyrl-CS" w:eastAsia="ja-JP"/>
        </w:rPr>
        <w:t>Опадајући тренд прихода у смислу учешћа у БДП је очекиван с обзиром на пројектовану структуру средњорочног раста српске привреде. Наплата одложених обавеза из 2020. године је повећала ниво прихода изнад трендног у 2021. и 2022. години, али ће, такође, појачати ефекат пада учешћа прихода у БДП у 2023. години. Пројекција пореских прихода подразумева одржавање постојећег степена наплате.</w:t>
      </w:r>
    </w:p>
    <w:p w14:paraId="00F69954" w14:textId="2BB1C582" w:rsidR="008800D8" w:rsidRPr="00F27A03" w:rsidRDefault="008800D8" w:rsidP="00B51E6D">
      <w:pPr>
        <w:spacing w:before="40" w:after="120" w:line="276" w:lineRule="auto"/>
        <w:rPr>
          <w:rFonts w:eastAsia="MS PGothic" w:cstheme="minorHAnsi"/>
          <w:szCs w:val="20"/>
          <w:lang w:val="sr-Cyrl-CS" w:eastAsia="ja-JP"/>
        </w:rPr>
      </w:pPr>
      <w:r w:rsidRPr="00F27A03">
        <w:rPr>
          <w:rFonts w:eastAsia="MS PGothic" w:cstheme="minorHAnsi"/>
          <w:szCs w:val="20"/>
          <w:lang w:val="sr-Cyrl-CS" w:eastAsia="ja-JP"/>
        </w:rPr>
        <w:t xml:space="preserve">У 2023. години предвиђено је смањење доприноса за пензијско и инвалидско осигурање на терет послодавца за 1 п.п. Ефекат ове мере се процењује на 30 млрд динара. Додатно ће повећање неопорезивог цензуса за </w:t>
      </w:r>
      <w:r w:rsidR="00811761" w:rsidRPr="00F27A03">
        <w:rPr>
          <w:rFonts w:eastAsia="MS PGothic" w:cstheme="minorHAnsi"/>
          <w:szCs w:val="20"/>
          <w:lang w:val="sr-Cyrl-CS" w:eastAsia="ja-JP"/>
        </w:rPr>
        <w:t>12,</w:t>
      </w:r>
      <w:r w:rsidRPr="00F27A03">
        <w:rPr>
          <w:rFonts w:eastAsia="MS PGothic" w:cstheme="minorHAnsi"/>
          <w:szCs w:val="20"/>
          <w:lang w:val="sr-Cyrl-CS" w:eastAsia="ja-JP"/>
        </w:rPr>
        <w:t>5% имати ефекат на мање приходе у износу од 11 млрд динара.</w:t>
      </w:r>
    </w:p>
    <w:p w14:paraId="0F64E7B0"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Преовлађујући облик пореза на доходак је порез на зараде, тако да су кретање масе зарада и запослености главни фактори који утичу на кретање овог пореског облика. Ове приходе је у 2022. години (као и у 2021.) увећала наплата дела одложеног пореза на зараде из 2020. године у склопу пакета мера у борби против пандемије. Повећање минималне зараде (14,3%) ће позитивно утицати на раст укупне масе зарада у привреди, а самим тим и на ову пореску категорију, а повећање неопорезивог цензуса ће смањити приходе по овом основу.</w:t>
      </w:r>
    </w:p>
    <w:p w14:paraId="2D18F8F2"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 xml:space="preserve">Остали облици пореза на доходак (порез на дивиденде, порез на приходе од камата, годишњи порез на доходак, итд.) ће расти спорије, то јест у складу са кретањем опште економске активности, тако да се очекује стабилан ниво прихода по основу укупног пореза на доходак, у смислу </w:t>
      </w:r>
      <w:r w:rsidRPr="00F27A03">
        <w:rPr>
          <w:rFonts w:eastAsia="MS PGothic" w:cstheme="minorHAnsi"/>
          <w:szCs w:val="20"/>
          <w:lang w:val="sr-Cyrl-CS" w:eastAsia="ja-JP"/>
        </w:rPr>
        <w:lastRenderedPageBreak/>
        <w:t>учешћа у БДП. Код пореза на зараде кључна је борба против сиве економије, с обзиром на знатан број непријављених радника и исплате зарада „на руке”. У последњим годинама интензивиране су контроле и појачане санкције што је дало резултате у сузбијању сиве економије у области рада и запошљавања, али је значајно да се на овом пољу настави са континуираним ангажманом и у наредном периоду.</w:t>
      </w:r>
    </w:p>
    <w:p w14:paraId="32132F20"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Кретање учешћа доприноса у БДП има сличну путању као и кретање учешћа пореза на зараде, с обзиром да су за њихову пројекцију коришћене исте претпоставке о кретању зарада и запослености. Део прихода од наплате одложених доприноса из 2020. године неће бити на располагању у 2023. години, што ће уз смањење доприноса на пензијско и инвалидско осигурање на терет послодавца допринети нижем нивоу ових прихода у смислу учешћа у БДП у наредној години.</w:t>
      </w:r>
    </w:p>
    <w:p w14:paraId="25039A3C" w14:textId="08FC8142"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Приходи од пореза на до</w:t>
      </w:r>
      <w:r w:rsidR="00DC02BF" w:rsidRPr="00F27A03">
        <w:rPr>
          <w:rFonts w:eastAsia="MS PGothic" w:cstheme="minorHAnsi"/>
          <w:szCs w:val="20"/>
          <w:lang w:val="sr-Cyrl-CS" w:eastAsia="ja-JP"/>
        </w:rPr>
        <w:t>бит правних лица у периоду 2023</w:t>
      </w:r>
      <w:r w:rsidR="0024388A" w:rsidRPr="00F27A03">
        <w:rPr>
          <w:rFonts w:eastAsia="MS PGothic" w:cstheme="minorHAnsi"/>
          <w:szCs w:val="20"/>
          <w:lang w:val="sr-Cyrl-CS" w:eastAsia="ja-JP"/>
        </w:rPr>
        <w:t>–</w:t>
      </w:r>
      <w:r w:rsidRPr="00F27A03">
        <w:rPr>
          <w:rFonts w:eastAsia="MS PGothic" w:cstheme="minorHAnsi"/>
          <w:szCs w:val="20"/>
          <w:lang w:val="sr-Cyrl-CS" w:eastAsia="ja-JP"/>
        </w:rPr>
        <w:t>2025. године зависиће од путање привредног раста, релативне стабилности курса динара и опште профитабилности привреде. Процена прихода по овом основу може бити неизвесна како због економских фактора, тако и због могућности коришћења пореског кредита или повраћаја, као и разлика у рачуноводственим и пореским билансима. Раст профитабилности привреде у 2021. години допринео је значајном скоку прихода од пореза на добит у 2022. години с обзиром да се по</w:t>
      </w:r>
      <w:r w:rsidR="00F82871">
        <w:rPr>
          <w:rFonts w:eastAsia="MS PGothic" w:cstheme="minorHAnsi"/>
          <w:szCs w:val="20"/>
          <w:lang w:val="sr-Cyrl-CS" w:eastAsia="ja-JP"/>
        </w:rPr>
        <w:t>рез на добит по коначном обрачун</w:t>
      </w:r>
      <w:r w:rsidRPr="00F27A03">
        <w:rPr>
          <w:rFonts w:eastAsia="MS PGothic" w:cstheme="minorHAnsi"/>
          <w:szCs w:val="20"/>
          <w:lang w:val="sr-Cyrl-CS" w:eastAsia="ja-JP"/>
        </w:rPr>
        <w:t>у уплаћује у наредној години. Очекује се да се у периоду 2023–2025. године наплата пореза на добит стабилизује у складу са кретањем БДП.</w:t>
      </w:r>
    </w:p>
    <w:p w14:paraId="1640A317"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Главна детерминанта кретања ПДВ је домаћа тражња вођена расположивим дохотком становништва. Расположиви доходак као највећа детерминанта потрошње зависи од кретања зарада у јавном сектору, пензија, социјалне помоћи, кретања масе зарада у приватном сектору и осталих облика доходака, укључујући и дознаке, као и од динамике кредитне активности банака према становништву.</w:t>
      </w:r>
    </w:p>
    <w:p w14:paraId="48BD566D"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 xml:space="preserve">Као и код пореза на доходак грађана, ризици за остварење пројекције ПДВ у наредном периоду, поред опште неизвесности међународног </w:t>
      </w:r>
      <w:r w:rsidRPr="00F27A03">
        <w:rPr>
          <w:rFonts w:eastAsia="MS PGothic" w:cstheme="minorHAnsi"/>
          <w:szCs w:val="20"/>
          <w:lang w:val="sr-Cyrl-CS" w:eastAsia="ja-JP"/>
        </w:rPr>
        <w:t>економског окружења, односе се и на кретање зарада у приватном сектору, раст привредне активности, као и на степен сиве економије, односно ефикасност у њеном смањењу.</w:t>
      </w:r>
    </w:p>
    <w:p w14:paraId="22A9641C"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Резултати ефикасније наплате и контроле пореских обвезника су били евидентни у претходном периоду и очекује се да ће тај тренд бити настављен и даље, с тим што ефекти борбе против сиве економије нису експлицитно укључени у средњорочну пројекцију јавних прихода. Повећање степена ПДВ наплате у смислу спровођења независних антиевазионих мера у области ПДВ дало је резултате у протеклом периоду. У овом сегменту простор за даља побољшања створиће се јачањем и модернизацијом пореске администрације.</w:t>
      </w:r>
    </w:p>
    <w:p w14:paraId="5772537F"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Пројекција прихода од акциза сачињена је на основу важеће акцизне политике и пројектоване потрошње акцизних производа. У 2022. години акцизе нису индексиране растом потрошачких цена у 2021. години, а акцизе на деривате нафте су додатно смањене, и то у распону од 10% до 20%. Ове мере су донете у циљу ограничења раста цена деривата на домаћем тржишту, услед раста цена нафте на светском тржишту. Са овим претпоставкама рађена је процена прихода од акциза и за 2023. годину. У наредним годинама, услед опрезности, није претпостављен раст потрошње нафтних деривата.</w:t>
      </w:r>
    </w:p>
    <w:p w14:paraId="57FA1A5C"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У оквиру акцизне политике код дуванских производа очекује се даље постепено усклађивање са директивама ЕУ у складу са средњорочним планом поступног повећавања акцизног оптерећења. Код цигарета оно ће бити усмерено кроз постепено повећање акциза, како би се у прихватљивом временском року достигао ЕУ минимум од 1,8 евра по паклици</w:t>
      </w:r>
      <w:r w:rsidRPr="00F27A03">
        <w:rPr>
          <w:lang w:val="sr-Cyrl-CS"/>
        </w:rPr>
        <w:t xml:space="preserve"> </w:t>
      </w:r>
      <w:r w:rsidRPr="00F27A03">
        <w:rPr>
          <w:rFonts w:eastAsia="MS PGothic" w:cstheme="minorHAnsi"/>
          <w:szCs w:val="20"/>
          <w:lang w:val="sr-Cyrl-CS" w:eastAsia="ja-JP"/>
        </w:rPr>
        <w:t>у динарској противвредности прерачунато по званичном средњем курсу НБС. У наредном периоду је за потребе пројекције прихода од акциза, услед опрезности, предвиђен даљи природан пад тржишта дуванских производа, у просеку од око 3% годишње.</w:t>
      </w:r>
    </w:p>
    <w:p w14:paraId="30D2127D"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 xml:space="preserve">Приходи од акциза на алкохолна пића, кафу и електричну енергију су пројектовани у складу са постојећом структуром потрошње. Усклађивање </w:t>
      </w:r>
      <w:r w:rsidRPr="00F27A03">
        <w:rPr>
          <w:rFonts w:eastAsia="MS PGothic" w:cstheme="minorHAnsi"/>
          <w:szCs w:val="20"/>
          <w:lang w:val="sr-Cyrl-CS" w:eastAsia="ja-JP"/>
        </w:rPr>
        <w:lastRenderedPageBreak/>
        <w:t>акциза на алкохолна пића у складу са директивом ЕУ није имало значајне фискалне ефекте.</w:t>
      </w:r>
    </w:p>
    <w:p w14:paraId="061C21CD"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Приходи од царина ће се стабилизовати на нивоу од 1,1% БДП у наредном периоду. Пројекција наплате прихода од царина рађена је на бази пројектованог кретања увоза, девизног курса и потрошње.</w:t>
      </w:r>
    </w:p>
    <w:p w14:paraId="00496787"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Пројектује се стабилизација учешћа у БДП осталих пореских прихода. Најзначајнији порески приход у овој категорији је порез на имовину чије учешће износи око 70%. Номинално повећање овог прихода може се очекивати по основу проширења основице. Повећање степена наплате, кроз повећање обухвата непокретности на које се порез плаћа (то јест по основу проширења пореске базе), није укључено у пројекције у средњем року и представља позитиван ризик. Поред пореза на имовину, у остале пореске приходе укључују се и порези на употребу, држање и ношење добара, те други облици пореза на локалном нивоу. Они су пројектовани у складу са кретањем инфлације, будући да је инфлаторна компонента уграђена у значајан део ових пореских облика.</w:t>
      </w:r>
    </w:p>
    <w:p w14:paraId="1B156669" w14:textId="7777777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 xml:space="preserve">Предвиђено је смањење учешћа непореских прихода у БДП, са 4,3% колико је приходовано у 2021. години на 3,4% колико се очекује да ће износити у 2025. години. Разлог за смањење пројектованог учешћа непореских прихода у БДП је искључивање из базне </w:t>
      </w:r>
      <w:r w:rsidRPr="00F27A03">
        <w:rPr>
          <w:rFonts w:eastAsia="MS PGothic" w:cstheme="minorHAnsi"/>
          <w:szCs w:val="20"/>
          <w:shd w:val="clear" w:color="auto" w:fill="FFFFFF" w:themeFill="background1"/>
          <w:lang w:val="sr-Cyrl-CS" w:eastAsia="ja-JP"/>
        </w:rPr>
        <w:t>2022.</w:t>
      </w:r>
      <w:r w:rsidRPr="00F27A03">
        <w:rPr>
          <w:rFonts w:eastAsia="MS PGothic" w:cstheme="minorHAnsi"/>
          <w:szCs w:val="20"/>
          <w:lang w:val="sr-Cyrl-CS" w:eastAsia="ja-JP"/>
        </w:rPr>
        <w:t xml:space="preserve"> године свих оних прихода који се не сматрају структурним тј. трајним, а првенствено се то односи на ванредне категорије непореских прихода. Ванредни непорески приходи су углавном једнократни, у одређеној мери неизвесни, како по питању износа, тако и по питању тренутка уплате. Највећи део ових прихода представљају ванредне уплате добити јавних предузећа и агенција, дивиденде </w:t>
      </w:r>
      <w:r w:rsidRPr="00F27A03">
        <w:rPr>
          <w:rFonts w:eastAsia="MS PGothic" w:cstheme="minorHAnsi"/>
          <w:szCs w:val="20"/>
          <w:lang w:val="sr-Cyrl-CS" w:eastAsia="ja-JP"/>
        </w:rPr>
        <w:t>буџета, приходи по основу наплаћених потраживања АОД, емисионе премије, итд. Редовни непорески приходи обухватају различите таксе, накнаде, казне, приходе органа и организација и све остале приходе који се остварују устаљеном динамиком током године. Ови непорески приходи индексирају се са оствареном инфлацијом у претходној години, или пак прате промену у вредности основе на које се примењују и услед тога се коригују пројектованом инфлацијом.</w:t>
      </w:r>
    </w:p>
    <w:p w14:paraId="1F067EBF" w14:textId="16F168F7" w:rsidR="008800D8" w:rsidRPr="00F27A03" w:rsidRDefault="008800D8" w:rsidP="00953528">
      <w:pPr>
        <w:rPr>
          <w:rFonts w:eastAsia="MS PGothic" w:cstheme="minorHAnsi"/>
          <w:szCs w:val="20"/>
          <w:lang w:val="sr-Cyrl-CS" w:eastAsia="ja-JP"/>
        </w:rPr>
      </w:pPr>
      <w:r w:rsidRPr="00F27A03">
        <w:rPr>
          <w:rFonts w:eastAsia="MS PGothic" w:cstheme="minorHAnsi"/>
          <w:szCs w:val="20"/>
          <w:lang w:val="sr-Cyrl-CS" w:eastAsia="ja-JP"/>
        </w:rPr>
        <w:t>Процесом приближавања државе чланству у ЕУ повећавају се расположива средства из ИПА и ИПАРД фондова која чине преовлађујући део прихода од донација. У пројектоване износе по основу донација укључена су и средства по основу секторске буџетске подршке ЕУ. У 2023. години, изузетно,</w:t>
      </w:r>
      <w:r w:rsidR="00E951BE" w:rsidRPr="00F27A03">
        <w:rPr>
          <w:rFonts w:eastAsia="MS PGothic" w:cstheme="minorHAnsi"/>
          <w:szCs w:val="20"/>
          <w:lang w:val="sr-Cyrl-CS" w:eastAsia="ja-JP"/>
        </w:rPr>
        <w:t xml:space="preserve"> </w:t>
      </w:r>
      <w:r w:rsidRPr="00F27A03">
        <w:rPr>
          <w:rFonts w:eastAsia="MS PGothic" w:cstheme="minorHAnsi"/>
          <w:szCs w:val="20"/>
          <w:lang w:val="sr-Cyrl-CS" w:eastAsia="ja-JP"/>
        </w:rPr>
        <w:t>очекује се прилив у износу од 18,4 млрд динара од ЕУ, по основу помоћи за ублажавање енергетске кризе. Приходи по основу донација су неутрални у односу на резултат, с обзиром да су једнаки расходима по овом основу.</w:t>
      </w:r>
    </w:p>
    <w:p w14:paraId="57393AE1" w14:textId="77777777" w:rsidR="008800D8" w:rsidRPr="00F27A03" w:rsidRDefault="008800D8" w:rsidP="00A42963">
      <w:pPr>
        <w:spacing w:after="400"/>
        <w:rPr>
          <w:rFonts w:eastAsia="MS PGothic" w:cstheme="minorHAnsi"/>
          <w:szCs w:val="20"/>
          <w:lang w:val="sr-Cyrl-CS" w:eastAsia="ja-JP"/>
        </w:rPr>
      </w:pPr>
      <w:r w:rsidRPr="00F27A03">
        <w:rPr>
          <w:rFonts w:eastAsia="MS PGothic" w:cstheme="minorHAnsi"/>
          <w:szCs w:val="20"/>
          <w:lang w:val="sr-Cyrl-CS" w:eastAsia="ja-JP"/>
        </w:rPr>
        <w:t xml:space="preserve">Одговорном фискалном политиком у комбинацији са добрим макроекономским перформансама у протеклом периоду обезбеђено је релаксирање политике плата и пензија и значајно повећање капиталних инвестиција као битне компоненте развоја привреде. Посебна пажња је посвећена унапређењу ефикасности реализације капиталних инвестиција државе. Социјална компонента буџета је побољшана бољим таргетирањем програма социјалне помоћи и већим издвајањем за функције здравства и образовања. Дефинисан је и начин индексације пензија. Плате и пензије заједно чине преко </w:t>
      </w:r>
      <w:r w:rsidRPr="00F27A03">
        <w:rPr>
          <w:rFonts w:eastAsia="MS PGothic" w:cstheme="minorHAnsi"/>
          <w:szCs w:val="20"/>
          <w:shd w:val="clear" w:color="auto" w:fill="FFFFFF" w:themeFill="background1"/>
          <w:lang w:val="sr-Cyrl-CS" w:eastAsia="ja-JP"/>
        </w:rPr>
        <w:t>40%</w:t>
      </w:r>
      <w:r w:rsidRPr="00F27A03">
        <w:rPr>
          <w:rFonts w:eastAsia="MS PGothic" w:cstheme="minorHAnsi"/>
          <w:szCs w:val="20"/>
          <w:lang w:val="sr-Cyrl-CS" w:eastAsia="ja-JP"/>
        </w:rPr>
        <w:t xml:space="preserve"> расхода на нивоу опште државе и њихова стабилизација је од пресудног значаја за одрживост јавних финансија.</w:t>
      </w:r>
    </w:p>
    <w:p w14:paraId="4994AD3E" w14:textId="77777777" w:rsidR="008800D8" w:rsidRPr="00F27A03" w:rsidRDefault="008800D8" w:rsidP="00953528">
      <w:pPr>
        <w:rPr>
          <w:rFonts w:eastAsia="MS PGothic" w:cstheme="minorHAnsi"/>
          <w:szCs w:val="20"/>
          <w:lang w:val="sr-Cyrl-CS" w:eastAsia="ja-JP"/>
        </w:rPr>
        <w:sectPr w:rsidR="008800D8" w:rsidRPr="00F27A03" w:rsidSect="00A42963">
          <w:type w:val="continuous"/>
          <w:pgSz w:w="12240" w:h="15840" w:code="1"/>
          <w:pgMar w:top="1440" w:right="1440" w:bottom="1440" w:left="1440" w:header="720" w:footer="720" w:gutter="0"/>
          <w:cols w:num="2" w:space="720"/>
          <w:docGrid w:linePitch="360"/>
        </w:sectPr>
      </w:pPr>
    </w:p>
    <w:p w14:paraId="67C705C1" w14:textId="77777777" w:rsidR="008800D8" w:rsidRPr="00F27A03" w:rsidRDefault="008800D8">
      <w:pPr>
        <w:jc w:val="left"/>
        <w:rPr>
          <w:rFonts w:eastAsia="MS PGothic" w:cstheme="minorHAnsi"/>
          <w:b/>
          <w:color w:val="002060"/>
          <w:szCs w:val="20"/>
          <w:lang w:val="sr-Cyrl-CS" w:eastAsia="ja-JP"/>
        </w:rPr>
      </w:pPr>
      <w:r w:rsidRPr="00F27A03">
        <w:rPr>
          <w:rFonts w:eastAsia="MS PGothic" w:cstheme="minorHAnsi"/>
          <w:b/>
          <w:color w:val="002060"/>
          <w:szCs w:val="20"/>
          <w:lang w:val="sr-Cyrl-CS" w:eastAsia="ja-JP"/>
        </w:rPr>
        <w:br w:type="page"/>
      </w:r>
    </w:p>
    <w:p w14:paraId="59349BF9" w14:textId="2A97AFAE" w:rsidR="008800D8" w:rsidRPr="00F27A03" w:rsidRDefault="008800D8" w:rsidP="005E54B2">
      <w:pPr>
        <w:keepNext/>
        <w:spacing w:after="120" w:line="276" w:lineRule="auto"/>
        <w:jc w:val="center"/>
        <w:rPr>
          <w:rFonts w:eastAsia="MS PGothic" w:cstheme="minorHAnsi"/>
          <w:b/>
          <w:color w:val="002060"/>
          <w:szCs w:val="20"/>
          <w:lang w:val="sr-Cyrl-CS" w:eastAsia="ja-JP"/>
        </w:rPr>
      </w:pPr>
      <w:r w:rsidRPr="00F27A03">
        <w:rPr>
          <w:rFonts w:eastAsia="MS PGothic" w:cstheme="minorHAnsi"/>
          <w:b/>
          <w:color w:val="002060"/>
          <w:szCs w:val="20"/>
          <w:lang w:val="sr-Cyrl-CS" w:eastAsia="ja-JP"/>
        </w:rPr>
        <w:lastRenderedPageBreak/>
        <w:t>Табела 1</w:t>
      </w:r>
      <w:r w:rsidR="00EB3946" w:rsidRPr="00F27A03">
        <w:rPr>
          <w:rFonts w:eastAsia="MS PGothic" w:cstheme="minorHAnsi"/>
          <w:b/>
          <w:color w:val="002060"/>
          <w:szCs w:val="20"/>
          <w:lang w:val="sr-Cyrl-CS" w:eastAsia="ja-JP"/>
        </w:rPr>
        <w:t>0</w:t>
      </w:r>
      <w:r w:rsidRPr="00F27A03">
        <w:rPr>
          <w:rFonts w:eastAsia="MS PGothic" w:cstheme="minorHAnsi"/>
          <w:b/>
          <w:color w:val="002060"/>
          <w:szCs w:val="20"/>
          <w:lang w:val="sr-Cyrl-CS" w:eastAsia="ja-JP"/>
        </w:rPr>
        <w:t>. Укупни расходи у периоду 2021–2025. године, % БДП</w:t>
      </w:r>
    </w:p>
    <w:tbl>
      <w:tblPr>
        <w:tblStyle w:val="LightShading-Accent1221"/>
        <w:tblW w:w="4952" w:type="pct"/>
        <w:tblLook w:val="0420" w:firstRow="1" w:lastRow="0" w:firstColumn="0" w:lastColumn="0" w:noHBand="0" w:noVBand="1"/>
      </w:tblPr>
      <w:tblGrid>
        <w:gridCol w:w="3647"/>
        <w:gridCol w:w="1194"/>
        <w:gridCol w:w="1194"/>
        <w:gridCol w:w="1077"/>
        <w:gridCol w:w="1077"/>
        <w:gridCol w:w="1081"/>
      </w:tblGrid>
      <w:tr w:rsidR="008800D8" w:rsidRPr="00F27A03" w14:paraId="12854780" w14:textId="77777777" w:rsidTr="001940DA">
        <w:trPr>
          <w:cnfStyle w:val="100000000000" w:firstRow="1" w:lastRow="0" w:firstColumn="0" w:lastColumn="0" w:oddVBand="0" w:evenVBand="0" w:oddHBand="0" w:evenHBand="0" w:firstRowFirstColumn="0" w:firstRowLastColumn="0" w:lastRowFirstColumn="0" w:lastRowLastColumn="0"/>
          <w:trHeight w:val="49"/>
        </w:trPr>
        <w:tc>
          <w:tcPr>
            <w:tcW w:w="1967" w:type="pct"/>
            <w:tcBorders>
              <w:top w:val="single" w:sz="4" w:space="0" w:color="002060"/>
              <w:bottom w:val="single" w:sz="4" w:space="0" w:color="002060"/>
            </w:tcBorders>
            <w:noWrap/>
            <w:vAlign w:val="center"/>
          </w:tcPr>
          <w:p w14:paraId="525077A6" w14:textId="77777777" w:rsidR="008800D8" w:rsidRPr="00F27A03" w:rsidRDefault="008800D8" w:rsidP="00A42963">
            <w:pPr>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CS"/>
              </w:rPr>
            </w:pPr>
            <w:r w:rsidRPr="00F27A03">
              <w:rPr>
                <w:rFonts w:asciiTheme="minorHAnsi" w:hAnsiTheme="minorHAnsi" w:cstheme="minorHAnsi"/>
                <w:b w:val="0"/>
                <w:color w:val="002060"/>
                <w:sz w:val="18"/>
                <w:lang w:val="sr-Cyrl-CS"/>
              </w:rPr>
              <w:t>Опис</w:t>
            </w:r>
          </w:p>
        </w:tc>
        <w:tc>
          <w:tcPr>
            <w:tcW w:w="644" w:type="pct"/>
            <w:tcBorders>
              <w:top w:val="single" w:sz="4" w:space="0" w:color="002060"/>
              <w:bottom w:val="single" w:sz="4" w:space="0" w:color="002060"/>
            </w:tcBorders>
            <w:vAlign w:val="center"/>
          </w:tcPr>
          <w:p w14:paraId="740AED20" w14:textId="77777777" w:rsidR="008800D8" w:rsidRPr="00F27A03" w:rsidRDefault="008800D8"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F27A03">
              <w:rPr>
                <w:rFonts w:asciiTheme="minorHAnsi" w:hAnsiTheme="minorHAnsi" w:cstheme="minorHAnsi"/>
                <w:b w:val="0"/>
                <w:color w:val="002060"/>
                <w:sz w:val="18"/>
                <w:lang w:val="sr-Cyrl-CS"/>
              </w:rPr>
              <w:t>Извршење</w:t>
            </w:r>
          </w:p>
        </w:tc>
        <w:tc>
          <w:tcPr>
            <w:tcW w:w="644" w:type="pct"/>
            <w:tcBorders>
              <w:top w:val="single" w:sz="4" w:space="0" w:color="002060"/>
              <w:bottom w:val="single" w:sz="4" w:space="0" w:color="002060"/>
            </w:tcBorders>
            <w:vAlign w:val="center"/>
          </w:tcPr>
          <w:p w14:paraId="6237CBF3" w14:textId="77777777" w:rsidR="008800D8" w:rsidRPr="00F27A03" w:rsidRDefault="008800D8"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F27A03">
              <w:rPr>
                <w:rFonts w:asciiTheme="minorHAnsi" w:hAnsiTheme="minorHAnsi" w:cstheme="minorHAnsi"/>
                <w:b w:val="0"/>
                <w:color w:val="002060"/>
                <w:sz w:val="18"/>
                <w:lang w:val="sr-Cyrl-CS"/>
              </w:rPr>
              <w:t>Процена</w:t>
            </w:r>
          </w:p>
        </w:tc>
        <w:tc>
          <w:tcPr>
            <w:tcW w:w="1745" w:type="pct"/>
            <w:gridSpan w:val="3"/>
            <w:tcBorders>
              <w:top w:val="single" w:sz="4" w:space="0" w:color="002060"/>
              <w:bottom w:val="single" w:sz="4" w:space="0" w:color="002060"/>
            </w:tcBorders>
            <w:vAlign w:val="center"/>
          </w:tcPr>
          <w:p w14:paraId="119815B4" w14:textId="77777777" w:rsidR="008800D8" w:rsidRPr="00F27A03" w:rsidRDefault="008800D8" w:rsidP="00C130D2">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CS"/>
              </w:rPr>
            </w:pPr>
            <w:r w:rsidRPr="00F27A03">
              <w:rPr>
                <w:rFonts w:asciiTheme="minorHAnsi" w:hAnsiTheme="minorHAnsi" w:cstheme="minorHAnsi"/>
                <w:b w:val="0"/>
                <w:color w:val="002060"/>
                <w:sz w:val="18"/>
                <w:lang w:val="sr-Cyrl-CS"/>
              </w:rPr>
              <w:t>Пројекција</w:t>
            </w:r>
          </w:p>
        </w:tc>
      </w:tr>
      <w:tr w:rsidR="008800D8" w:rsidRPr="00F27A03" w14:paraId="12B2A828"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tcBorders>
              <w:top w:val="single" w:sz="4" w:space="0" w:color="002060"/>
              <w:bottom w:val="nil"/>
            </w:tcBorders>
            <w:shd w:val="clear" w:color="auto" w:fill="FFFFFF" w:themeFill="background1"/>
            <w:noWrap/>
          </w:tcPr>
          <w:p w14:paraId="1E14BA51" w14:textId="77777777" w:rsidR="008800D8" w:rsidRPr="00F27A03" w:rsidRDefault="008800D8" w:rsidP="00A42963">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p>
        </w:tc>
        <w:tc>
          <w:tcPr>
            <w:tcW w:w="644" w:type="pct"/>
            <w:tcBorders>
              <w:top w:val="single" w:sz="4" w:space="0" w:color="002060"/>
              <w:bottom w:val="single" w:sz="4" w:space="0" w:color="002060"/>
            </w:tcBorders>
            <w:shd w:val="clear" w:color="auto" w:fill="FFFFFF" w:themeFill="background1"/>
          </w:tcPr>
          <w:p w14:paraId="1C3C6D7A" w14:textId="77777777" w:rsidR="008800D8" w:rsidRPr="00F27A03" w:rsidRDefault="008800D8"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2021</w:t>
            </w:r>
          </w:p>
        </w:tc>
        <w:tc>
          <w:tcPr>
            <w:tcW w:w="644" w:type="pct"/>
            <w:tcBorders>
              <w:top w:val="single" w:sz="4" w:space="0" w:color="002060"/>
              <w:bottom w:val="single" w:sz="4" w:space="0" w:color="002060"/>
            </w:tcBorders>
            <w:shd w:val="clear" w:color="auto" w:fill="FFFFFF" w:themeFill="background1"/>
          </w:tcPr>
          <w:p w14:paraId="55408FB3" w14:textId="77777777" w:rsidR="008800D8" w:rsidRPr="00F27A03" w:rsidRDefault="008800D8"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2022</w:t>
            </w:r>
          </w:p>
        </w:tc>
        <w:tc>
          <w:tcPr>
            <w:tcW w:w="581" w:type="pct"/>
            <w:tcBorders>
              <w:top w:val="single" w:sz="4" w:space="0" w:color="002060"/>
              <w:bottom w:val="single" w:sz="4" w:space="0" w:color="002060"/>
            </w:tcBorders>
            <w:shd w:val="clear" w:color="auto" w:fill="FFFFFF" w:themeFill="background1"/>
          </w:tcPr>
          <w:p w14:paraId="28D5B094" w14:textId="77777777" w:rsidR="008800D8" w:rsidRPr="00F27A03" w:rsidRDefault="008800D8"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2023</w:t>
            </w:r>
          </w:p>
        </w:tc>
        <w:tc>
          <w:tcPr>
            <w:tcW w:w="581" w:type="pct"/>
            <w:tcBorders>
              <w:top w:val="single" w:sz="4" w:space="0" w:color="002060"/>
              <w:bottom w:val="single" w:sz="4" w:space="0" w:color="002060"/>
            </w:tcBorders>
            <w:shd w:val="clear" w:color="auto" w:fill="FFFFFF" w:themeFill="background1"/>
          </w:tcPr>
          <w:p w14:paraId="28E3DC7B" w14:textId="77777777" w:rsidR="008800D8" w:rsidRPr="00F27A03" w:rsidRDefault="008800D8"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2024</w:t>
            </w:r>
          </w:p>
        </w:tc>
        <w:tc>
          <w:tcPr>
            <w:tcW w:w="583" w:type="pct"/>
            <w:tcBorders>
              <w:top w:val="single" w:sz="4" w:space="0" w:color="002060"/>
              <w:bottom w:val="single" w:sz="4" w:space="0" w:color="002060"/>
            </w:tcBorders>
            <w:shd w:val="clear" w:color="auto" w:fill="FFFFFF" w:themeFill="background1"/>
          </w:tcPr>
          <w:p w14:paraId="488E35CC" w14:textId="77777777" w:rsidR="008800D8" w:rsidRPr="00F27A03" w:rsidRDefault="008800D8"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2025</w:t>
            </w:r>
          </w:p>
        </w:tc>
      </w:tr>
      <w:tr w:rsidR="008800D8" w:rsidRPr="00F27A03" w14:paraId="2D2FD694" w14:textId="77777777" w:rsidTr="00953528">
        <w:trPr>
          <w:trHeight w:val="49"/>
        </w:trPr>
        <w:tc>
          <w:tcPr>
            <w:tcW w:w="1967" w:type="pct"/>
            <w:tcBorders>
              <w:top w:val="nil"/>
            </w:tcBorders>
            <w:shd w:val="clear" w:color="auto" w:fill="FFFFFF" w:themeFill="background1"/>
          </w:tcPr>
          <w:p w14:paraId="6AE9C039" w14:textId="77777777" w:rsidR="008800D8" w:rsidRPr="00F27A03" w:rsidRDefault="008800D8" w:rsidP="00A42963">
            <w:pPr>
              <w:widowControl w:val="0"/>
              <w:shd w:val="clear" w:color="auto" w:fill="FFFFFF" w:themeFill="background1"/>
              <w:spacing w:line="276" w:lineRule="auto"/>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ЈАВНИ РАСХОДИ</w:t>
            </w:r>
          </w:p>
        </w:tc>
        <w:tc>
          <w:tcPr>
            <w:tcW w:w="644" w:type="pct"/>
            <w:tcBorders>
              <w:top w:val="single" w:sz="4" w:space="0" w:color="002060"/>
            </w:tcBorders>
            <w:shd w:val="clear" w:color="auto" w:fill="FFFFFF" w:themeFill="background1"/>
          </w:tcPr>
          <w:p w14:paraId="248045AB"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47,4</w:t>
            </w:r>
          </w:p>
        </w:tc>
        <w:tc>
          <w:tcPr>
            <w:tcW w:w="644" w:type="pct"/>
            <w:tcBorders>
              <w:top w:val="single" w:sz="4" w:space="0" w:color="002060"/>
            </w:tcBorders>
            <w:shd w:val="clear" w:color="auto" w:fill="FFFFFF" w:themeFill="background1"/>
            <w:noWrap/>
          </w:tcPr>
          <w:p w14:paraId="67FD6771"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46,8</w:t>
            </w:r>
          </w:p>
        </w:tc>
        <w:tc>
          <w:tcPr>
            <w:tcW w:w="581" w:type="pct"/>
            <w:tcBorders>
              <w:top w:val="single" w:sz="4" w:space="0" w:color="002060"/>
            </w:tcBorders>
            <w:shd w:val="clear" w:color="auto" w:fill="FFFFFF" w:themeFill="background1"/>
            <w:noWrap/>
          </w:tcPr>
          <w:p w14:paraId="7F764E56"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44,2</w:t>
            </w:r>
          </w:p>
        </w:tc>
        <w:tc>
          <w:tcPr>
            <w:tcW w:w="581" w:type="pct"/>
            <w:tcBorders>
              <w:top w:val="single" w:sz="4" w:space="0" w:color="002060"/>
            </w:tcBorders>
            <w:shd w:val="clear" w:color="auto" w:fill="FFFFFF" w:themeFill="background1"/>
            <w:noWrap/>
          </w:tcPr>
          <w:p w14:paraId="78A835D8"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42,5</w:t>
            </w:r>
          </w:p>
        </w:tc>
        <w:tc>
          <w:tcPr>
            <w:tcW w:w="583" w:type="pct"/>
            <w:tcBorders>
              <w:top w:val="single" w:sz="4" w:space="0" w:color="002060"/>
            </w:tcBorders>
            <w:shd w:val="clear" w:color="auto" w:fill="FFFFFF" w:themeFill="background1"/>
            <w:noWrap/>
          </w:tcPr>
          <w:p w14:paraId="6826A25E"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41,0</w:t>
            </w:r>
          </w:p>
        </w:tc>
      </w:tr>
      <w:tr w:rsidR="008800D8" w:rsidRPr="00F27A03" w14:paraId="13FA4D3E"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1F47AADC" w14:textId="77777777" w:rsidR="008800D8" w:rsidRPr="00F27A03" w:rsidRDefault="008800D8" w:rsidP="00A42963">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 xml:space="preserve"> Текући расходи</w:t>
            </w:r>
          </w:p>
        </w:tc>
        <w:tc>
          <w:tcPr>
            <w:tcW w:w="644" w:type="pct"/>
            <w:shd w:val="clear" w:color="auto" w:fill="FFFFFF" w:themeFill="background1"/>
          </w:tcPr>
          <w:p w14:paraId="1B726B27"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39,0</w:t>
            </w:r>
          </w:p>
        </w:tc>
        <w:tc>
          <w:tcPr>
            <w:tcW w:w="644" w:type="pct"/>
            <w:shd w:val="clear" w:color="auto" w:fill="FFFFFF" w:themeFill="background1"/>
            <w:noWrap/>
          </w:tcPr>
          <w:p w14:paraId="0F85779C"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37,1</w:t>
            </w:r>
          </w:p>
        </w:tc>
        <w:tc>
          <w:tcPr>
            <w:tcW w:w="581" w:type="pct"/>
            <w:shd w:val="clear" w:color="auto" w:fill="FFFFFF" w:themeFill="background1"/>
            <w:noWrap/>
          </w:tcPr>
          <w:p w14:paraId="0E4A573E"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35,3</w:t>
            </w:r>
          </w:p>
        </w:tc>
        <w:tc>
          <w:tcPr>
            <w:tcW w:w="581" w:type="pct"/>
            <w:shd w:val="clear" w:color="auto" w:fill="FFFFFF" w:themeFill="background1"/>
            <w:noWrap/>
          </w:tcPr>
          <w:p w14:paraId="5501A882"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35,2</w:t>
            </w:r>
          </w:p>
        </w:tc>
        <w:tc>
          <w:tcPr>
            <w:tcW w:w="583" w:type="pct"/>
            <w:shd w:val="clear" w:color="auto" w:fill="FFFFFF" w:themeFill="background1"/>
            <w:noWrap/>
          </w:tcPr>
          <w:p w14:paraId="3BAA6BE7"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34,6</w:t>
            </w:r>
          </w:p>
        </w:tc>
      </w:tr>
      <w:tr w:rsidR="008800D8" w:rsidRPr="00F27A03" w14:paraId="74786016" w14:textId="77777777" w:rsidTr="00953528">
        <w:trPr>
          <w:trHeight w:val="49"/>
        </w:trPr>
        <w:tc>
          <w:tcPr>
            <w:tcW w:w="1967" w:type="pct"/>
            <w:shd w:val="clear" w:color="auto" w:fill="FFFFFF" w:themeFill="background1"/>
          </w:tcPr>
          <w:p w14:paraId="04721294" w14:textId="77777777" w:rsidR="008800D8" w:rsidRPr="00F27A03" w:rsidRDefault="008800D8" w:rsidP="00A42963">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Расходи за запослене</w:t>
            </w:r>
          </w:p>
        </w:tc>
        <w:tc>
          <w:tcPr>
            <w:tcW w:w="644" w:type="pct"/>
            <w:shd w:val="clear" w:color="auto" w:fill="FFFFFF" w:themeFill="background1"/>
          </w:tcPr>
          <w:p w14:paraId="273F5D15"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10,0</w:t>
            </w:r>
          </w:p>
        </w:tc>
        <w:tc>
          <w:tcPr>
            <w:tcW w:w="644" w:type="pct"/>
            <w:shd w:val="clear" w:color="auto" w:fill="FFFFFF" w:themeFill="background1"/>
            <w:noWrap/>
          </w:tcPr>
          <w:p w14:paraId="44E2B3A3"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9,7</w:t>
            </w:r>
          </w:p>
        </w:tc>
        <w:tc>
          <w:tcPr>
            <w:tcW w:w="581" w:type="pct"/>
            <w:shd w:val="clear" w:color="auto" w:fill="FFFFFF" w:themeFill="background1"/>
            <w:noWrap/>
          </w:tcPr>
          <w:p w14:paraId="48125938"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9,6</w:t>
            </w:r>
          </w:p>
        </w:tc>
        <w:tc>
          <w:tcPr>
            <w:tcW w:w="581" w:type="pct"/>
            <w:shd w:val="clear" w:color="auto" w:fill="FFFFFF" w:themeFill="background1"/>
            <w:noWrap/>
          </w:tcPr>
          <w:p w14:paraId="02F58D7E"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9,6</w:t>
            </w:r>
          </w:p>
        </w:tc>
        <w:tc>
          <w:tcPr>
            <w:tcW w:w="583" w:type="pct"/>
            <w:shd w:val="clear" w:color="auto" w:fill="FFFFFF" w:themeFill="background1"/>
            <w:noWrap/>
          </w:tcPr>
          <w:p w14:paraId="2141CD94"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9,6</w:t>
            </w:r>
          </w:p>
        </w:tc>
      </w:tr>
      <w:tr w:rsidR="008800D8" w:rsidRPr="00F27A03" w14:paraId="59B818D1"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490B1B1C" w14:textId="77777777" w:rsidR="008800D8" w:rsidRPr="00F27A03" w:rsidRDefault="008800D8" w:rsidP="00A42963">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Куповина робе и услуга</w:t>
            </w:r>
          </w:p>
        </w:tc>
        <w:tc>
          <w:tcPr>
            <w:tcW w:w="644" w:type="pct"/>
            <w:shd w:val="clear" w:color="auto" w:fill="FFFFFF" w:themeFill="background1"/>
          </w:tcPr>
          <w:p w14:paraId="4A1BE966"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7,8</w:t>
            </w:r>
          </w:p>
        </w:tc>
        <w:tc>
          <w:tcPr>
            <w:tcW w:w="644" w:type="pct"/>
            <w:shd w:val="clear" w:color="auto" w:fill="FFFFFF" w:themeFill="background1"/>
            <w:noWrap/>
          </w:tcPr>
          <w:p w14:paraId="2BD5BAEF"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7,8</w:t>
            </w:r>
          </w:p>
        </w:tc>
        <w:tc>
          <w:tcPr>
            <w:tcW w:w="581" w:type="pct"/>
            <w:shd w:val="clear" w:color="auto" w:fill="FFFFFF" w:themeFill="background1"/>
            <w:noWrap/>
          </w:tcPr>
          <w:p w14:paraId="4171243D"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7,2</w:t>
            </w:r>
          </w:p>
        </w:tc>
        <w:tc>
          <w:tcPr>
            <w:tcW w:w="581" w:type="pct"/>
            <w:shd w:val="clear" w:color="auto" w:fill="FFFFFF" w:themeFill="background1"/>
            <w:noWrap/>
          </w:tcPr>
          <w:p w14:paraId="2C880197"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6,9</w:t>
            </w:r>
          </w:p>
        </w:tc>
        <w:tc>
          <w:tcPr>
            <w:tcW w:w="583" w:type="pct"/>
            <w:shd w:val="clear" w:color="auto" w:fill="FFFFFF" w:themeFill="background1"/>
            <w:noWrap/>
          </w:tcPr>
          <w:p w14:paraId="78B1D7FE"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6,7</w:t>
            </w:r>
          </w:p>
        </w:tc>
      </w:tr>
      <w:tr w:rsidR="008800D8" w:rsidRPr="00F27A03" w14:paraId="4660B2DF" w14:textId="77777777" w:rsidTr="00953528">
        <w:trPr>
          <w:trHeight w:val="49"/>
        </w:trPr>
        <w:tc>
          <w:tcPr>
            <w:tcW w:w="1967" w:type="pct"/>
            <w:shd w:val="clear" w:color="auto" w:fill="FFFFFF" w:themeFill="background1"/>
          </w:tcPr>
          <w:p w14:paraId="069CF959" w14:textId="77777777" w:rsidR="008800D8" w:rsidRPr="00F27A03" w:rsidRDefault="008800D8" w:rsidP="00A42963">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Отплата камата</w:t>
            </w:r>
          </w:p>
        </w:tc>
        <w:tc>
          <w:tcPr>
            <w:tcW w:w="644" w:type="pct"/>
            <w:shd w:val="clear" w:color="auto" w:fill="FFFFFF" w:themeFill="background1"/>
          </w:tcPr>
          <w:p w14:paraId="4F1682A1"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1,7</w:t>
            </w:r>
          </w:p>
        </w:tc>
        <w:tc>
          <w:tcPr>
            <w:tcW w:w="644" w:type="pct"/>
            <w:shd w:val="clear" w:color="auto" w:fill="FFFFFF" w:themeFill="background1"/>
            <w:noWrap/>
          </w:tcPr>
          <w:p w14:paraId="2D9E3647"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1,6</w:t>
            </w:r>
          </w:p>
        </w:tc>
        <w:tc>
          <w:tcPr>
            <w:tcW w:w="581" w:type="pct"/>
            <w:shd w:val="clear" w:color="auto" w:fill="FFFFFF" w:themeFill="background1"/>
            <w:noWrap/>
          </w:tcPr>
          <w:p w14:paraId="299508D4"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1,8</w:t>
            </w:r>
          </w:p>
        </w:tc>
        <w:tc>
          <w:tcPr>
            <w:tcW w:w="581" w:type="pct"/>
            <w:shd w:val="clear" w:color="auto" w:fill="FFFFFF" w:themeFill="background1"/>
            <w:noWrap/>
          </w:tcPr>
          <w:p w14:paraId="558067FC" w14:textId="77777777" w:rsidR="008800D8" w:rsidRPr="00F27A03" w:rsidRDefault="008800D8" w:rsidP="00A42963">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2,1</w:t>
            </w:r>
          </w:p>
        </w:tc>
        <w:tc>
          <w:tcPr>
            <w:tcW w:w="583" w:type="pct"/>
            <w:shd w:val="clear" w:color="auto" w:fill="FFFFFF" w:themeFill="background1"/>
            <w:noWrap/>
          </w:tcPr>
          <w:p w14:paraId="3A220683"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1,9</w:t>
            </w:r>
          </w:p>
        </w:tc>
      </w:tr>
      <w:tr w:rsidR="008800D8" w:rsidRPr="00F27A03" w14:paraId="3ADE21BE"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06BAE257" w14:textId="77777777" w:rsidR="008800D8" w:rsidRPr="00F27A03" w:rsidRDefault="008800D8" w:rsidP="00A42963">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Субвенције</w:t>
            </w:r>
          </w:p>
        </w:tc>
        <w:tc>
          <w:tcPr>
            <w:tcW w:w="644" w:type="pct"/>
            <w:shd w:val="clear" w:color="auto" w:fill="FFFFFF" w:themeFill="background1"/>
          </w:tcPr>
          <w:p w14:paraId="4A89E877"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3,3</w:t>
            </w:r>
          </w:p>
        </w:tc>
        <w:tc>
          <w:tcPr>
            <w:tcW w:w="644" w:type="pct"/>
            <w:shd w:val="clear" w:color="auto" w:fill="FFFFFF" w:themeFill="background1"/>
            <w:noWrap/>
          </w:tcPr>
          <w:p w14:paraId="27A7F44D"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2,6</w:t>
            </w:r>
          </w:p>
        </w:tc>
        <w:tc>
          <w:tcPr>
            <w:tcW w:w="581" w:type="pct"/>
            <w:shd w:val="clear" w:color="auto" w:fill="FFFFFF" w:themeFill="background1"/>
            <w:noWrap/>
          </w:tcPr>
          <w:p w14:paraId="7153E3FE"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2,7</w:t>
            </w:r>
          </w:p>
        </w:tc>
        <w:tc>
          <w:tcPr>
            <w:tcW w:w="581" w:type="pct"/>
            <w:shd w:val="clear" w:color="auto" w:fill="FFFFFF" w:themeFill="background1"/>
            <w:noWrap/>
          </w:tcPr>
          <w:p w14:paraId="3A5E860E"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2.2</w:t>
            </w:r>
          </w:p>
        </w:tc>
        <w:tc>
          <w:tcPr>
            <w:tcW w:w="583" w:type="pct"/>
            <w:shd w:val="clear" w:color="auto" w:fill="FFFFFF" w:themeFill="background1"/>
            <w:noWrap/>
          </w:tcPr>
          <w:p w14:paraId="57498773"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2,1</w:t>
            </w:r>
          </w:p>
        </w:tc>
      </w:tr>
      <w:tr w:rsidR="008800D8" w:rsidRPr="00F27A03" w14:paraId="43E386B7" w14:textId="77777777" w:rsidTr="00953528">
        <w:trPr>
          <w:trHeight w:val="49"/>
        </w:trPr>
        <w:tc>
          <w:tcPr>
            <w:tcW w:w="1967" w:type="pct"/>
            <w:shd w:val="clear" w:color="auto" w:fill="FFFFFF" w:themeFill="background1"/>
          </w:tcPr>
          <w:p w14:paraId="76C13D21" w14:textId="77777777" w:rsidR="008800D8" w:rsidRPr="00F27A03" w:rsidRDefault="008800D8" w:rsidP="00A42963">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Социјална помоћ и трансфери</w:t>
            </w:r>
          </w:p>
        </w:tc>
        <w:tc>
          <w:tcPr>
            <w:tcW w:w="644" w:type="pct"/>
            <w:shd w:val="clear" w:color="auto" w:fill="FFFFFF" w:themeFill="background1"/>
          </w:tcPr>
          <w:p w14:paraId="6E530349"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13,6</w:t>
            </w:r>
          </w:p>
        </w:tc>
        <w:tc>
          <w:tcPr>
            <w:tcW w:w="644" w:type="pct"/>
            <w:shd w:val="clear" w:color="auto" w:fill="FFFFFF" w:themeFill="background1"/>
            <w:noWrap/>
          </w:tcPr>
          <w:p w14:paraId="01B201BB"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13,0</w:t>
            </w:r>
          </w:p>
        </w:tc>
        <w:tc>
          <w:tcPr>
            <w:tcW w:w="581" w:type="pct"/>
            <w:shd w:val="clear" w:color="auto" w:fill="FFFFFF" w:themeFill="background1"/>
            <w:noWrap/>
          </w:tcPr>
          <w:p w14:paraId="24F9204D"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13,0</w:t>
            </w:r>
          </w:p>
        </w:tc>
        <w:tc>
          <w:tcPr>
            <w:tcW w:w="581" w:type="pct"/>
            <w:shd w:val="clear" w:color="auto" w:fill="FFFFFF" w:themeFill="background1"/>
            <w:noWrap/>
          </w:tcPr>
          <w:p w14:paraId="0458FAC0"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13.2</w:t>
            </w:r>
          </w:p>
        </w:tc>
        <w:tc>
          <w:tcPr>
            <w:tcW w:w="583" w:type="pct"/>
            <w:shd w:val="clear" w:color="auto" w:fill="FFFFFF" w:themeFill="background1"/>
            <w:noWrap/>
          </w:tcPr>
          <w:p w14:paraId="64985AE2"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13,1</w:t>
            </w:r>
          </w:p>
        </w:tc>
      </w:tr>
      <w:tr w:rsidR="008800D8" w:rsidRPr="00F27A03" w14:paraId="424C9FA6" w14:textId="77777777" w:rsidTr="00953528">
        <w:trPr>
          <w:cnfStyle w:val="000000100000" w:firstRow="0" w:lastRow="0" w:firstColumn="0" w:lastColumn="0" w:oddVBand="0" w:evenVBand="0" w:oddHBand="1" w:evenHBand="0" w:firstRowFirstColumn="0" w:firstRowLastColumn="0" w:lastRowFirstColumn="0" w:lastRowLastColumn="0"/>
          <w:trHeight w:val="104"/>
        </w:trPr>
        <w:tc>
          <w:tcPr>
            <w:tcW w:w="1967" w:type="pct"/>
            <w:shd w:val="clear" w:color="auto" w:fill="FFFFFF" w:themeFill="background1"/>
          </w:tcPr>
          <w:p w14:paraId="0AB3E291" w14:textId="77777777" w:rsidR="008800D8" w:rsidRPr="00F27A03" w:rsidRDefault="008800D8" w:rsidP="00A42963">
            <w:pPr>
              <w:widowControl w:val="0"/>
              <w:shd w:val="clear" w:color="auto" w:fill="FFFFFF" w:themeFill="background1"/>
              <w:spacing w:line="276" w:lineRule="auto"/>
              <w:ind w:left="397"/>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од чега пензије</w:t>
            </w:r>
          </w:p>
        </w:tc>
        <w:tc>
          <w:tcPr>
            <w:tcW w:w="644" w:type="pct"/>
            <w:shd w:val="clear" w:color="auto" w:fill="FFFFFF" w:themeFill="background1"/>
          </w:tcPr>
          <w:p w14:paraId="32077E1D" w14:textId="77777777" w:rsidR="008800D8" w:rsidRPr="00F27A03" w:rsidRDefault="008800D8" w:rsidP="00953528">
            <w:pPr>
              <w:shd w:val="clear" w:color="auto" w:fill="FFFFFF" w:themeFill="background1"/>
              <w:spacing w:line="276" w:lineRule="auto"/>
              <w:jc w:val="right"/>
              <w:rPr>
                <w:rFonts w:asciiTheme="minorHAnsi" w:hAnsiTheme="minorHAnsi" w:cstheme="minorHAnsi"/>
                <w:i/>
                <w:color w:val="002060"/>
                <w:sz w:val="18"/>
                <w:szCs w:val="18"/>
                <w:lang w:val="sr-Cyrl-CS"/>
              </w:rPr>
            </w:pPr>
            <w:r w:rsidRPr="00F27A03">
              <w:rPr>
                <w:rFonts w:asciiTheme="minorHAnsi" w:hAnsiTheme="minorHAnsi" w:cstheme="minorHAnsi"/>
                <w:i/>
                <w:color w:val="002060"/>
                <w:sz w:val="18"/>
                <w:szCs w:val="18"/>
                <w:lang w:val="sr-Cyrl-CS"/>
              </w:rPr>
              <w:t>9,7</w:t>
            </w:r>
          </w:p>
        </w:tc>
        <w:tc>
          <w:tcPr>
            <w:tcW w:w="644" w:type="pct"/>
            <w:shd w:val="clear" w:color="auto" w:fill="FFFFFF" w:themeFill="background1"/>
            <w:noWrap/>
          </w:tcPr>
          <w:p w14:paraId="647DE32B" w14:textId="77777777" w:rsidR="008800D8" w:rsidRPr="00F27A03" w:rsidRDefault="008800D8" w:rsidP="00A42963">
            <w:pPr>
              <w:shd w:val="clear" w:color="auto" w:fill="FFFFFF" w:themeFill="background1"/>
              <w:spacing w:line="276" w:lineRule="auto"/>
              <w:jc w:val="right"/>
              <w:rPr>
                <w:rFonts w:asciiTheme="minorHAnsi" w:hAnsiTheme="minorHAnsi" w:cstheme="minorHAnsi"/>
                <w:i/>
                <w:color w:val="002060"/>
                <w:sz w:val="18"/>
                <w:szCs w:val="18"/>
                <w:lang w:val="sr-Cyrl-CS"/>
              </w:rPr>
            </w:pPr>
            <w:r w:rsidRPr="00F27A03">
              <w:rPr>
                <w:rFonts w:asciiTheme="minorHAnsi" w:hAnsiTheme="minorHAnsi" w:cstheme="minorHAnsi"/>
                <w:i/>
                <w:color w:val="002060"/>
                <w:sz w:val="18"/>
                <w:szCs w:val="18"/>
                <w:lang w:val="sr-Cyrl-CS"/>
              </w:rPr>
              <w:t>9,0</w:t>
            </w:r>
          </w:p>
        </w:tc>
        <w:tc>
          <w:tcPr>
            <w:tcW w:w="581" w:type="pct"/>
            <w:shd w:val="clear" w:color="auto" w:fill="FFFFFF" w:themeFill="background1"/>
            <w:noWrap/>
          </w:tcPr>
          <w:p w14:paraId="4C80D125" w14:textId="77777777" w:rsidR="008800D8" w:rsidRPr="00F27A03" w:rsidRDefault="008800D8" w:rsidP="00953528">
            <w:pPr>
              <w:shd w:val="clear" w:color="auto" w:fill="FFFFFF" w:themeFill="background1"/>
              <w:spacing w:line="276" w:lineRule="auto"/>
              <w:jc w:val="right"/>
              <w:rPr>
                <w:rFonts w:asciiTheme="minorHAnsi" w:hAnsiTheme="minorHAnsi" w:cstheme="minorHAnsi"/>
                <w:i/>
                <w:color w:val="002060"/>
                <w:sz w:val="18"/>
                <w:szCs w:val="18"/>
                <w:lang w:val="sr-Cyrl-CS"/>
              </w:rPr>
            </w:pPr>
            <w:r w:rsidRPr="00F27A03">
              <w:rPr>
                <w:rFonts w:asciiTheme="minorHAnsi" w:hAnsiTheme="minorHAnsi" w:cstheme="minorHAnsi"/>
                <w:i/>
                <w:color w:val="002060"/>
                <w:sz w:val="18"/>
                <w:szCs w:val="18"/>
                <w:lang w:val="sr-Cyrl-CS"/>
              </w:rPr>
              <w:t>9,6</w:t>
            </w:r>
          </w:p>
        </w:tc>
        <w:tc>
          <w:tcPr>
            <w:tcW w:w="581" w:type="pct"/>
            <w:shd w:val="clear" w:color="auto" w:fill="FFFFFF" w:themeFill="background1"/>
            <w:noWrap/>
          </w:tcPr>
          <w:p w14:paraId="04E46132" w14:textId="77777777" w:rsidR="008800D8" w:rsidRPr="00F27A03" w:rsidRDefault="008800D8" w:rsidP="00A42963">
            <w:pPr>
              <w:shd w:val="clear" w:color="auto" w:fill="FFFFFF" w:themeFill="background1"/>
              <w:spacing w:line="276" w:lineRule="auto"/>
              <w:jc w:val="right"/>
              <w:rPr>
                <w:rFonts w:asciiTheme="minorHAnsi" w:hAnsiTheme="minorHAnsi" w:cstheme="minorHAnsi"/>
                <w:i/>
                <w:color w:val="002060"/>
                <w:sz w:val="18"/>
                <w:szCs w:val="18"/>
                <w:lang w:val="sr-Cyrl-CS"/>
              </w:rPr>
            </w:pPr>
            <w:r w:rsidRPr="00F27A03">
              <w:rPr>
                <w:rFonts w:asciiTheme="minorHAnsi" w:hAnsiTheme="minorHAnsi" w:cstheme="minorHAnsi"/>
                <w:i/>
                <w:color w:val="002060"/>
                <w:sz w:val="18"/>
                <w:szCs w:val="18"/>
                <w:lang w:val="sr-Cyrl-CS"/>
              </w:rPr>
              <w:t>9,9</w:t>
            </w:r>
          </w:p>
        </w:tc>
        <w:tc>
          <w:tcPr>
            <w:tcW w:w="583" w:type="pct"/>
            <w:shd w:val="clear" w:color="auto" w:fill="FFFFFF" w:themeFill="background1"/>
            <w:noWrap/>
          </w:tcPr>
          <w:p w14:paraId="48716C18" w14:textId="77777777" w:rsidR="008800D8" w:rsidRPr="00F27A03" w:rsidRDefault="008800D8" w:rsidP="00953528">
            <w:pPr>
              <w:shd w:val="clear" w:color="auto" w:fill="FFFFFF" w:themeFill="background1"/>
              <w:spacing w:line="276" w:lineRule="auto"/>
              <w:jc w:val="right"/>
              <w:rPr>
                <w:rFonts w:asciiTheme="minorHAnsi" w:hAnsiTheme="minorHAnsi" w:cstheme="minorHAnsi"/>
                <w:i/>
                <w:color w:val="002060"/>
                <w:sz w:val="18"/>
                <w:szCs w:val="18"/>
                <w:lang w:val="sr-Cyrl-CS"/>
              </w:rPr>
            </w:pPr>
            <w:r w:rsidRPr="00F27A03">
              <w:rPr>
                <w:rFonts w:asciiTheme="minorHAnsi" w:hAnsiTheme="minorHAnsi" w:cstheme="minorHAnsi"/>
                <w:i/>
                <w:color w:val="002060"/>
                <w:sz w:val="18"/>
                <w:szCs w:val="18"/>
                <w:lang w:val="sr-Cyrl-CS"/>
              </w:rPr>
              <w:t>9,9</w:t>
            </w:r>
          </w:p>
        </w:tc>
      </w:tr>
      <w:tr w:rsidR="008800D8" w:rsidRPr="00F27A03" w14:paraId="496C144F" w14:textId="77777777" w:rsidTr="00953528">
        <w:trPr>
          <w:trHeight w:val="49"/>
        </w:trPr>
        <w:tc>
          <w:tcPr>
            <w:tcW w:w="1967" w:type="pct"/>
            <w:shd w:val="clear" w:color="auto" w:fill="FFFFFF" w:themeFill="background1"/>
          </w:tcPr>
          <w:p w14:paraId="10956F5C" w14:textId="77777777" w:rsidR="008800D8" w:rsidRPr="00F27A03" w:rsidRDefault="008800D8" w:rsidP="00A42963">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Остали текући расходи</w:t>
            </w:r>
          </w:p>
        </w:tc>
        <w:tc>
          <w:tcPr>
            <w:tcW w:w="644" w:type="pct"/>
            <w:shd w:val="clear" w:color="auto" w:fill="FFFFFF" w:themeFill="background1"/>
          </w:tcPr>
          <w:p w14:paraId="4FDDDDE9"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2,6</w:t>
            </w:r>
          </w:p>
        </w:tc>
        <w:tc>
          <w:tcPr>
            <w:tcW w:w="644" w:type="pct"/>
            <w:shd w:val="clear" w:color="auto" w:fill="FFFFFF" w:themeFill="background1"/>
            <w:noWrap/>
          </w:tcPr>
          <w:p w14:paraId="0D97040C"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2,3</w:t>
            </w:r>
          </w:p>
        </w:tc>
        <w:tc>
          <w:tcPr>
            <w:tcW w:w="581" w:type="pct"/>
            <w:shd w:val="clear" w:color="auto" w:fill="FFFFFF" w:themeFill="background1"/>
            <w:noWrap/>
          </w:tcPr>
          <w:p w14:paraId="7582F003"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1,4</w:t>
            </w:r>
          </w:p>
        </w:tc>
        <w:tc>
          <w:tcPr>
            <w:tcW w:w="581" w:type="pct"/>
            <w:shd w:val="clear" w:color="auto" w:fill="FFFFFF" w:themeFill="background1"/>
            <w:noWrap/>
          </w:tcPr>
          <w:p w14:paraId="3B3E9103" w14:textId="77777777" w:rsidR="008800D8" w:rsidRPr="00F27A03" w:rsidRDefault="008800D8" w:rsidP="00A42963">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w:t>
            </w:r>
          </w:p>
        </w:tc>
        <w:tc>
          <w:tcPr>
            <w:tcW w:w="583" w:type="pct"/>
            <w:shd w:val="clear" w:color="auto" w:fill="FFFFFF" w:themeFill="background1"/>
            <w:noWrap/>
          </w:tcPr>
          <w:p w14:paraId="6A4DE58C"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1,3</w:t>
            </w:r>
          </w:p>
        </w:tc>
      </w:tr>
      <w:tr w:rsidR="008800D8" w:rsidRPr="00F27A03" w14:paraId="6A51AA09"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5253FC7B" w14:textId="77777777" w:rsidR="008800D8" w:rsidRPr="00F27A03" w:rsidRDefault="008800D8" w:rsidP="00A42963">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 xml:space="preserve"> Капитални расходи</w:t>
            </w:r>
          </w:p>
        </w:tc>
        <w:tc>
          <w:tcPr>
            <w:tcW w:w="644" w:type="pct"/>
            <w:shd w:val="clear" w:color="auto" w:fill="FFFFFF" w:themeFill="background1"/>
          </w:tcPr>
          <w:p w14:paraId="7B09D618"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7,4</w:t>
            </w:r>
          </w:p>
        </w:tc>
        <w:tc>
          <w:tcPr>
            <w:tcW w:w="644" w:type="pct"/>
            <w:shd w:val="clear" w:color="auto" w:fill="FFFFFF" w:themeFill="background1"/>
            <w:noWrap/>
          </w:tcPr>
          <w:p w14:paraId="436747A3"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7,3</w:t>
            </w:r>
          </w:p>
        </w:tc>
        <w:tc>
          <w:tcPr>
            <w:tcW w:w="581" w:type="pct"/>
            <w:shd w:val="clear" w:color="auto" w:fill="FFFFFF" w:themeFill="background1"/>
            <w:noWrap/>
          </w:tcPr>
          <w:p w14:paraId="6C3407DC"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6,7</w:t>
            </w:r>
          </w:p>
        </w:tc>
        <w:tc>
          <w:tcPr>
            <w:tcW w:w="581" w:type="pct"/>
            <w:shd w:val="clear" w:color="auto" w:fill="FFFFFF" w:themeFill="background1"/>
            <w:noWrap/>
          </w:tcPr>
          <w:p w14:paraId="231E8659"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6,4</w:t>
            </w:r>
          </w:p>
        </w:tc>
        <w:tc>
          <w:tcPr>
            <w:tcW w:w="583" w:type="pct"/>
            <w:shd w:val="clear" w:color="auto" w:fill="FFFFFF" w:themeFill="background1"/>
            <w:noWrap/>
          </w:tcPr>
          <w:p w14:paraId="6514CEE2"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6,1</w:t>
            </w:r>
          </w:p>
        </w:tc>
      </w:tr>
      <w:tr w:rsidR="008800D8" w:rsidRPr="00F27A03" w14:paraId="42E47F57" w14:textId="77777777" w:rsidTr="00953528">
        <w:trPr>
          <w:trHeight w:val="49"/>
        </w:trPr>
        <w:tc>
          <w:tcPr>
            <w:tcW w:w="1967" w:type="pct"/>
            <w:tcBorders>
              <w:bottom w:val="nil"/>
            </w:tcBorders>
            <w:shd w:val="clear" w:color="auto" w:fill="FFFFFF" w:themeFill="background1"/>
            <w:noWrap/>
          </w:tcPr>
          <w:p w14:paraId="59F517B9" w14:textId="77777777" w:rsidR="008800D8" w:rsidRPr="00F27A03" w:rsidRDefault="008800D8" w:rsidP="00A42963">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 xml:space="preserve"> Нето буџетске позајмице</w:t>
            </w:r>
          </w:p>
        </w:tc>
        <w:tc>
          <w:tcPr>
            <w:tcW w:w="644" w:type="pct"/>
            <w:tcBorders>
              <w:bottom w:val="nil"/>
            </w:tcBorders>
            <w:shd w:val="clear" w:color="auto" w:fill="FFFFFF" w:themeFill="background1"/>
          </w:tcPr>
          <w:p w14:paraId="2A9C0919"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0,8</w:t>
            </w:r>
          </w:p>
        </w:tc>
        <w:tc>
          <w:tcPr>
            <w:tcW w:w="644" w:type="pct"/>
            <w:tcBorders>
              <w:bottom w:val="nil"/>
            </w:tcBorders>
            <w:shd w:val="clear" w:color="auto" w:fill="FFFFFF" w:themeFill="background1"/>
            <w:noWrap/>
          </w:tcPr>
          <w:p w14:paraId="3F15C558"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2,2</w:t>
            </w:r>
          </w:p>
        </w:tc>
        <w:tc>
          <w:tcPr>
            <w:tcW w:w="581" w:type="pct"/>
            <w:tcBorders>
              <w:bottom w:val="nil"/>
            </w:tcBorders>
            <w:shd w:val="clear" w:color="auto" w:fill="FFFFFF" w:themeFill="background1"/>
            <w:noWrap/>
          </w:tcPr>
          <w:p w14:paraId="4140A2D3"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1,4</w:t>
            </w:r>
          </w:p>
        </w:tc>
        <w:tc>
          <w:tcPr>
            <w:tcW w:w="581" w:type="pct"/>
            <w:tcBorders>
              <w:bottom w:val="nil"/>
            </w:tcBorders>
            <w:shd w:val="clear" w:color="auto" w:fill="FFFFFF" w:themeFill="background1"/>
            <w:noWrap/>
          </w:tcPr>
          <w:p w14:paraId="67B35B08"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0,7</w:t>
            </w:r>
          </w:p>
        </w:tc>
        <w:tc>
          <w:tcPr>
            <w:tcW w:w="583" w:type="pct"/>
            <w:tcBorders>
              <w:bottom w:val="nil"/>
            </w:tcBorders>
            <w:shd w:val="clear" w:color="auto" w:fill="FFFFFF" w:themeFill="background1"/>
            <w:noWrap/>
          </w:tcPr>
          <w:p w14:paraId="66B82EB3"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0,1</w:t>
            </w:r>
          </w:p>
        </w:tc>
      </w:tr>
      <w:tr w:rsidR="008800D8" w:rsidRPr="00F27A03" w14:paraId="39737A66" w14:textId="77777777" w:rsidTr="00953528">
        <w:trPr>
          <w:cnfStyle w:val="000000100000" w:firstRow="0" w:lastRow="0" w:firstColumn="0" w:lastColumn="0" w:oddVBand="0" w:evenVBand="0" w:oddHBand="1" w:evenHBand="0" w:firstRowFirstColumn="0" w:firstRowLastColumn="0" w:lastRowFirstColumn="0" w:lastRowLastColumn="0"/>
          <w:trHeight w:val="95"/>
        </w:trPr>
        <w:tc>
          <w:tcPr>
            <w:tcW w:w="1967" w:type="pct"/>
            <w:tcBorders>
              <w:top w:val="nil"/>
              <w:bottom w:val="single" w:sz="4" w:space="0" w:color="002060"/>
            </w:tcBorders>
            <w:shd w:val="clear" w:color="auto" w:fill="FFFFFF" w:themeFill="background1"/>
            <w:noWrap/>
          </w:tcPr>
          <w:p w14:paraId="52F5FF2D" w14:textId="77777777" w:rsidR="008800D8" w:rsidRPr="00F27A03" w:rsidRDefault="008800D8" w:rsidP="00A42963">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27A03">
              <w:rPr>
                <w:rFonts w:asciiTheme="minorHAnsi" w:eastAsia="Times New Roman" w:hAnsiTheme="minorHAnsi" w:cstheme="minorHAnsi"/>
                <w:bCs/>
                <w:color w:val="002060"/>
                <w:sz w:val="18"/>
                <w:szCs w:val="18"/>
                <w:lang w:val="sr-Cyrl-CS"/>
              </w:rPr>
              <w:t xml:space="preserve"> Отплата по основу гаранција</w:t>
            </w:r>
          </w:p>
        </w:tc>
        <w:tc>
          <w:tcPr>
            <w:tcW w:w="644" w:type="pct"/>
            <w:tcBorders>
              <w:top w:val="nil"/>
              <w:bottom w:val="single" w:sz="4" w:space="0" w:color="002060"/>
            </w:tcBorders>
            <w:shd w:val="clear" w:color="auto" w:fill="FFFFFF" w:themeFill="background1"/>
          </w:tcPr>
          <w:p w14:paraId="424B41A1"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0,1</w:t>
            </w:r>
          </w:p>
        </w:tc>
        <w:tc>
          <w:tcPr>
            <w:tcW w:w="644" w:type="pct"/>
            <w:tcBorders>
              <w:top w:val="nil"/>
              <w:bottom w:val="single" w:sz="4" w:space="0" w:color="002060"/>
            </w:tcBorders>
            <w:shd w:val="clear" w:color="auto" w:fill="FFFFFF" w:themeFill="background1"/>
            <w:noWrap/>
          </w:tcPr>
          <w:p w14:paraId="5C21A6FC"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0,3</w:t>
            </w:r>
          </w:p>
        </w:tc>
        <w:tc>
          <w:tcPr>
            <w:tcW w:w="581" w:type="pct"/>
            <w:tcBorders>
              <w:top w:val="nil"/>
              <w:bottom w:val="single" w:sz="4" w:space="0" w:color="002060"/>
            </w:tcBorders>
            <w:shd w:val="clear" w:color="auto" w:fill="FFFFFF" w:themeFill="background1"/>
            <w:noWrap/>
          </w:tcPr>
          <w:p w14:paraId="12100829"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0,3</w:t>
            </w:r>
          </w:p>
        </w:tc>
        <w:tc>
          <w:tcPr>
            <w:tcW w:w="581" w:type="pct"/>
            <w:tcBorders>
              <w:top w:val="nil"/>
              <w:bottom w:val="single" w:sz="4" w:space="0" w:color="002060"/>
            </w:tcBorders>
            <w:shd w:val="clear" w:color="auto" w:fill="FFFFFF" w:themeFill="background1"/>
            <w:noWrap/>
          </w:tcPr>
          <w:p w14:paraId="0C15D4FB"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0,3</w:t>
            </w:r>
          </w:p>
        </w:tc>
        <w:tc>
          <w:tcPr>
            <w:tcW w:w="583" w:type="pct"/>
            <w:tcBorders>
              <w:top w:val="nil"/>
              <w:bottom w:val="single" w:sz="4" w:space="0" w:color="002060"/>
            </w:tcBorders>
            <w:shd w:val="clear" w:color="auto" w:fill="FFFFFF" w:themeFill="background1"/>
            <w:noWrap/>
          </w:tcPr>
          <w:p w14:paraId="3C984A9F" w14:textId="77777777" w:rsidR="008800D8" w:rsidRPr="00F27A03" w:rsidRDefault="008800D8"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0,2</w:t>
            </w:r>
          </w:p>
        </w:tc>
      </w:tr>
    </w:tbl>
    <w:p w14:paraId="1E2B5D38" w14:textId="77777777" w:rsidR="008800D8" w:rsidRPr="00F27A03" w:rsidRDefault="008800D8" w:rsidP="00D42008">
      <w:pPr>
        <w:spacing w:before="40" w:after="120" w:line="276" w:lineRule="auto"/>
        <w:jc w:val="left"/>
        <w:rPr>
          <w:rFonts w:cstheme="minorHAnsi"/>
          <w:sz w:val="16"/>
          <w:szCs w:val="20"/>
          <w:lang w:val="sr-Cyrl-CS"/>
        </w:rPr>
      </w:pPr>
      <w:r w:rsidRPr="00F27A03">
        <w:rPr>
          <w:rFonts w:eastAsia="Calibri" w:cstheme="minorHAnsi"/>
          <w:bCs/>
          <w:sz w:val="16"/>
          <w:szCs w:val="20"/>
          <w:lang w:val="sr-Cyrl-CS" w:eastAsia="ja-JP"/>
        </w:rPr>
        <w:t xml:space="preserve">Извор: </w:t>
      </w:r>
      <w:r w:rsidRPr="00F27A03">
        <w:rPr>
          <w:rFonts w:cstheme="minorHAnsi"/>
          <w:sz w:val="16"/>
          <w:szCs w:val="20"/>
          <w:lang w:val="sr-Cyrl-CS"/>
        </w:rPr>
        <w:t>Министарство финансија</w:t>
      </w:r>
    </w:p>
    <w:p w14:paraId="00A3EFBC" w14:textId="77777777" w:rsidR="008800D8" w:rsidRPr="00F27A03" w:rsidRDefault="008800D8" w:rsidP="005D42AC">
      <w:pPr>
        <w:spacing w:before="40" w:after="120" w:line="276" w:lineRule="auto"/>
        <w:rPr>
          <w:rFonts w:eastAsia="Calibri" w:cstheme="minorHAnsi"/>
          <w:szCs w:val="20"/>
          <w:lang w:val="sr-Cyrl-CS" w:eastAsia="ja-JP"/>
        </w:rPr>
        <w:sectPr w:rsidR="008800D8" w:rsidRPr="00F27A03" w:rsidSect="00A42963">
          <w:type w:val="continuous"/>
          <w:pgSz w:w="12240" w:h="15840" w:code="1"/>
          <w:pgMar w:top="1440" w:right="1440" w:bottom="1440" w:left="1440" w:header="720" w:footer="720" w:gutter="0"/>
          <w:cols w:space="720"/>
          <w:docGrid w:linePitch="360"/>
        </w:sectPr>
      </w:pPr>
    </w:p>
    <w:p w14:paraId="2C30B03A" w14:textId="77777777" w:rsidR="008800D8" w:rsidRPr="00F27A03" w:rsidRDefault="008800D8" w:rsidP="005D42AC">
      <w:pPr>
        <w:spacing w:before="40" w:after="120" w:line="276" w:lineRule="auto"/>
        <w:rPr>
          <w:rFonts w:eastAsia="Calibri" w:cstheme="minorHAnsi"/>
          <w:szCs w:val="20"/>
          <w:lang w:val="sr-Cyrl-CS" w:eastAsia="ja-JP"/>
        </w:rPr>
      </w:pPr>
      <w:r w:rsidRPr="00F27A03">
        <w:rPr>
          <w:rFonts w:eastAsia="Calibri" w:cstheme="minorHAnsi"/>
          <w:szCs w:val="20"/>
          <w:lang w:val="sr-Cyrl-CS" w:eastAsia="ja-JP"/>
        </w:rPr>
        <w:t>У 2020. и 2021. години дошло је до промене тренда у јавним расходима с обзиром на размере кризе изазване пандемијом. Мере су биле значајне на расходној страни, што је довело до једнократног повећања учешћа расходне стране буџета у БДП.</w:t>
      </w:r>
    </w:p>
    <w:p w14:paraId="62E56BFF"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На повећање расхода за запослене, чије je учешће у БДП у 2020. години износило 10,5% БДП, утицало је ванредно повећањe зарада запослених у систему здравства, као и повећане исплате осталих облика дохотка као што су прековремени рад, награде и повећање броја запослених у овом сектору. С обзиром на ограничен фискални простор у наредном периоду зараде ће се повећавати умерено и контролисано, водећи рачуна о њиховом учешћу у БДП.</w:t>
      </w:r>
    </w:p>
    <w:p w14:paraId="166D138E" w14:textId="133EE368"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 xml:space="preserve">Изменама </w:t>
      </w:r>
      <w:r w:rsidR="00DD3FA7" w:rsidRPr="00F27A03">
        <w:rPr>
          <w:rFonts w:eastAsia="Calibri" w:cstheme="minorHAnsi"/>
          <w:szCs w:val="20"/>
          <w:lang w:val="sr-Cyrl-CS" w:eastAsia="ja-JP"/>
        </w:rPr>
        <w:t>Законом о буџетском систему</w:t>
      </w:r>
      <w:r w:rsidRPr="00F27A03">
        <w:rPr>
          <w:rFonts w:eastAsia="Calibri" w:cstheme="minorHAnsi"/>
          <w:szCs w:val="20"/>
          <w:lang w:val="sr-Cyrl-CS" w:eastAsia="ja-JP"/>
        </w:rPr>
        <w:t>, у склопу нових фискалних правила, биће предвиђено да ниво укупних расхода за запослене буде усклађиван са номиналним растом БДП, и да не пређе ниво од 10% БДП. Просечан ниво зарада на нивоу опште државе у ЕУ је, пре пандемије, износио око 10% БДП, док је током 2020. године подигнут на скоро 11% БДП, а у 2021. години је износио 10,5% БДП. Као и у свим земљама ЕУ, током 2020. године, у Србији је учешће расхода за запослене у БДП повећано.</w:t>
      </w:r>
    </w:p>
    <w:p w14:paraId="7193FEC2"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 xml:space="preserve">Издаци за робе и услуге ће се постепено смањивати у средњорочном периоду у смислу </w:t>
      </w:r>
      <w:r w:rsidRPr="00F27A03">
        <w:rPr>
          <w:rFonts w:eastAsia="Calibri" w:cstheme="minorHAnsi"/>
          <w:szCs w:val="20"/>
          <w:lang w:val="sr-Cyrl-CS" w:eastAsia="ja-JP"/>
        </w:rPr>
        <w:t>учешћа у БДП, с обзиром да је предвиђено да номинално расту спорије од раста номиналног БДП. Висок ниво у 2021. и 2022. години у највећој мери је резултат већих расхода у здравству.</w:t>
      </w:r>
    </w:p>
    <w:p w14:paraId="55A13FF4" w14:textId="32ECF688"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У пре</w:t>
      </w:r>
      <w:r w:rsidR="0083406E">
        <w:rPr>
          <w:rFonts w:eastAsia="Calibri" w:cstheme="minorHAnsi"/>
          <w:szCs w:val="20"/>
          <w:lang w:val="sr-Cyrl-CS" w:eastAsia="ja-JP"/>
        </w:rPr>
        <w:t>т</w:t>
      </w:r>
      <w:r w:rsidRPr="00F27A03">
        <w:rPr>
          <w:rFonts w:eastAsia="Calibri" w:cstheme="minorHAnsi"/>
          <w:szCs w:val="20"/>
          <w:lang w:val="sr-Cyrl-CS" w:eastAsia="ja-JP"/>
        </w:rPr>
        <w:t>ходном периоду смањени су расходи за камате што је показатељ успешно вођене фискалне и монетарне политике. Добри фискални резултати у претходном периоду смањили су потребе за задуживањем, што је уз ублажавање монетарне политике довело до пада каматних стопа. Имајући у виду растуће трошкове задуживања и потребе за финансирањем дефицита пројектовано је да ће у наредном периоду ниво расхода за камате бити на нивоу од око 2% БДП.</w:t>
      </w:r>
    </w:p>
    <w:p w14:paraId="261F47A3"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Социјална помоћ и трансфери становништву представљају највећу расходну категорију буџета опште државе. Највећа појединачна ставка ове групе расхода, а уједно и највећа ставка свих расхода, су пензије, која је у 2020. години достигла ниво од 10,6% БДП. Од 2020. године пензије се усклађују се коришћењем „швајцарске формуле”, како би се истовремено обезбедио раст животног стандарда пензионера и одрживост пензионог система и система јавних финансија. „Швајцарска формула” подразумева индексацију, односно увећање пензија једнако збиру половине стопе раста просечне зараде и половине стопе раста потрошачких цена.</w:t>
      </w:r>
    </w:p>
    <w:p w14:paraId="190C0372"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lastRenderedPageBreak/>
        <w:t>Од 2023. године примењиваће се другачији начин индексације пензија, односно, усклађивање пензија ће узимати у обзир и учешће пензија у БДП, како би се додатно заштитио животни стандард пензионера</w:t>
      </w:r>
      <w:r w:rsidRPr="00F27A03">
        <w:rPr>
          <w:rStyle w:val="FootnoteReference"/>
          <w:rFonts w:eastAsia="Calibri" w:cstheme="minorHAnsi"/>
          <w:szCs w:val="20"/>
          <w:lang w:val="sr-Cyrl-CS" w:eastAsia="ja-JP"/>
        </w:rPr>
        <w:footnoteReference w:id="2"/>
      </w:r>
      <w:r w:rsidRPr="00F27A03">
        <w:rPr>
          <w:rFonts w:eastAsia="Calibri" w:cstheme="minorHAnsi"/>
          <w:szCs w:val="20"/>
          <w:lang w:val="sr-Cyrl-CS" w:eastAsia="ja-JP"/>
        </w:rPr>
        <w:t>. Остали облици социјалних давања и трансфера становништву у наредном периоду усклађиваће се применом прописане индексације, текућих и планираних измена политика у овој области и са пројектованим бројем корисника. Учешће расхода за социјална давања у БДП опада са 13,6%, колико износи у 2021. години, на 13,1% у 2025. години. У 2022. години исплаћена је једнократна помоћ свим пензионерима у износу од по 20.000 динара, односно око 34 млрд динара укупно, што се одразило и на динамику учешћа расхода за социјалну заштиту у БДП.</w:t>
      </w:r>
    </w:p>
    <w:p w14:paraId="7CECEDF9"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Смањење субвенција које служе као помоћ неефикасним сегментима јавног сектора омогућило је повећање оног дела субвенција које представљају праве подстицаје привреди, пре свега пољопривреди и малим и средњим предузећима, и које доводе до убрзања привредне активности. Циљ је да се субвенционисана средства преусмере ка развојним програмима у привреди и пољопривреди. Високи ниво субвенција у 2020. и 2021. години резултат је примене мера за превазилажење проблема изазваних пандемијском кризом. У 2023. години се привремени раст субвенција у смислу учешћа у БДП објашњава расходима намењених превазилажењу негативних ефеката растућих цена енергената, а који ће бити покривени из донације Европске уније.</w:t>
      </w:r>
    </w:p>
    <w:p w14:paraId="28726730"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 xml:space="preserve">Категорије осталих текућих расхода чине различити издаци, као што су дотације удружењима, политичким странкама, верским и спортским организацијама, казне, накнада штете итд. Као и код субвенција једнократни раст је узрокован фискалном реакцијом на кризу, с обзиром да су се са ове позиције исплаћивали фискални стимулуси становништву, тако да се у </w:t>
      </w:r>
      <w:r w:rsidRPr="00F27A03">
        <w:rPr>
          <w:rFonts w:eastAsia="Calibri" w:cstheme="minorHAnsi"/>
          <w:szCs w:val="20"/>
          <w:lang w:val="sr-Cyrl-CS" w:eastAsia="ja-JP"/>
        </w:rPr>
        <w:t>наредном периоду очекује смањење ових расхода у БДП.</w:t>
      </w:r>
    </w:p>
    <w:p w14:paraId="47ED6E7C"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Током претходне три године значајно је побољшана ефикасност извршења јавних инвестиција. Капитални расходи су повећани на 5,3% БДП у 2020. години захваљујући отпочињању новог циклуса инфраструктурних пројеката, а у 2021. години су достигли чак 7,4% БДП, упркос проблемима које је проузроковала пандемија. У наредном средњорочном периоду очекује очување достигнутог нивоа улагања у јавну инфраструктуру. Најзначајнији радови су на путној, железничкој, комуналној и водној инфраструктури који се углавном финансирају из међународних кредита. Поред саобраћајне инфраструктуре обезбеђена су средства за додатна капитална улагања у здравству, енергетици, заштити животне средине, просвети, култури, одбрани и другим областима које представљају најважније функције државе. Ово је све део новог инвестиционог циклуса на националном нивоу који је омогућен стварањем фискалног простора и подржан повољним условима за задуживање на међународном финансијском тржишту у претходном периоду.</w:t>
      </w:r>
    </w:p>
    <w:p w14:paraId="7AB460E9" w14:textId="77777777" w:rsidR="008800D8" w:rsidRPr="00F27A03" w:rsidRDefault="008800D8" w:rsidP="00C130D2">
      <w:pPr>
        <w:spacing w:after="120" w:line="276" w:lineRule="auto"/>
        <w:rPr>
          <w:lang w:val="sr-Cyrl-CS"/>
        </w:rPr>
      </w:pPr>
      <w:r w:rsidRPr="00F27A03">
        <w:rPr>
          <w:rFonts w:eastAsia="Calibri" w:cstheme="minorHAnsi"/>
          <w:szCs w:val="20"/>
          <w:lang w:val="sr-Cyrl-CS" w:eastAsia="ja-JP"/>
        </w:rPr>
        <w:t>Опште опредељење фискалне политике у средњем року јесте повећање улагања у инфраструктуру на свим нивоима власти. Кад је реч о локалном нивоу власти то се пре свега односи на улагања у водоводну и канализациону инфраструктуру, управљање отпадом, локалну путну инфраструктуру и друго. Очекује се да Град Београд већ следеће године озбиљније крене у пројекат изградње метроа, уз помоћ државе.</w:t>
      </w:r>
    </w:p>
    <w:p w14:paraId="74F6D0FD"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 xml:space="preserve">У средњорочном фискалном оквиру, до краја 2025. године, пројектована је избалансирана укупна фискална позиција локалне самоуправе. То значи да у збиру сви градови и општине имају приближно избалансиран буџет. Пројекција је рађена на основу кретања у претходном периоду, у коме су збирно ЈЛС најчешће биле у суфициту. Овакво стање на нивоу свих локалних самоуправа је последица раздуживања у претходном периоду. </w:t>
      </w:r>
      <w:r w:rsidRPr="00F27A03">
        <w:rPr>
          <w:rFonts w:eastAsia="Calibri" w:cstheme="minorHAnsi"/>
          <w:szCs w:val="20"/>
          <w:lang w:val="sr-Cyrl-CS" w:eastAsia="ja-JP"/>
        </w:rPr>
        <w:lastRenderedPageBreak/>
        <w:t>То не значи да појединачне ЈЛС не могу ићи у дефицит, што зависи од фискалне позиције сваке појединачне општине и града.</w:t>
      </w:r>
    </w:p>
    <w:p w14:paraId="3BBC6DFA" w14:textId="21F1835F"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 xml:space="preserve">Категорија буџетских позајмица се највише мења у поређењу са претходним програмима. Разлог је што се овде књижи највећи део средстава неопходних за превазилажење негативних последица енергетске кризе. У 2022. години са ове категорије се очекује исплата средстава у износу од око 2% БДП за наведене потребе, у 2023. години око 1,4% БДП, а у 2024. </w:t>
      </w:r>
      <w:r w:rsidR="00722014" w:rsidRPr="00F27A03">
        <w:rPr>
          <w:rFonts w:eastAsia="Calibri" w:cstheme="minorHAnsi"/>
          <w:szCs w:val="20"/>
          <w:lang w:val="sr-Cyrl-CS" w:eastAsia="ja-JP"/>
        </w:rPr>
        <w:t>години је за сада предвиђено 0,7</w:t>
      </w:r>
      <w:r w:rsidRPr="00F27A03">
        <w:rPr>
          <w:rFonts w:eastAsia="Calibri" w:cstheme="minorHAnsi"/>
          <w:szCs w:val="20"/>
          <w:lang w:val="sr-Cyrl-CS" w:eastAsia="ja-JP"/>
        </w:rPr>
        <w:t>% БДП ових средстава.</w:t>
      </w:r>
    </w:p>
    <w:p w14:paraId="46D3D13C" w14:textId="77777777" w:rsidR="008800D8" w:rsidRPr="00F27A03" w:rsidRDefault="008800D8" w:rsidP="00C130D2">
      <w:pPr>
        <w:spacing w:after="120" w:line="276" w:lineRule="auto"/>
        <w:rPr>
          <w:rFonts w:eastAsia="Calibri" w:cstheme="minorHAnsi"/>
          <w:szCs w:val="20"/>
          <w:lang w:val="sr-Cyrl-CS" w:eastAsia="ja-JP"/>
        </w:rPr>
      </w:pPr>
      <w:r w:rsidRPr="00F27A03">
        <w:rPr>
          <w:rFonts w:eastAsia="Calibri" w:cstheme="minorHAnsi"/>
          <w:szCs w:val="20"/>
          <w:lang w:val="sr-Cyrl-CS" w:eastAsia="ja-JP"/>
        </w:rPr>
        <w:t xml:space="preserve">Отплата по основу издатих гаранција и плаћање гаранција по комерцијалним трансакцијама представљају обавезе по основу дуга јавних предузећа које је републички буџет преузео на себе, с обзиром да та предузећа нису могла самостално да их извршавају. Ови расходи су представљали велики терет за буџет с обзиром на дугогодишње неефикасно пословање великог </w:t>
      </w:r>
      <w:r w:rsidRPr="00F27A03">
        <w:rPr>
          <w:rFonts w:eastAsia="Calibri" w:cstheme="minorHAnsi"/>
          <w:szCs w:val="20"/>
          <w:lang w:val="sr-Cyrl-CS" w:eastAsia="ja-JP"/>
        </w:rPr>
        <w:t>броја државних предузећа и привредних друштава. У претходном периоду ови расходи су значајно смањени, а планом отплате предвиђено је да ће до 2025. године ови расходи пасти на ниво од 0,2% БДП.</w:t>
      </w:r>
    </w:p>
    <w:p w14:paraId="470EB43A" w14:textId="77777777" w:rsidR="008800D8" w:rsidRPr="00F27A03" w:rsidRDefault="008800D8" w:rsidP="005D42AC">
      <w:pPr>
        <w:spacing w:line="276" w:lineRule="auto"/>
        <w:rPr>
          <w:rFonts w:cstheme="minorHAnsi"/>
          <w:b/>
          <w:bCs/>
          <w:color w:val="2F5496" w:themeColor="accent1" w:themeShade="BF"/>
          <w:sz w:val="22"/>
          <w:szCs w:val="20"/>
          <w:lang w:val="sr-Cyrl-CS"/>
        </w:rPr>
      </w:pPr>
      <w:r w:rsidRPr="00F27A03">
        <w:rPr>
          <w:rFonts w:cstheme="minorHAnsi"/>
          <w:b/>
          <w:bCs/>
          <w:color w:val="2F5496" w:themeColor="accent1" w:themeShade="BF"/>
          <w:sz w:val="22"/>
          <w:szCs w:val="20"/>
          <w:lang w:val="sr-Cyrl-CS"/>
        </w:rPr>
        <w:t>Поређење са претходним програмом</w:t>
      </w:r>
    </w:p>
    <w:p w14:paraId="1A24EF36" w14:textId="02595E27" w:rsidR="008800D8" w:rsidRPr="00F27A03" w:rsidRDefault="008800D8" w:rsidP="005D42AC">
      <w:pPr>
        <w:rPr>
          <w:rFonts w:cstheme="minorHAnsi"/>
          <w:bCs/>
          <w:szCs w:val="20"/>
          <w:lang w:val="sr-Cyrl-CS"/>
        </w:rPr>
      </w:pPr>
      <w:r w:rsidRPr="00F27A03">
        <w:rPr>
          <w:rFonts w:cstheme="minorHAnsi"/>
          <w:bCs/>
          <w:szCs w:val="20"/>
          <w:lang w:val="sr-Cyrl-CS"/>
        </w:rPr>
        <w:t>Средњорочни фискални оквир је значајно промењен у односу на претходни документ</w:t>
      </w:r>
      <w:r w:rsidRPr="00F27A03">
        <w:rPr>
          <w:rFonts w:cstheme="minorHAnsi"/>
          <w:bCs/>
          <w:szCs w:val="20"/>
          <w:vertAlign w:val="superscript"/>
          <w:lang w:val="sr-Cyrl-CS"/>
        </w:rPr>
        <w:footnoteReference w:id="3"/>
      </w:r>
      <w:r w:rsidRPr="00F27A03">
        <w:rPr>
          <w:rFonts w:cstheme="minorHAnsi"/>
          <w:bCs/>
          <w:szCs w:val="20"/>
          <w:lang w:val="sr-Cyrl-CS"/>
        </w:rPr>
        <w:t xml:space="preserve"> с обзиром на размере негативних ефеката које доносе раст цена на међународном тржишту и сукоб у Украјини. Средства намењена за ублажавање ових ефеката су у највећој мери повећала ниво расхода и дефицита у наредном периоду. </w:t>
      </w:r>
      <w:r w:rsidR="007367F3" w:rsidRPr="00F27A03">
        <w:rPr>
          <w:rFonts w:cstheme="minorHAnsi"/>
          <w:bCs/>
          <w:szCs w:val="20"/>
          <w:lang w:val="sr-Cyrl-CS"/>
        </w:rPr>
        <w:t>Истовремено,</w:t>
      </w:r>
      <w:r w:rsidRPr="00F27A03">
        <w:rPr>
          <w:rFonts w:cstheme="minorHAnsi"/>
          <w:bCs/>
          <w:szCs w:val="20"/>
          <w:lang w:val="sr-Cyrl-CS"/>
        </w:rPr>
        <w:t xml:space="preserve"> приходи и расходи ће се постепено смањивати у смислу учешћа у БДП, с тим да, док год траје неизвесност везана за пандемију, цене енергената, сировина и хране и сукоб у Украјини, могуће су фискалне интервенције у циљу амортизовања негативних ефеката. Планирани дефицити омогућавају даље смањивање учешћа јавног дуга у БДП.</w:t>
      </w:r>
    </w:p>
    <w:p w14:paraId="15F9B1CD" w14:textId="77777777" w:rsidR="008800D8" w:rsidRPr="00F27A03" w:rsidRDefault="008800D8" w:rsidP="00451097">
      <w:pPr>
        <w:spacing w:before="360"/>
        <w:jc w:val="center"/>
        <w:rPr>
          <w:rFonts w:eastAsia="MS PGothic" w:cstheme="minorHAnsi"/>
          <w:b/>
          <w:color w:val="002060"/>
          <w:szCs w:val="20"/>
          <w:lang w:val="sr-Cyrl-CS" w:eastAsia="ja-JP"/>
        </w:rPr>
        <w:sectPr w:rsidR="008800D8" w:rsidRPr="00F27A03" w:rsidSect="00A42963">
          <w:footerReference w:type="even" r:id="rId134"/>
          <w:footerReference w:type="default" r:id="rId135"/>
          <w:headerReference w:type="first" r:id="rId136"/>
          <w:type w:val="continuous"/>
          <w:pgSz w:w="12240" w:h="15840" w:code="1"/>
          <w:pgMar w:top="1440" w:right="1440" w:bottom="1440" w:left="1440" w:header="720" w:footer="720" w:gutter="0"/>
          <w:cols w:num="2" w:space="720"/>
          <w:docGrid w:linePitch="360"/>
          <w15:footnoteColumns w:val="1"/>
        </w:sectPr>
      </w:pPr>
    </w:p>
    <w:p w14:paraId="2726CE61" w14:textId="467A01D7" w:rsidR="008800D8" w:rsidRPr="00F27A03" w:rsidRDefault="008800D8" w:rsidP="00A42963">
      <w:pPr>
        <w:spacing w:before="280"/>
        <w:jc w:val="center"/>
        <w:rPr>
          <w:rFonts w:eastAsia="MS PGothic" w:cstheme="minorHAnsi"/>
          <w:b/>
          <w:color w:val="002060"/>
          <w:szCs w:val="20"/>
          <w:lang w:val="sr-Cyrl-CS" w:eastAsia="ja-JP"/>
        </w:rPr>
      </w:pPr>
      <w:r w:rsidRPr="00F27A03">
        <w:rPr>
          <w:rFonts w:eastAsia="MS PGothic" w:cstheme="minorHAnsi"/>
          <w:b/>
          <w:color w:val="002060"/>
          <w:szCs w:val="20"/>
          <w:lang w:val="sr-Cyrl-CS" w:eastAsia="ja-JP"/>
        </w:rPr>
        <w:t>Табела 1</w:t>
      </w:r>
      <w:r w:rsidR="00EB3946" w:rsidRPr="00F27A03">
        <w:rPr>
          <w:rFonts w:eastAsia="MS PGothic" w:cstheme="minorHAnsi"/>
          <w:b/>
          <w:color w:val="002060"/>
          <w:szCs w:val="20"/>
          <w:lang w:val="sr-Cyrl-CS" w:eastAsia="ja-JP"/>
        </w:rPr>
        <w:t>1</w:t>
      </w:r>
      <w:r w:rsidRPr="00F27A03">
        <w:rPr>
          <w:rFonts w:eastAsia="MS PGothic" w:cstheme="minorHAnsi"/>
          <w:b/>
          <w:color w:val="002060"/>
          <w:szCs w:val="20"/>
          <w:lang w:val="sr-Cyrl-CS" w:eastAsia="ja-JP"/>
        </w:rPr>
        <w:t>. Поређење фискалних показатеља два програма, у % БДП</w:t>
      </w:r>
    </w:p>
    <w:tbl>
      <w:tblPr>
        <w:tblStyle w:val="ListTable6Colorful-Accent610"/>
        <w:tblW w:w="5000" w:type="pct"/>
        <w:tblLook w:val="04A0" w:firstRow="1" w:lastRow="0" w:firstColumn="1" w:lastColumn="0" w:noHBand="0" w:noVBand="1"/>
      </w:tblPr>
      <w:tblGrid>
        <w:gridCol w:w="3738"/>
        <w:gridCol w:w="1124"/>
        <w:gridCol w:w="1123"/>
        <w:gridCol w:w="1123"/>
        <w:gridCol w:w="1125"/>
        <w:gridCol w:w="1127"/>
      </w:tblGrid>
      <w:tr w:rsidR="008800D8" w:rsidRPr="00F27A03" w14:paraId="43338659" w14:textId="77777777" w:rsidTr="00A42963">
        <w:trPr>
          <w:cnfStyle w:val="100000000000" w:firstRow="1" w:lastRow="0" w:firstColumn="0" w:lastColumn="0" w:oddVBand="0" w:evenVBand="0" w:oddHBand="0"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6" w:type="pct"/>
            <w:tcBorders>
              <w:top w:val="single" w:sz="4" w:space="0" w:color="002060"/>
              <w:bottom w:val="single" w:sz="4" w:space="0" w:color="FFFFFF" w:themeColor="background1"/>
            </w:tcBorders>
            <w:shd w:val="clear" w:color="auto" w:fill="FFFFFF" w:themeFill="background1"/>
            <w:noWrap/>
            <w:hideMark/>
          </w:tcPr>
          <w:p w14:paraId="16C82EF7" w14:textId="7777777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p>
        </w:tc>
        <w:tc>
          <w:tcPr>
            <w:tcW w:w="600" w:type="pct"/>
            <w:tcBorders>
              <w:top w:val="single" w:sz="4" w:space="0" w:color="002060"/>
              <w:bottom w:val="single" w:sz="4" w:space="0" w:color="002060"/>
            </w:tcBorders>
            <w:shd w:val="clear" w:color="auto" w:fill="FFFFFF" w:themeFill="background1"/>
            <w:noWrap/>
            <w:hideMark/>
          </w:tcPr>
          <w:p w14:paraId="18BE7766" w14:textId="77777777" w:rsidR="008800D8" w:rsidRPr="00F27A03" w:rsidRDefault="008800D8"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2021</w:t>
            </w:r>
          </w:p>
        </w:tc>
        <w:tc>
          <w:tcPr>
            <w:tcW w:w="600" w:type="pct"/>
            <w:tcBorders>
              <w:top w:val="single" w:sz="4" w:space="0" w:color="002060"/>
              <w:bottom w:val="single" w:sz="4" w:space="0" w:color="002060"/>
            </w:tcBorders>
            <w:shd w:val="clear" w:color="auto" w:fill="FFFFFF" w:themeFill="background1"/>
            <w:noWrap/>
            <w:hideMark/>
          </w:tcPr>
          <w:p w14:paraId="5DF74A56" w14:textId="77777777" w:rsidR="008800D8" w:rsidRPr="00F27A03" w:rsidRDefault="008800D8"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2022</w:t>
            </w:r>
          </w:p>
        </w:tc>
        <w:tc>
          <w:tcPr>
            <w:tcW w:w="600" w:type="pct"/>
            <w:tcBorders>
              <w:top w:val="single" w:sz="4" w:space="0" w:color="002060"/>
              <w:bottom w:val="single" w:sz="4" w:space="0" w:color="002060"/>
            </w:tcBorders>
            <w:shd w:val="clear" w:color="auto" w:fill="FFFFFF" w:themeFill="background1"/>
            <w:noWrap/>
            <w:hideMark/>
          </w:tcPr>
          <w:p w14:paraId="72EBAD9D" w14:textId="77777777" w:rsidR="008800D8" w:rsidRPr="00F27A03" w:rsidRDefault="008800D8"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2023</w:t>
            </w:r>
          </w:p>
        </w:tc>
        <w:tc>
          <w:tcPr>
            <w:tcW w:w="601" w:type="pct"/>
            <w:tcBorders>
              <w:top w:val="single" w:sz="4" w:space="0" w:color="002060"/>
              <w:bottom w:val="single" w:sz="4" w:space="0" w:color="002060"/>
            </w:tcBorders>
            <w:shd w:val="clear" w:color="auto" w:fill="FFFFFF" w:themeFill="background1"/>
            <w:noWrap/>
            <w:hideMark/>
          </w:tcPr>
          <w:p w14:paraId="56706136" w14:textId="77777777" w:rsidR="008800D8" w:rsidRPr="00F27A03" w:rsidRDefault="008800D8"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2024</w:t>
            </w:r>
          </w:p>
        </w:tc>
        <w:tc>
          <w:tcPr>
            <w:tcW w:w="602" w:type="pct"/>
            <w:tcBorders>
              <w:top w:val="single" w:sz="4" w:space="0" w:color="002060"/>
              <w:bottom w:val="single" w:sz="4" w:space="0" w:color="002060"/>
            </w:tcBorders>
            <w:shd w:val="clear" w:color="auto" w:fill="FFFFFF" w:themeFill="background1"/>
            <w:noWrap/>
            <w:hideMark/>
          </w:tcPr>
          <w:p w14:paraId="304E3427" w14:textId="77777777" w:rsidR="008800D8" w:rsidRPr="00F27A03" w:rsidRDefault="008800D8"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2025</w:t>
            </w:r>
          </w:p>
        </w:tc>
      </w:tr>
      <w:tr w:rsidR="008800D8" w:rsidRPr="00F27A03" w14:paraId="3036C06D" w14:textId="77777777" w:rsidTr="00A42963">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6" w:type="pct"/>
            <w:tcBorders>
              <w:top w:val="single" w:sz="4" w:space="0" w:color="FFFFFF" w:themeColor="background1"/>
            </w:tcBorders>
            <w:shd w:val="clear" w:color="auto" w:fill="FFFFFF" w:themeFill="background1"/>
            <w:noWrap/>
            <w:hideMark/>
          </w:tcPr>
          <w:p w14:paraId="2AB5D76E" w14:textId="7721D06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Фискална стратегија 2023–2025</w:t>
            </w:r>
            <w:r w:rsidR="00722014" w:rsidRPr="00F27A03">
              <w:rPr>
                <w:rFonts w:eastAsia="Times New Roman" w:cstheme="minorHAnsi"/>
                <w:b w:val="0"/>
                <w:color w:val="002060"/>
                <w:sz w:val="18"/>
                <w:szCs w:val="18"/>
                <w:lang w:val="sr-Cyrl-CS"/>
              </w:rPr>
              <w:t>.</w:t>
            </w:r>
          </w:p>
        </w:tc>
        <w:tc>
          <w:tcPr>
            <w:tcW w:w="600" w:type="pct"/>
            <w:tcBorders>
              <w:top w:val="single" w:sz="4" w:space="0" w:color="002060"/>
            </w:tcBorders>
            <w:shd w:val="clear" w:color="auto" w:fill="FFFFFF" w:themeFill="background1"/>
            <w:noWrap/>
            <w:hideMark/>
          </w:tcPr>
          <w:p w14:paraId="1D165B4C"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0" w:type="pct"/>
            <w:tcBorders>
              <w:top w:val="single" w:sz="4" w:space="0" w:color="002060"/>
            </w:tcBorders>
            <w:shd w:val="clear" w:color="auto" w:fill="FFFFFF" w:themeFill="background1"/>
            <w:noWrap/>
            <w:hideMark/>
          </w:tcPr>
          <w:p w14:paraId="7DB93F42"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0" w:type="pct"/>
            <w:tcBorders>
              <w:top w:val="single" w:sz="4" w:space="0" w:color="002060"/>
            </w:tcBorders>
            <w:shd w:val="clear" w:color="auto" w:fill="FFFFFF" w:themeFill="background1"/>
            <w:noWrap/>
            <w:hideMark/>
          </w:tcPr>
          <w:p w14:paraId="46BCC036"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1" w:type="pct"/>
            <w:tcBorders>
              <w:top w:val="single" w:sz="4" w:space="0" w:color="002060"/>
            </w:tcBorders>
            <w:shd w:val="clear" w:color="auto" w:fill="FFFFFF" w:themeFill="background1"/>
            <w:noWrap/>
            <w:hideMark/>
          </w:tcPr>
          <w:p w14:paraId="5226AD8F"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2" w:type="pct"/>
            <w:tcBorders>
              <w:top w:val="single" w:sz="4" w:space="0" w:color="002060"/>
            </w:tcBorders>
            <w:shd w:val="clear" w:color="auto" w:fill="FFFFFF" w:themeFill="background1"/>
            <w:noWrap/>
            <w:hideMark/>
          </w:tcPr>
          <w:p w14:paraId="30DD2DE7"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8800D8" w:rsidRPr="00F27A03" w14:paraId="2EC853FA" w14:textId="77777777" w:rsidTr="00A42963">
        <w:trPr>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3F80D057" w14:textId="77777777" w:rsidR="008800D8" w:rsidRPr="00F27A03" w:rsidRDefault="008800D8" w:rsidP="00A42963">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Приходи</w:t>
            </w:r>
          </w:p>
        </w:tc>
        <w:tc>
          <w:tcPr>
            <w:tcW w:w="600" w:type="pct"/>
            <w:shd w:val="clear" w:color="auto" w:fill="FFFFFF" w:themeFill="background1"/>
            <w:noWrap/>
            <w:hideMark/>
          </w:tcPr>
          <w:p w14:paraId="4BC58307"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43,3</w:t>
            </w:r>
          </w:p>
        </w:tc>
        <w:tc>
          <w:tcPr>
            <w:tcW w:w="600" w:type="pct"/>
            <w:shd w:val="clear" w:color="auto" w:fill="FFFFFF" w:themeFill="background1"/>
            <w:noWrap/>
            <w:hideMark/>
          </w:tcPr>
          <w:p w14:paraId="7340932F"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42,0</w:t>
            </w:r>
          </w:p>
        </w:tc>
        <w:tc>
          <w:tcPr>
            <w:tcW w:w="600" w:type="pct"/>
            <w:tcBorders>
              <w:top w:val="nil"/>
              <w:bottom w:val="nil"/>
            </w:tcBorders>
            <w:shd w:val="clear" w:color="auto" w:fill="auto"/>
            <w:noWrap/>
            <w:vAlign w:val="center"/>
            <w:hideMark/>
          </w:tcPr>
          <w:p w14:paraId="0F5B64A5"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41,2</w:t>
            </w:r>
          </w:p>
        </w:tc>
        <w:tc>
          <w:tcPr>
            <w:tcW w:w="601" w:type="pct"/>
            <w:tcBorders>
              <w:top w:val="nil"/>
              <w:bottom w:val="nil"/>
            </w:tcBorders>
            <w:shd w:val="clear" w:color="auto" w:fill="auto"/>
            <w:noWrap/>
            <w:vAlign w:val="center"/>
            <w:hideMark/>
          </w:tcPr>
          <w:p w14:paraId="4030B714"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40,7</w:t>
            </w:r>
          </w:p>
        </w:tc>
        <w:tc>
          <w:tcPr>
            <w:tcW w:w="602" w:type="pct"/>
            <w:tcBorders>
              <w:top w:val="nil"/>
              <w:bottom w:val="nil"/>
            </w:tcBorders>
            <w:shd w:val="clear" w:color="auto" w:fill="auto"/>
            <w:noWrap/>
            <w:vAlign w:val="center"/>
            <w:hideMark/>
          </w:tcPr>
          <w:p w14:paraId="27EC4964"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40,1</w:t>
            </w:r>
          </w:p>
        </w:tc>
      </w:tr>
      <w:tr w:rsidR="008800D8" w:rsidRPr="00F27A03" w14:paraId="5726D40E" w14:textId="77777777" w:rsidTr="00A42963">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564A5EB5" w14:textId="77777777" w:rsidR="008800D8" w:rsidRPr="00F27A03" w:rsidRDefault="008800D8" w:rsidP="00A42963">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Расходи</w:t>
            </w:r>
          </w:p>
        </w:tc>
        <w:tc>
          <w:tcPr>
            <w:tcW w:w="600" w:type="pct"/>
            <w:shd w:val="clear" w:color="auto" w:fill="FFFFFF" w:themeFill="background1"/>
            <w:noWrap/>
            <w:hideMark/>
          </w:tcPr>
          <w:p w14:paraId="7E202B21" w14:textId="77777777" w:rsidR="008800D8" w:rsidRPr="00F27A03" w:rsidRDefault="008800D8" w:rsidP="00A42963">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47,4</w:t>
            </w:r>
          </w:p>
        </w:tc>
        <w:tc>
          <w:tcPr>
            <w:tcW w:w="600" w:type="pct"/>
            <w:shd w:val="clear" w:color="auto" w:fill="FFFFFF" w:themeFill="background1"/>
            <w:noWrap/>
            <w:hideMark/>
          </w:tcPr>
          <w:p w14:paraId="332387FA" w14:textId="77777777" w:rsidR="008800D8" w:rsidRPr="00F27A03" w:rsidRDefault="008800D8" w:rsidP="00A42963">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45,0</w:t>
            </w:r>
          </w:p>
        </w:tc>
        <w:tc>
          <w:tcPr>
            <w:tcW w:w="600" w:type="pct"/>
            <w:tcBorders>
              <w:top w:val="nil"/>
            </w:tcBorders>
            <w:shd w:val="clear" w:color="auto" w:fill="auto"/>
            <w:noWrap/>
            <w:vAlign w:val="center"/>
            <w:hideMark/>
          </w:tcPr>
          <w:p w14:paraId="75244660" w14:textId="77777777" w:rsidR="008800D8" w:rsidRPr="00F27A03" w:rsidRDefault="008800D8" w:rsidP="00A42963">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42,7</w:t>
            </w:r>
          </w:p>
        </w:tc>
        <w:tc>
          <w:tcPr>
            <w:tcW w:w="601" w:type="pct"/>
            <w:tcBorders>
              <w:top w:val="nil"/>
            </w:tcBorders>
            <w:shd w:val="clear" w:color="auto" w:fill="auto"/>
            <w:noWrap/>
            <w:vAlign w:val="center"/>
            <w:hideMark/>
          </w:tcPr>
          <w:p w14:paraId="0BACD8CC" w14:textId="77777777" w:rsidR="008800D8" w:rsidRPr="00F27A03" w:rsidRDefault="008800D8" w:rsidP="00A42963">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41,7</w:t>
            </w:r>
          </w:p>
        </w:tc>
        <w:tc>
          <w:tcPr>
            <w:tcW w:w="602" w:type="pct"/>
            <w:tcBorders>
              <w:top w:val="nil"/>
            </w:tcBorders>
            <w:shd w:val="clear" w:color="auto" w:fill="auto"/>
            <w:noWrap/>
            <w:vAlign w:val="center"/>
            <w:hideMark/>
          </w:tcPr>
          <w:p w14:paraId="0105D0C5" w14:textId="77777777" w:rsidR="008800D8" w:rsidRPr="00F27A03" w:rsidRDefault="008800D8" w:rsidP="00A42963">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40,6</w:t>
            </w:r>
          </w:p>
        </w:tc>
      </w:tr>
      <w:tr w:rsidR="008800D8" w:rsidRPr="00F27A03" w14:paraId="0E0DC295" w14:textId="77777777" w:rsidTr="00A42963">
        <w:trPr>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07A209A9" w14:textId="77777777" w:rsidR="008800D8" w:rsidRPr="00F27A03" w:rsidRDefault="008800D8" w:rsidP="00A42963">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Резултат</w:t>
            </w:r>
          </w:p>
        </w:tc>
        <w:tc>
          <w:tcPr>
            <w:tcW w:w="600" w:type="pct"/>
            <w:shd w:val="clear" w:color="auto" w:fill="FFFFFF" w:themeFill="background1"/>
            <w:noWrap/>
            <w:hideMark/>
          </w:tcPr>
          <w:p w14:paraId="6E595EE6"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-4,1</w:t>
            </w:r>
          </w:p>
        </w:tc>
        <w:tc>
          <w:tcPr>
            <w:tcW w:w="600" w:type="pct"/>
            <w:shd w:val="clear" w:color="auto" w:fill="FFFFFF" w:themeFill="background1"/>
            <w:noWrap/>
            <w:hideMark/>
          </w:tcPr>
          <w:p w14:paraId="759A9AD5"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-3,0</w:t>
            </w:r>
          </w:p>
        </w:tc>
        <w:tc>
          <w:tcPr>
            <w:tcW w:w="600" w:type="pct"/>
            <w:shd w:val="clear" w:color="auto" w:fill="FFFFFF" w:themeFill="background1"/>
            <w:noWrap/>
            <w:hideMark/>
          </w:tcPr>
          <w:p w14:paraId="4732D231"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-1,5</w:t>
            </w:r>
          </w:p>
        </w:tc>
        <w:tc>
          <w:tcPr>
            <w:tcW w:w="601" w:type="pct"/>
            <w:shd w:val="clear" w:color="auto" w:fill="FFFFFF" w:themeFill="background1"/>
            <w:noWrap/>
            <w:hideMark/>
          </w:tcPr>
          <w:p w14:paraId="03B6828A"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-1,0</w:t>
            </w:r>
          </w:p>
        </w:tc>
        <w:tc>
          <w:tcPr>
            <w:tcW w:w="602" w:type="pct"/>
            <w:shd w:val="clear" w:color="auto" w:fill="FFFFFF" w:themeFill="background1"/>
            <w:noWrap/>
            <w:hideMark/>
          </w:tcPr>
          <w:p w14:paraId="0BBA885B" w14:textId="77777777" w:rsidR="008800D8" w:rsidRPr="00F27A03" w:rsidRDefault="008800D8" w:rsidP="00A42963">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-0,5</w:t>
            </w:r>
          </w:p>
        </w:tc>
      </w:tr>
      <w:tr w:rsidR="008800D8" w:rsidRPr="00F27A03" w14:paraId="4D20E7A9" w14:textId="77777777" w:rsidTr="00A42963">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40EE9875" w14:textId="61AA1975"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Ревидирана Фискална стратегија 2023–2025</w:t>
            </w:r>
            <w:r w:rsidR="00722014" w:rsidRPr="00F27A03">
              <w:rPr>
                <w:rFonts w:eastAsia="Times New Roman" w:cstheme="minorHAnsi"/>
                <w:b w:val="0"/>
                <w:color w:val="002060"/>
                <w:sz w:val="18"/>
                <w:szCs w:val="18"/>
                <w:lang w:val="sr-Cyrl-CS"/>
              </w:rPr>
              <w:t>.</w:t>
            </w:r>
          </w:p>
        </w:tc>
        <w:tc>
          <w:tcPr>
            <w:tcW w:w="600" w:type="pct"/>
            <w:shd w:val="clear" w:color="auto" w:fill="FFFFFF" w:themeFill="background1"/>
            <w:noWrap/>
            <w:hideMark/>
          </w:tcPr>
          <w:p w14:paraId="1C5BA18A"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0" w:type="pct"/>
            <w:shd w:val="clear" w:color="auto" w:fill="FFFFFF" w:themeFill="background1"/>
            <w:noWrap/>
            <w:hideMark/>
          </w:tcPr>
          <w:p w14:paraId="0250E73B"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0" w:type="pct"/>
            <w:tcBorders>
              <w:bottom w:val="nil"/>
            </w:tcBorders>
            <w:shd w:val="clear" w:color="auto" w:fill="FFFFFF" w:themeFill="background1"/>
            <w:noWrap/>
            <w:hideMark/>
          </w:tcPr>
          <w:p w14:paraId="74C36978"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1" w:type="pct"/>
            <w:tcBorders>
              <w:bottom w:val="nil"/>
            </w:tcBorders>
            <w:shd w:val="clear" w:color="auto" w:fill="FFFFFF" w:themeFill="background1"/>
            <w:noWrap/>
            <w:hideMark/>
          </w:tcPr>
          <w:p w14:paraId="07B212CA"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2" w:type="pct"/>
            <w:tcBorders>
              <w:bottom w:val="nil"/>
            </w:tcBorders>
            <w:shd w:val="clear" w:color="auto" w:fill="FFFFFF" w:themeFill="background1"/>
            <w:noWrap/>
            <w:hideMark/>
          </w:tcPr>
          <w:p w14:paraId="5587930B"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8800D8" w:rsidRPr="00F27A03" w14:paraId="22590D21" w14:textId="77777777" w:rsidTr="00A42963">
        <w:trPr>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02640FFF" w14:textId="7777777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Приходи</w:t>
            </w:r>
          </w:p>
        </w:tc>
        <w:tc>
          <w:tcPr>
            <w:tcW w:w="600" w:type="pct"/>
            <w:shd w:val="clear" w:color="auto" w:fill="FFFFFF" w:themeFill="background1"/>
            <w:noWrap/>
            <w:hideMark/>
          </w:tcPr>
          <w:p w14:paraId="53C655B2"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43,3</w:t>
            </w:r>
          </w:p>
        </w:tc>
        <w:tc>
          <w:tcPr>
            <w:tcW w:w="600" w:type="pct"/>
            <w:shd w:val="clear" w:color="auto" w:fill="FFFFFF" w:themeFill="background1"/>
            <w:noWrap/>
            <w:hideMark/>
          </w:tcPr>
          <w:p w14:paraId="7AD26002"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43,0</w:t>
            </w:r>
          </w:p>
        </w:tc>
        <w:tc>
          <w:tcPr>
            <w:tcW w:w="600" w:type="pct"/>
            <w:tcBorders>
              <w:top w:val="nil"/>
              <w:bottom w:val="nil"/>
            </w:tcBorders>
            <w:shd w:val="clear" w:color="auto" w:fill="auto"/>
            <w:noWrap/>
            <w:vAlign w:val="center"/>
            <w:hideMark/>
          </w:tcPr>
          <w:p w14:paraId="73BA3578"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40,8</w:t>
            </w:r>
          </w:p>
        </w:tc>
        <w:tc>
          <w:tcPr>
            <w:tcW w:w="601" w:type="pct"/>
            <w:tcBorders>
              <w:top w:val="nil"/>
              <w:bottom w:val="nil"/>
            </w:tcBorders>
            <w:shd w:val="clear" w:color="auto" w:fill="auto"/>
            <w:noWrap/>
            <w:vAlign w:val="center"/>
            <w:hideMark/>
          </w:tcPr>
          <w:p w14:paraId="49A22977"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40,3</w:t>
            </w:r>
          </w:p>
        </w:tc>
        <w:tc>
          <w:tcPr>
            <w:tcW w:w="602" w:type="pct"/>
            <w:tcBorders>
              <w:top w:val="nil"/>
              <w:bottom w:val="nil"/>
            </w:tcBorders>
            <w:shd w:val="clear" w:color="auto" w:fill="auto"/>
            <w:noWrap/>
            <w:vAlign w:val="center"/>
            <w:hideMark/>
          </w:tcPr>
          <w:p w14:paraId="6D1D9138"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39,6</w:t>
            </w:r>
          </w:p>
        </w:tc>
      </w:tr>
      <w:tr w:rsidR="008800D8" w:rsidRPr="00F27A03" w14:paraId="105847A2" w14:textId="77777777" w:rsidTr="00A42963">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4D596129" w14:textId="7777777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Расходи</w:t>
            </w:r>
          </w:p>
        </w:tc>
        <w:tc>
          <w:tcPr>
            <w:tcW w:w="600" w:type="pct"/>
            <w:shd w:val="clear" w:color="auto" w:fill="FFFFFF" w:themeFill="background1"/>
            <w:noWrap/>
            <w:hideMark/>
          </w:tcPr>
          <w:p w14:paraId="78F1483E"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47,4</w:t>
            </w:r>
          </w:p>
        </w:tc>
        <w:tc>
          <w:tcPr>
            <w:tcW w:w="600" w:type="pct"/>
            <w:shd w:val="clear" w:color="auto" w:fill="FFFFFF" w:themeFill="background1"/>
            <w:noWrap/>
            <w:hideMark/>
          </w:tcPr>
          <w:p w14:paraId="5B6D775F"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46,8</w:t>
            </w:r>
          </w:p>
        </w:tc>
        <w:tc>
          <w:tcPr>
            <w:tcW w:w="600" w:type="pct"/>
            <w:tcBorders>
              <w:top w:val="nil"/>
            </w:tcBorders>
            <w:shd w:val="clear" w:color="auto" w:fill="auto"/>
            <w:noWrap/>
            <w:vAlign w:val="center"/>
            <w:hideMark/>
          </w:tcPr>
          <w:p w14:paraId="1189534D"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44,1</w:t>
            </w:r>
          </w:p>
        </w:tc>
        <w:tc>
          <w:tcPr>
            <w:tcW w:w="601" w:type="pct"/>
            <w:tcBorders>
              <w:top w:val="nil"/>
            </w:tcBorders>
            <w:shd w:val="clear" w:color="auto" w:fill="auto"/>
            <w:noWrap/>
            <w:vAlign w:val="center"/>
            <w:hideMark/>
          </w:tcPr>
          <w:p w14:paraId="5C4D7801"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42,5</w:t>
            </w:r>
          </w:p>
        </w:tc>
        <w:tc>
          <w:tcPr>
            <w:tcW w:w="602" w:type="pct"/>
            <w:tcBorders>
              <w:top w:val="nil"/>
            </w:tcBorders>
            <w:shd w:val="clear" w:color="auto" w:fill="auto"/>
            <w:noWrap/>
            <w:vAlign w:val="center"/>
            <w:hideMark/>
          </w:tcPr>
          <w:p w14:paraId="23019FB2"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cstheme="minorHAnsi"/>
                <w:color w:val="002060"/>
                <w:sz w:val="18"/>
                <w:szCs w:val="18"/>
                <w:lang w:val="sr-Cyrl-CS"/>
              </w:rPr>
              <w:t>41,0</w:t>
            </w:r>
          </w:p>
        </w:tc>
      </w:tr>
      <w:tr w:rsidR="008800D8" w:rsidRPr="00F27A03" w14:paraId="7667DB27" w14:textId="77777777" w:rsidTr="00A42963">
        <w:trPr>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25C0CEC5" w14:textId="7777777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Резултат</w:t>
            </w:r>
          </w:p>
        </w:tc>
        <w:tc>
          <w:tcPr>
            <w:tcW w:w="600" w:type="pct"/>
            <w:shd w:val="clear" w:color="auto" w:fill="FFFFFF" w:themeFill="background1"/>
            <w:noWrap/>
            <w:hideMark/>
          </w:tcPr>
          <w:p w14:paraId="70C928E4"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-4,1</w:t>
            </w:r>
          </w:p>
        </w:tc>
        <w:tc>
          <w:tcPr>
            <w:tcW w:w="600" w:type="pct"/>
            <w:shd w:val="clear" w:color="auto" w:fill="FFFFFF" w:themeFill="background1"/>
            <w:noWrap/>
            <w:hideMark/>
          </w:tcPr>
          <w:p w14:paraId="70329E0C"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-3,8</w:t>
            </w:r>
          </w:p>
        </w:tc>
        <w:tc>
          <w:tcPr>
            <w:tcW w:w="600" w:type="pct"/>
            <w:shd w:val="clear" w:color="auto" w:fill="FFFFFF" w:themeFill="background1"/>
            <w:noWrap/>
            <w:hideMark/>
          </w:tcPr>
          <w:p w14:paraId="60E62FDD"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-3,3</w:t>
            </w:r>
          </w:p>
        </w:tc>
        <w:tc>
          <w:tcPr>
            <w:tcW w:w="601" w:type="pct"/>
            <w:shd w:val="clear" w:color="auto" w:fill="FFFFFF" w:themeFill="background1"/>
            <w:noWrap/>
            <w:hideMark/>
          </w:tcPr>
          <w:p w14:paraId="79C714B6"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-2,2</w:t>
            </w:r>
          </w:p>
        </w:tc>
        <w:tc>
          <w:tcPr>
            <w:tcW w:w="602" w:type="pct"/>
            <w:shd w:val="clear" w:color="auto" w:fill="FFFFFF" w:themeFill="background1"/>
            <w:noWrap/>
            <w:hideMark/>
          </w:tcPr>
          <w:p w14:paraId="65728BBE"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-1,4</w:t>
            </w:r>
          </w:p>
        </w:tc>
      </w:tr>
      <w:tr w:rsidR="008800D8" w:rsidRPr="00F27A03" w14:paraId="5A1BDFD0" w14:textId="77777777" w:rsidTr="00A42963">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094F4CED" w14:textId="7777777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Разлика</w:t>
            </w:r>
          </w:p>
        </w:tc>
        <w:tc>
          <w:tcPr>
            <w:tcW w:w="600" w:type="pct"/>
            <w:shd w:val="clear" w:color="auto" w:fill="FFFFFF" w:themeFill="background1"/>
            <w:noWrap/>
            <w:hideMark/>
          </w:tcPr>
          <w:p w14:paraId="4246C6FC"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0" w:type="pct"/>
            <w:shd w:val="clear" w:color="auto" w:fill="FFFFFF" w:themeFill="background1"/>
            <w:noWrap/>
            <w:hideMark/>
          </w:tcPr>
          <w:p w14:paraId="304C95CD"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0" w:type="pct"/>
            <w:shd w:val="clear" w:color="auto" w:fill="FFFFFF" w:themeFill="background1"/>
            <w:noWrap/>
            <w:hideMark/>
          </w:tcPr>
          <w:p w14:paraId="051BB4AA"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1" w:type="pct"/>
            <w:shd w:val="clear" w:color="auto" w:fill="FFFFFF" w:themeFill="background1"/>
            <w:noWrap/>
            <w:hideMark/>
          </w:tcPr>
          <w:p w14:paraId="12EE9369"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2" w:type="pct"/>
            <w:shd w:val="clear" w:color="auto" w:fill="FFFFFF" w:themeFill="background1"/>
            <w:noWrap/>
            <w:hideMark/>
          </w:tcPr>
          <w:p w14:paraId="6599D8B7"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8800D8" w:rsidRPr="00F27A03" w14:paraId="295108C3" w14:textId="77777777" w:rsidTr="00A42963">
        <w:trPr>
          <w:trHeight w:val="241"/>
        </w:trPr>
        <w:tc>
          <w:tcPr>
            <w:cnfStyle w:val="001000000000" w:firstRow="0" w:lastRow="0" w:firstColumn="1" w:lastColumn="0" w:oddVBand="0" w:evenVBand="0" w:oddHBand="0" w:evenHBand="0" w:firstRowFirstColumn="0" w:firstRowLastColumn="0" w:lastRowFirstColumn="0" w:lastRowLastColumn="0"/>
            <w:tcW w:w="1996" w:type="pct"/>
            <w:shd w:val="clear" w:color="auto" w:fill="FFFFFF" w:themeFill="background1"/>
            <w:noWrap/>
            <w:hideMark/>
          </w:tcPr>
          <w:p w14:paraId="7A6607A6" w14:textId="7777777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Приходи</w:t>
            </w:r>
          </w:p>
        </w:tc>
        <w:tc>
          <w:tcPr>
            <w:tcW w:w="600" w:type="pct"/>
            <w:shd w:val="clear" w:color="auto" w:fill="FFFFFF" w:themeFill="background1"/>
            <w:noWrap/>
            <w:hideMark/>
          </w:tcPr>
          <w:p w14:paraId="37406A62"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0,0</w:t>
            </w:r>
          </w:p>
        </w:tc>
        <w:tc>
          <w:tcPr>
            <w:tcW w:w="600" w:type="pct"/>
            <w:shd w:val="clear" w:color="auto" w:fill="FFFFFF" w:themeFill="background1"/>
            <w:noWrap/>
            <w:hideMark/>
          </w:tcPr>
          <w:p w14:paraId="3D3E0DD7"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1,0</w:t>
            </w:r>
          </w:p>
        </w:tc>
        <w:tc>
          <w:tcPr>
            <w:tcW w:w="600" w:type="pct"/>
            <w:shd w:val="clear" w:color="auto" w:fill="FFFFFF" w:themeFill="background1"/>
            <w:noWrap/>
            <w:hideMark/>
          </w:tcPr>
          <w:p w14:paraId="10A5BB96"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2060"/>
                <w:sz w:val="18"/>
                <w:szCs w:val="18"/>
                <w:lang w:val="sr-Cyrl-CS"/>
              </w:rPr>
            </w:pPr>
            <w:r w:rsidRPr="00F27A03">
              <w:rPr>
                <w:rFonts w:eastAsia="Times New Roman" w:cstheme="minorHAnsi"/>
                <w:bCs/>
                <w:color w:val="002060"/>
                <w:sz w:val="18"/>
                <w:szCs w:val="18"/>
                <w:lang w:val="sr-Cyrl-CS"/>
              </w:rPr>
              <w:t>-0,4</w:t>
            </w:r>
          </w:p>
        </w:tc>
        <w:tc>
          <w:tcPr>
            <w:tcW w:w="601" w:type="pct"/>
            <w:shd w:val="clear" w:color="auto" w:fill="FFFFFF" w:themeFill="background1"/>
            <w:noWrap/>
            <w:hideMark/>
          </w:tcPr>
          <w:p w14:paraId="411A3219"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2060"/>
                <w:sz w:val="18"/>
                <w:szCs w:val="18"/>
                <w:lang w:val="sr-Cyrl-CS"/>
              </w:rPr>
            </w:pPr>
            <w:r w:rsidRPr="00F27A03">
              <w:rPr>
                <w:rFonts w:eastAsia="Times New Roman" w:cstheme="minorHAnsi"/>
                <w:bCs/>
                <w:color w:val="002060"/>
                <w:sz w:val="18"/>
                <w:szCs w:val="18"/>
                <w:lang w:val="sr-Cyrl-CS"/>
              </w:rPr>
              <w:t>-0,4</w:t>
            </w:r>
          </w:p>
        </w:tc>
        <w:tc>
          <w:tcPr>
            <w:tcW w:w="602" w:type="pct"/>
            <w:shd w:val="clear" w:color="auto" w:fill="FFFFFF" w:themeFill="background1"/>
            <w:noWrap/>
            <w:hideMark/>
          </w:tcPr>
          <w:p w14:paraId="2500C34C"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color w:val="002060"/>
                <w:sz w:val="18"/>
                <w:szCs w:val="18"/>
                <w:lang w:val="sr-Cyrl-CS"/>
              </w:rPr>
              <w:t>-0,5</w:t>
            </w:r>
          </w:p>
        </w:tc>
      </w:tr>
      <w:tr w:rsidR="008800D8" w:rsidRPr="00F27A03" w14:paraId="29D90357" w14:textId="77777777" w:rsidTr="00A42963">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6" w:type="pct"/>
            <w:tcBorders>
              <w:bottom w:val="nil"/>
            </w:tcBorders>
            <w:shd w:val="clear" w:color="auto" w:fill="FFFFFF" w:themeFill="background1"/>
            <w:noWrap/>
            <w:hideMark/>
          </w:tcPr>
          <w:p w14:paraId="24C9E5A0" w14:textId="7777777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Расходи</w:t>
            </w:r>
          </w:p>
        </w:tc>
        <w:tc>
          <w:tcPr>
            <w:tcW w:w="600" w:type="pct"/>
            <w:tcBorders>
              <w:bottom w:val="nil"/>
            </w:tcBorders>
            <w:shd w:val="clear" w:color="auto" w:fill="FFFFFF" w:themeFill="background1"/>
            <w:noWrap/>
            <w:hideMark/>
          </w:tcPr>
          <w:p w14:paraId="707AFB39"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0,0</w:t>
            </w:r>
          </w:p>
        </w:tc>
        <w:tc>
          <w:tcPr>
            <w:tcW w:w="600" w:type="pct"/>
            <w:tcBorders>
              <w:bottom w:val="nil"/>
            </w:tcBorders>
            <w:shd w:val="clear" w:color="auto" w:fill="FFFFFF" w:themeFill="background1"/>
            <w:noWrap/>
            <w:hideMark/>
          </w:tcPr>
          <w:p w14:paraId="39049A37"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1,8</w:t>
            </w:r>
          </w:p>
        </w:tc>
        <w:tc>
          <w:tcPr>
            <w:tcW w:w="600" w:type="pct"/>
            <w:tcBorders>
              <w:bottom w:val="nil"/>
            </w:tcBorders>
            <w:shd w:val="clear" w:color="auto" w:fill="FFFFFF" w:themeFill="background1"/>
            <w:noWrap/>
            <w:hideMark/>
          </w:tcPr>
          <w:p w14:paraId="009D0807"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2060"/>
                <w:sz w:val="18"/>
                <w:szCs w:val="18"/>
                <w:lang w:val="sr-Cyrl-CS"/>
              </w:rPr>
            </w:pPr>
            <w:r w:rsidRPr="00F27A03">
              <w:rPr>
                <w:rFonts w:eastAsia="Times New Roman" w:cstheme="minorHAnsi"/>
                <w:bCs/>
                <w:color w:val="002060"/>
                <w:sz w:val="18"/>
                <w:szCs w:val="18"/>
                <w:lang w:val="sr-Cyrl-CS"/>
              </w:rPr>
              <w:t>1,4</w:t>
            </w:r>
          </w:p>
        </w:tc>
        <w:tc>
          <w:tcPr>
            <w:tcW w:w="601" w:type="pct"/>
            <w:tcBorders>
              <w:bottom w:val="nil"/>
            </w:tcBorders>
            <w:shd w:val="clear" w:color="auto" w:fill="FFFFFF" w:themeFill="background1"/>
            <w:noWrap/>
            <w:hideMark/>
          </w:tcPr>
          <w:p w14:paraId="23499211"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2060"/>
                <w:sz w:val="18"/>
                <w:szCs w:val="18"/>
                <w:lang w:val="sr-Cyrl-CS"/>
              </w:rPr>
            </w:pPr>
            <w:r w:rsidRPr="00F27A03">
              <w:rPr>
                <w:rFonts w:eastAsia="Times New Roman" w:cstheme="minorHAnsi"/>
                <w:bCs/>
                <w:color w:val="002060"/>
                <w:sz w:val="18"/>
                <w:szCs w:val="18"/>
                <w:lang w:val="sr-Cyrl-CS"/>
              </w:rPr>
              <w:t>0,4</w:t>
            </w:r>
          </w:p>
        </w:tc>
        <w:tc>
          <w:tcPr>
            <w:tcW w:w="602" w:type="pct"/>
            <w:tcBorders>
              <w:bottom w:val="nil"/>
            </w:tcBorders>
            <w:shd w:val="clear" w:color="auto" w:fill="FFFFFF" w:themeFill="background1"/>
            <w:noWrap/>
            <w:hideMark/>
          </w:tcPr>
          <w:p w14:paraId="58755F61" w14:textId="77777777" w:rsidR="008800D8" w:rsidRPr="00F27A03" w:rsidRDefault="008800D8"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0,4</w:t>
            </w:r>
          </w:p>
        </w:tc>
      </w:tr>
      <w:tr w:rsidR="008800D8" w:rsidRPr="00F27A03" w14:paraId="779A1F70" w14:textId="77777777" w:rsidTr="00A42963">
        <w:trPr>
          <w:trHeight w:val="241"/>
        </w:trPr>
        <w:tc>
          <w:tcPr>
            <w:cnfStyle w:val="001000000000" w:firstRow="0" w:lastRow="0" w:firstColumn="1" w:lastColumn="0" w:oddVBand="0" w:evenVBand="0" w:oddHBand="0" w:evenHBand="0" w:firstRowFirstColumn="0" w:firstRowLastColumn="0" w:lastRowFirstColumn="0" w:lastRowLastColumn="0"/>
            <w:tcW w:w="1996" w:type="pct"/>
            <w:tcBorders>
              <w:top w:val="nil"/>
              <w:bottom w:val="single" w:sz="4" w:space="0" w:color="002060"/>
            </w:tcBorders>
            <w:shd w:val="clear" w:color="auto" w:fill="FFFFFF" w:themeFill="background1"/>
            <w:noWrap/>
            <w:hideMark/>
          </w:tcPr>
          <w:p w14:paraId="0561DC67" w14:textId="77777777" w:rsidR="008800D8" w:rsidRPr="00F27A03" w:rsidRDefault="008800D8"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F27A03">
              <w:rPr>
                <w:rFonts w:eastAsia="Times New Roman" w:cstheme="minorHAnsi"/>
                <w:b w:val="0"/>
                <w:color w:val="002060"/>
                <w:sz w:val="18"/>
                <w:szCs w:val="18"/>
                <w:lang w:val="sr-Cyrl-CS"/>
              </w:rPr>
              <w:t>Резултат</w:t>
            </w:r>
          </w:p>
        </w:tc>
        <w:tc>
          <w:tcPr>
            <w:tcW w:w="600" w:type="pct"/>
            <w:tcBorders>
              <w:top w:val="nil"/>
              <w:bottom w:val="single" w:sz="4" w:space="0" w:color="002060"/>
            </w:tcBorders>
            <w:shd w:val="clear" w:color="auto" w:fill="FFFFFF" w:themeFill="background1"/>
            <w:noWrap/>
            <w:hideMark/>
          </w:tcPr>
          <w:p w14:paraId="16510CF3"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0,0</w:t>
            </w:r>
          </w:p>
        </w:tc>
        <w:tc>
          <w:tcPr>
            <w:tcW w:w="600" w:type="pct"/>
            <w:tcBorders>
              <w:top w:val="nil"/>
              <w:bottom w:val="single" w:sz="4" w:space="0" w:color="002060"/>
            </w:tcBorders>
            <w:shd w:val="clear" w:color="auto" w:fill="FFFFFF" w:themeFill="background1"/>
            <w:noWrap/>
            <w:hideMark/>
          </w:tcPr>
          <w:p w14:paraId="3E6A7C3A"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-0,8</w:t>
            </w:r>
          </w:p>
        </w:tc>
        <w:tc>
          <w:tcPr>
            <w:tcW w:w="600" w:type="pct"/>
            <w:tcBorders>
              <w:top w:val="nil"/>
              <w:bottom w:val="single" w:sz="4" w:space="0" w:color="002060"/>
            </w:tcBorders>
            <w:shd w:val="clear" w:color="auto" w:fill="FFFFFF" w:themeFill="background1"/>
            <w:noWrap/>
            <w:hideMark/>
          </w:tcPr>
          <w:p w14:paraId="162C8E85"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-1,8</w:t>
            </w:r>
          </w:p>
        </w:tc>
        <w:tc>
          <w:tcPr>
            <w:tcW w:w="601" w:type="pct"/>
            <w:tcBorders>
              <w:top w:val="nil"/>
              <w:bottom w:val="single" w:sz="4" w:space="0" w:color="002060"/>
            </w:tcBorders>
            <w:shd w:val="clear" w:color="auto" w:fill="FFFFFF" w:themeFill="background1"/>
            <w:noWrap/>
            <w:hideMark/>
          </w:tcPr>
          <w:p w14:paraId="466448CD"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-1,2</w:t>
            </w:r>
          </w:p>
        </w:tc>
        <w:tc>
          <w:tcPr>
            <w:tcW w:w="602" w:type="pct"/>
            <w:tcBorders>
              <w:top w:val="nil"/>
              <w:bottom w:val="single" w:sz="4" w:space="0" w:color="002060"/>
            </w:tcBorders>
            <w:shd w:val="clear" w:color="auto" w:fill="FFFFFF" w:themeFill="background1"/>
            <w:noWrap/>
            <w:hideMark/>
          </w:tcPr>
          <w:p w14:paraId="1049BB10" w14:textId="77777777" w:rsidR="008800D8" w:rsidRPr="00F27A03" w:rsidRDefault="008800D8"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F27A03">
              <w:rPr>
                <w:rFonts w:eastAsia="Times New Roman" w:cstheme="minorHAnsi"/>
                <w:bCs/>
                <w:color w:val="002060"/>
                <w:sz w:val="18"/>
                <w:szCs w:val="18"/>
                <w:lang w:val="sr-Cyrl-CS"/>
              </w:rPr>
              <w:t>-0,9</w:t>
            </w:r>
          </w:p>
        </w:tc>
      </w:tr>
    </w:tbl>
    <w:p w14:paraId="6EB50897" w14:textId="77777777" w:rsidR="008800D8" w:rsidRPr="00F27A03" w:rsidRDefault="008800D8" w:rsidP="00783F09">
      <w:pPr>
        <w:spacing w:before="40" w:after="120" w:line="276" w:lineRule="auto"/>
        <w:rPr>
          <w:rFonts w:cstheme="minorHAnsi"/>
          <w:sz w:val="16"/>
          <w:szCs w:val="20"/>
          <w:lang w:val="sr-Cyrl-CS"/>
        </w:rPr>
      </w:pPr>
      <w:r w:rsidRPr="00F27A03">
        <w:rPr>
          <w:rFonts w:eastAsia="Calibri" w:cstheme="minorHAnsi"/>
          <w:bCs/>
          <w:sz w:val="16"/>
          <w:szCs w:val="20"/>
          <w:lang w:val="sr-Cyrl-CS" w:eastAsia="ja-JP"/>
        </w:rPr>
        <w:t xml:space="preserve">Извор: </w:t>
      </w:r>
      <w:r w:rsidRPr="00F27A03">
        <w:rPr>
          <w:rFonts w:cstheme="minorHAnsi"/>
          <w:sz w:val="16"/>
          <w:szCs w:val="20"/>
          <w:lang w:val="sr-Cyrl-CS"/>
        </w:rPr>
        <w:t>Министарство финансија</w:t>
      </w:r>
    </w:p>
    <w:p w14:paraId="32178144" w14:textId="77777777" w:rsidR="008800D8" w:rsidRPr="00F27A03" w:rsidRDefault="008800D8" w:rsidP="00E255B2">
      <w:pPr>
        <w:spacing w:line="276" w:lineRule="auto"/>
        <w:rPr>
          <w:rFonts w:cstheme="minorHAnsi"/>
          <w:bCs/>
          <w:szCs w:val="20"/>
          <w:lang w:val="sr-Cyrl-CS"/>
        </w:rPr>
        <w:sectPr w:rsidR="008800D8" w:rsidRPr="00F27A03" w:rsidSect="00A42963">
          <w:type w:val="continuous"/>
          <w:pgSz w:w="12240" w:h="15840" w:code="1"/>
          <w:pgMar w:top="1440" w:right="1440" w:bottom="1440" w:left="1440" w:header="720" w:footer="720" w:gutter="0"/>
          <w:cols w:space="720"/>
          <w:docGrid w:linePitch="360"/>
        </w:sectPr>
      </w:pPr>
    </w:p>
    <w:p w14:paraId="4EFB34F6" w14:textId="77777777" w:rsidR="008800D8" w:rsidRPr="00F27A03" w:rsidRDefault="008800D8">
      <w:pPr>
        <w:jc w:val="left"/>
        <w:rPr>
          <w:lang w:val="sr-Cyrl-CS"/>
        </w:rPr>
      </w:pPr>
    </w:p>
    <w:p w14:paraId="4D4EEEDF" w14:textId="3C22B34A" w:rsidR="00AD117B" w:rsidRPr="00F27A03" w:rsidRDefault="00AD117B">
      <w:pPr>
        <w:jc w:val="left"/>
        <w:rPr>
          <w:lang w:val="sr-Cyrl-CS"/>
        </w:rPr>
      </w:pPr>
      <w:r w:rsidRPr="00F27A03">
        <w:rPr>
          <w:lang w:val="sr-Cyrl-CS"/>
        </w:rPr>
        <w:br w:type="page"/>
      </w:r>
    </w:p>
    <w:p w14:paraId="20293E56" w14:textId="77777777" w:rsidR="00AD117B" w:rsidRPr="00F27A03" w:rsidRDefault="00AD117B" w:rsidP="00BA4876">
      <w:pPr>
        <w:spacing w:after="120" w:line="276" w:lineRule="auto"/>
        <w:rPr>
          <w:rFonts w:eastAsia="Calibri" w:cstheme="minorHAnsi"/>
          <w:b/>
          <w:color w:val="2F5496" w:themeColor="accent1" w:themeShade="BF"/>
          <w:sz w:val="22"/>
          <w:szCs w:val="20"/>
          <w:lang w:val="sr-Cyrl-CS" w:eastAsia="ja-JP"/>
        </w:rPr>
      </w:pPr>
      <w:r w:rsidRPr="00F27A03">
        <w:rPr>
          <w:rFonts w:eastAsia="Calibri" w:cstheme="minorHAnsi"/>
          <w:b/>
          <w:color w:val="2F5496" w:themeColor="accent1" w:themeShade="BF"/>
          <w:sz w:val="22"/>
          <w:szCs w:val="20"/>
          <w:lang w:val="sr-Cyrl-CS" w:eastAsia="ja-JP"/>
        </w:rPr>
        <w:lastRenderedPageBreak/>
        <w:t>Структурне мере за унапређење стабилности и одрживости јавних финансија</w:t>
      </w:r>
      <w:r w:rsidRPr="00F27A03">
        <w:rPr>
          <w:rFonts w:eastAsia="Calibri" w:cstheme="minorHAnsi"/>
          <w:b/>
          <w:color w:val="2F5496" w:themeColor="accent1" w:themeShade="BF"/>
          <w:sz w:val="22"/>
          <w:szCs w:val="20"/>
          <w:vertAlign w:val="superscript"/>
          <w:lang w:val="sr-Cyrl-CS" w:eastAsia="ja-JP"/>
        </w:rPr>
        <w:footnoteReference w:id="4"/>
      </w:r>
    </w:p>
    <w:p w14:paraId="69492F4C" w14:textId="77777777"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Након што је почетком прошле године успешно окончан аранжман с ММФ – Република Србија је у јуну 2021. године са овом институцијом склопила нови аранжман саветодавног карактера. Нови програм сарадње – Инструмент за координацију политика (</w:t>
      </w:r>
      <w:r w:rsidRPr="00F27A03">
        <w:rPr>
          <w:rFonts w:ascii="Calibri" w:eastAsia="Calibri" w:hAnsi="Calibri" w:cs="Calibri"/>
          <w:i/>
          <w:color w:val="44546A"/>
          <w:szCs w:val="20"/>
          <w:lang w:val="sr-Cyrl-CS" w:eastAsia="ja-JP"/>
        </w:rPr>
        <w:t>Policy Coordination Instrument</w:t>
      </w:r>
      <w:r w:rsidRPr="00F27A03">
        <w:rPr>
          <w:rFonts w:ascii="Calibri" w:eastAsia="Calibri" w:hAnsi="Calibri" w:cs="Calibri"/>
          <w:color w:val="44546A"/>
          <w:szCs w:val="20"/>
          <w:lang w:val="sr-Cyrl-CS" w:eastAsia="ja-JP"/>
        </w:rPr>
        <w:t xml:space="preserve"> – PCI) потврђен је 18. јуна 2021.</w:t>
      </w:r>
      <w:r w:rsidRPr="00F27A03">
        <w:rPr>
          <w:rFonts w:cstheme="minorHAnsi"/>
          <w:bCs/>
          <w:szCs w:val="72"/>
          <w:lang w:val="sr-Cyrl-CS"/>
        </w:rPr>
        <w:t xml:space="preserve"> </w:t>
      </w:r>
      <w:r w:rsidRPr="00F27A03">
        <w:rPr>
          <w:rFonts w:ascii="Calibri" w:eastAsia="Calibri" w:hAnsi="Calibri" w:cs="Calibri"/>
          <w:bCs/>
          <w:color w:val="44546A"/>
          <w:szCs w:val="20"/>
          <w:lang w:val="sr-Cyrl-CS" w:eastAsia="ja-JP"/>
        </w:rPr>
        <w:t>године</w:t>
      </w:r>
      <w:r w:rsidRPr="00F27A03">
        <w:rPr>
          <w:rFonts w:ascii="Calibri" w:eastAsia="Calibri" w:hAnsi="Calibri" w:cs="Calibri"/>
          <w:color w:val="44546A"/>
          <w:szCs w:val="20"/>
          <w:lang w:val="sr-Cyrl-CS" w:eastAsia="ja-JP"/>
        </w:rPr>
        <w:t xml:space="preserve"> и било је планирано да траје до краја 2023. године, односно 30 месеци.</w:t>
      </w:r>
    </w:p>
    <w:p w14:paraId="37A87072" w14:textId="2C01725E" w:rsidR="00AD117B" w:rsidRPr="00F27A03" w:rsidRDefault="00BC720D" w:rsidP="00953528">
      <w:pPr>
        <w:rPr>
          <w:rFonts w:ascii="Calibri" w:eastAsia="Calibri" w:hAnsi="Calibri" w:cs="Calibri"/>
          <w:color w:val="44546A"/>
          <w:spacing w:val="-2"/>
          <w:szCs w:val="20"/>
          <w:lang w:val="sr-Cyrl-CS" w:eastAsia="ja-JP"/>
        </w:rPr>
      </w:pPr>
      <w:r w:rsidRPr="00F27A03">
        <w:rPr>
          <w:rFonts w:ascii="Calibri" w:eastAsia="Calibri" w:hAnsi="Calibri" w:cs="Calibri"/>
          <w:color w:val="44546A"/>
          <w:spacing w:val="-2"/>
          <w:szCs w:val="20"/>
          <w:lang w:val="sr-Cyrl-CS" w:eastAsia="ja-JP"/>
        </w:rPr>
        <w:t>Криза у Украјини жестоко погађа ланце снабдевања</w:t>
      </w:r>
      <w:r w:rsidR="001D190D" w:rsidRPr="00F27A03">
        <w:rPr>
          <w:rFonts w:ascii="Calibri" w:eastAsia="Calibri" w:hAnsi="Calibri" w:cs="Calibri"/>
          <w:color w:val="44546A"/>
          <w:spacing w:val="-2"/>
          <w:szCs w:val="20"/>
          <w:lang w:val="sr-Cyrl-CS" w:eastAsia="ja-JP"/>
        </w:rPr>
        <w:t xml:space="preserve"> и ствара додатне </w:t>
      </w:r>
      <w:r w:rsidRPr="00F27A03">
        <w:rPr>
          <w:rFonts w:ascii="Calibri" w:eastAsia="Calibri" w:hAnsi="Calibri" w:cs="Calibri"/>
          <w:color w:val="44546A"/>
          <w:spacing w:val="-2"/>
          <w:szCs w:val="20"/>
          <w:lang w:val="sr-Cyrl-CS" w:eastAsia="ja-JP"/>
        </w:rPr>
        <w:t xml:space="preserve">инфлаторне притиске на тржиштима хране, енергије, сировина и других добара. Смањење домаће производње електричне енергије </w:t>
      </w:r>
      <w:r w:rsidR="001D190D" w:rsidRPr="00F27A03">
        <w:rPr>
          <w:rFonts w:ascii="Calibri" w:eastAsia="Calibri" w:hAnsi="Calibri" w:cs="Calibri"/>
          <w:color w:val="44546A"/>
          <w:spacing w:val="-2"/>
          <w:szCs w:val="20"/>
          <w:lang w:val="sr-Cyrl-CS" w:eastAsia="ja-JP"/>
        </w:rPr>
        <w:t>повећало је</w:t>
      </w:r>
      <w:r w:rsidRPr="00F27A03">
        <w:rPr>
          <w:rFonts w:ascii="Calibri" w:eastAsia="Calibri" w:hAnsi="Calibri" w:cs="Calibri"/>
          <w:color w:val="44546A"/>
          <w:spacing w:val="-2"/>
          <w:szCs w:val="20"/>
          <w:lang w:val="sr-Cyrl-CS" w:eastAsia="ja-JP"/>
        </w:rPr>
        <w:t xml:space="preserve"> потребе за увозом енергената по значајно вишим ценама</w:t>
      </w:r>
      <w:r w:rsidR="002D11E6" w:rsidRPr="00F27A03">
        <w:rPr>
          <w:rFonts w:ascii="Calibri" w:eastAsia="Calibri" w:hAnsi="Calibri" w:cs="Calibri"/>
          <w:color w:val="44546A"/>
          <w:spacing w:val="-2"/>
          <w:szCs w:val="20"/>
          <w:lang w:val="sr-Cyrl-CS" w:eastAsia="ja-JP"/>
        </w:rPr>
        <w:t>,</w:t>
      </w:r>
      <w:r w:rsidR="001D190D" w:rsidRPr="00F27A03">
        <w:rPr>
          <w:rFonts w:ascii="Calibri" w:eastAsia="Calibri" w:hAnsi="Calibri" w:cs="Calibri"/>
          <w:color w:val="44546A"/>
          <w:spacing w:val="-2"/>
          <w:szCs w:val="20"/>
          <w:lang w:val="sr-Cyrl-CS" w:eastAsia="ja-JP"/>
        </w:rPr>
        <w:t xml:space="preserve"> уз погоршавање услова на финансијским тржиштима. </w:t>
      </w:r>
      <w:r w:rsidRPr="00F27A03">
        <w:rPr>
          <w:rFonts w:ascii="Calibri" w:eastAsia="Calibri" w:hAnsi="Calibri" w:cs="Calibri"/>
          <w:color w:val="44546A"/>
          <w:spacing w:val="-2"/>
          <w:szCs w:val="20"/>
          <w:lang w:val="sr-Cyrl-CS" w:eastAsia="ja-JP"/>
        </w:rPr>
        <w:t>У</w:t>
      </w:r>
      <w:r w:rsidR="00AD117B" w:rsidRPr="00F27A03">
        <w:rPr>
          <w:rFonts w:ascii="Calibri" w:eastAsia="Calibri" w:hAnsi="Calibri" w:cs="Calibri"/>
          <w:color w:val="44546A"/>
          <w:spacing w:val="-2"/>
          <w:szCs w:val="20"/>
          <w:lang w:val="sr-Cyrl-CS" w:eastAsia="ja-JP"/>
        </w:rPr>
        <w:t xml:space="preserve"> </w:t>
      </w:r>
      <w:r w:rsidR="001D190D" w:rsidRPr="00F27A03">
        <w:rPr>
          <w:rFonts w:ascii="Calibri" w:eastAsia="Calibri" w:hAnsi="Calibri" w:cs="Calibri"/>
          <w:color w:val="44546A"/>
          <w:spacing w:val="-2"/>
          <w:szCs w:val="20"/>
          <w:lang w:val="sr-Cyrl-CS" w:eastAsia="ja-JP"/>
        </w:rPr>
        <w:t>оваквим</w:t>
      </w:r>
      <w:r w:rsidR="00AD117B" w:rsidRPr="00F27A03">
        <w:rPr>
          <w:rFonts w:ascii="Calibri" w:eastAsia="Calibri" w:hAnsi="Calibri" w:cs="Calibri"/>
          <w:color w:val="44546A"/>
          <w:spacing w:val="-2"/>
          <w:szCs w:val="20"/>
          <w:lang w:val="sr-Cyrl-CS" w:eastAsia="ja-JP"/>
        </w:rPr>
        <w:t xml:space="preserve"> ванредним околностима</w:t>
      </w:r>
      <w:r w:rsidRPr="00F27A03">
        <w:rPr>
          <w:rFonts w:ascii="Calibri" w:eastAsia="Calibri" w:hAnsi="Calibri" w:cs="Calibri"/>
          <w:color w:val="44546A"/>
          <w:spacing w:val="-2"/>
          <w:szCs w:val="20"/>
          <w:lang w:val="sr-Cyrl-CS" w:eastAsia="ja-JP"/>
        </w:rPr>
        <w:t xml:space="preserve"> Република Србија се одлучила да затражи нови аранжман са ММФ, који би требало да буде потврђен до краја ове године, у трајању од две године и који ће имати карактер аранжмана из предострожности.</w:t>
      </w:r>
      <w:r w:rsidR="00AD117B" w:rsidRPr="00F27A03">
        <w:rPr>
          <w:rFonts w:ascii="Calibri" w:eastAsia="Calibri" w:hAnsi="Calibri" w:cs="Calibri"/>
          <w:color w:val="44546A"/>
          <w:spacing w:val="-2"/>
          <w:szCs w:val="20"/>
          <w:lang w:val="sr-Cyrl-CS" w:eastAsia="ja-JP"/>
        </w:rPr>
        <w:t xml:space="preserve"> Програм има за циљ: 1) очување макроекономске и финансијске стабилности прилагођавањем политика на настале економске шокове; 2) јачање отпорности привреде на енергетске шокове спровођењем одговарајућих енергетских политика и реформи за суочавање са изазовима домаћег енергетског сектора, истовремено штитећи најугроженије; 3) давање подстицаја бржем, зеленом и инклузивном одрживом расту у средњем року спровођењем свеобухватних структурних реформи. Циљеви програма су компатибилни с тежњама Републике Србије да се придружи ЕУ.</w:t>
      </w:r>
    </w:p>
    <w:p w14:paraId="53EE863A" w14:textId="1E2B25B1" w:rsidR="00AD117B" w:rsidRPr="00F27A03" w:rsidRDefault="00AD117B" w:rsidP="006874FA">
      <w:pPr>
        <w:rPr>
          <w:rFonts w:ascii="Calibri" w:eastAsia="Calibri" w:hAnsi="Calibri" w:cs="Calibri"/>
          <w:color w:val="44546A"/>
          <w:spacing w:val="-2"/>
          <w:szCs w:val="20"/>
          <w:lang w:val="sr-Cyrl-CS" w:eastAsia="ja-JP"/>
        </w:rPr>
      </w:pPr>
      <w:r w:rsidRPr="00F27A03">
        <w:rPr>
          <w:rFonts w:ascii="Calibri" w:eastAsia="Calibri" w:hAnsi="Calibri" w:cs="Calibri"/>
          <w:color w:val="44546A"/>
          <w:spacing w:val="-2"/>
          <w:szCs w:val="20"/>
          <w:lang w:val="sr-Cyrl-CS" w:eastAsia="ja-JP"/>
        </w:rPr>
        <w:t>Како би се обезбедила стабилност и одрживост јавних финансија на дужи рок потребан је функционалан систем фискалних правила</w:t>
      </w:r>
      <w:r w:rsidR="00357050" w:rsidRPr="00F27A03">
        <w:rPr>
          <w:rFonts w:ascii="Calibri" w:eastAsia="Calibri" w:hAnsi="Calibri" w:cs="Calibri"/>
          <w:color w:val="44546A"/>
          <w:spacing w:val="-2"/>
          <w:szCs w:val="20"/>
          <w:lang w:val="sr-Cyrl-CS" w:eastAsia="ja-JP"/>
        </w:rPr>
        <w:t>.</w:t>
      </w:r>
      <w:r w:rsidRPr="00F27A03">
        <w:rPr>
          <w:rFonts w:ascii="Calibri" w:eastAsia="Calibri" w:hAnsi="Calibri" w:cs="Calibri"/>
          <w:color w:val="44546A"/>
          <w:spacing w:val="-2"/>
          <w:szCs w:val="20"/>
          <w:lang w:val="sr-Cyrl-CS" w:eastAsia="ja-JP"/>
        </w:rPr>
        <w:t xml:space="preserve"> Фискална правила по први пут су уведена Законом о буџетском систему 2010. године. Република Србија је била једна од првих земаља која је </w:t>
      </w:r>
      <w:r w:rsidR="00980969" w:rsidRPr="00F27A03">
        <w:rPr>
          <w:rFonts w:ascii="Calibri" w:eastAsia="Calibri" w:hAnsi="Calibri" w:cs="Calibri"/>
          <w:color w:val="44546A"/>
          <w:spacing w:val="-2"/>
          <w:szCs w:val="20"/>
          <w:lang w:val="sr-Cyrl-CS" w:eastAsia="ja-JP"/>
        </w:rPr>
        <w:t>з</w:t>
      </w:r>
      <w:r w:rsidRPr="00F27A03">
        <w:rPr>
          <w:rFonts w:ascii="Calibri" w:eastAsia="Calibri" w:hAnsi="Calibri" w:cs="Calibri"/>
          <w:color w:val="44546A"/>
          <w:spacing w:val="-2"/>
          <w:szCs w:val="20"/>
          <w:lang w:val="sr-Cyrl-CS" w:eastAsia="ja-JP"/>
        </w:rPr>
        <w:t xml:space="preserve">аконом утврдила национална фискална правила и </w:t>
      </w:r>
      <w:r w:rsidRPr="00F27A03">
        <w:rPr>
          <w:rFonts w:ascii="Calibri" w:eastAsia="Calibri" w:hAnsi="Calibri" w:cs="Calibri"/>
          <w:color w:val="44546A"/>
          <w:spacing w:val="-2"/>
          <w:szCs w:val="20"/>
          <w:lang w:val="sr-Cyrl-CS" w:eastAsia="ja-JP"/>
        </w:rPr>
        <w:t>оформила независну институцију Фискални савет који оцењује Владину економску и фискалну политику, као и поштовање правила. Како су правила постала важећа у току светске економске кризе, нумеричко правило за дуг прекршено је већ у првој години примене. У међувремену фискална правила уводило је све више земаља, поред националних фискалних правила земље члан</w:t>
      </w:r>
      <w:r w:rsidR="000D3521" w:rsidRPr="00F27A03">
        <w:rPr>
          <w:rFonts w:ascii="Calibri" w:eastAsia="Calibri" w:hAnsi="Calibri" w:cs="Calibri"/>
          <w:color w:val="44546A"/>
          <w:spacing w:val="-2"/>
          <w:szCs w:val="20"/>
          <w:lang w:val="sr-Cyrl-CS" w:eastAsia="ja-JP"/>
        </w:rPr>
        <w:t>ице ЕУ примењују и правила дефин</w:t>
      </w:r>
      <w:r w:rsidRPr="00F27A03">
        <w:rPr>
          <w:rFonts w:ascii="Calibri" w:eastAsia="Calibri" w:hAnsi="Calibri" w:cs="Calibri"/>
          <w:color w:val="44546A"/>
          <w:spacing w:val="-2"/>
          <w:szCs w:val="20"/>
          <w:lang w:val="sr-Cyrl-CS" w:eastAsia="ja-JP"/>
        </w:rPr>
        <w:t>исана на нивоу ЕУ и ЕМУ. Европска фискална правила су у неколико наврата мењана и редефинисана имајући у виду примену и ефекте до којих је примена правила доводила. Имајући у виду да је од увођења фискалних правила у Републици Србији протекло дванаест година, створили су се услови за њихову измену, узимајући у обзир искуства других земаља, праваца у којима су се мењала фискална правила ЕУ, последице и реаговања фис</w:t>
      </w:r>
      <w:r w:rsidR="000D3521" w:rsidRPr="00F27A03">
        <w:rPr>
          <w:rFonts w:ascii="Calibri" w:eastAsia="Calibri" w:hAnsi="Calibri" w:cs="Calibri"/>
          <w:color w:val="44546A"/>
          <w:spacing w:val="-2"/>
          <w:szCs w:val="20"/>
          <w:lang w:val="sr-Cyrl-CS" w:eastAsia="ja-JP"/>
        </w:rPr>
        <w:t>калне политике на велику економ</w:t>
      </w:r>
      <w:r w:rsidRPr="00F27A03">
        <w:rPr>
          <w:rFonts w:ascii="Calibri" w:eastAsia="Calibri" w:hAnsi="Calibri" w:cs="Calibri"/>
          <w:color w:val="44546A"/>
          <w:spacing w:val="-2"/>
          <w:szCs w:val="20"/>
          <w:lang w:val="sr-Cyrl-CS" w:eastAsia="ja-JP"/>
        </w:rPr>
        <w:t>ску кризу из 2008. године, али и искуство последње, пре свега здравствене, али и економске кризе коју</w:t>
      </w:r>
      <w:r w:rsidR="004B3880" w:rsidRPr="00F27A03">
        <w:rPr>
          <w:rFonts w:ascii="Calibri" w:eastAsia="Calibri" w:hAnsi="Calibri" w:cs="Calibri"/>
          <w:color w:val="44546A"/>
          <w:spacing w:val="-2"/>
          <w:szCs w:val="20"/>
          <w:lang w:val="sr-Cyrl-CS" w:eastAsia="ja-JP"/>
        </w:rPr>
        <w:t xml:space="preserve"> је изазвала пандемија корона</w:t>
      </w:r>
      <w:r w:rsidRPr="00F27A03">
        <w:rPr>
          <w:rFonts w:ascii="Calibri" w:eastAsia="Calibri" w:hAnsi="Calibri" w:cs="Calibri"/>
          <w:color w:val="44546A"/>
          <w:spacing w:val="-2"/>
          <w:szCs w:val="20"/>
          <w:lang w:val="sr-Cyrl-CS" w:eastAsia="ja-JP"/>
        </w:rPr>
        <w:t>вируса, а након тога и криза изазвана конфликтом у Украјини.</w:t>
      </w:r>
    </w:p>
    <w:p w14:paraId="1E636C6E" w14:textId="4503D1F7" w:rsidR="00AD117B" w:rsidRPr="00F27A03" w:rsidRDefault="00AD117B" w:rsidP="00127B1A">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 xml:space="preserve">До краја текуће године очекује се усвајање новог </w:t>
      </w:r>
      <w:r w:rsidR="00980969" w:rsidRPr="00F27A03">
        <w:rPr>
          <w:rFonts w:ascii="Calibri" w:eastAsia="Calibri" w:hAnsi="Calibri" w:cs="Calibri"/>
          <w:color w:val="44546A"/>
          <w:szCs w:val="20"/>
          <w:lang w:val="sr-Cyrl-CS" w:eastAsia="ja-JP"/>
        </w:rPr>
        <w:t>З</w:t>
      </w:r>
      <w:r w:rsidRPr="00F27A03">
        <w:rPr>
          <w:rFonts w:ascii="Calibri" w:eastAsia="Calibri" w:hAnsi="Calibri" w:cs="Calibri"/>
          <w:color w:val="44546A"/>
          <w:szCs w:val="20"/>
          <w:lang w:val="sr-Cyrl-CS" w:eastAsia="ja-JP"/>
        </w:rPr>
        <w:t xml:space="preserve">акона о буџетском систему којим ће бити дефинисан нови сет фискалних правила </w:t>
      </w:r>
      <w:r w:rsidR="00DC02BF" w:rsidRPr="00F27A03">
        <w:rPr>
          <w:rFonts w:ascii="Calibri" w:eastAsia="Calibri" w:hAnsi="Calibri" w:cs="Calibri"/>
          <w:color w:val="44546A"/>
          <w:szCs w:val="20"/>
          <w:lang w:val="sr-Cyrl-CS" w:eastAsia="ja-JP"/>
        </w:rPr>
        <w:t>–</w:t>
      </w:r>
      <w:r w:rsidRPr="00F27A03">
        <w:rPr>
          <w:rFonts w:ascii="Calibri" w:eastAsia="Calibri" w:hAnsi="Calibri" w:cs="Calibri"/>
          <w:color w:val="44546A"/>
          <w:szCs w:val="20"/>
          <w:lang w:val="sr-Cyrl-CS" w:eastAsia="ja-JP"/>
        </w:rPr>
        <w:t xml:space="preserve"> фискалног правила којим је прописан ниво дефицита опште државе у зависности од нивоа јавног дуга опште државе, у примени од 2025. године, с обзиром да су нивои дефицита прописани за 2023. и 2024. годину на вишем нивоу, услед енергетске кризе и екстерних фактора, а путања фискалног опоравка одређена у складу с новим аранжманом са ММФ и фискална правила којима се регулише ниво расхода за плате опште државе и пензије која би ступила на снагу заједно са </w:t>
      </w:r>
      <w:r w:rsidR="00980969" w:rsidRPr="00F27A03">
        <w:rPr>
          <w:rFonts w:ascii="Calibri" w:eastAsia="Calibri" w:hAnsi="Calibri" w:cs="Calibri"/>
          <w:color w:val="44546A"/>
          <w:szCs w:val="20"/>
          <w:lang w:val="sr-Cyrl-CS" w:eastAsia="ja-JP"/>
        </w:rPr>
        <w:t>З</w:t>
      </w:r>
      <w:r w:rsidRPr="00F27A03">
        <w:rPr>
          <w:rFonts w:ascii="Calibri" w:eastAsia="Calibri" w:hAnsi="Calibri" w:cs="Calibri"/>
          <w:color w:val="44546A"/>
          <w:szCs w:val="20"/>
          <w:lang w:val="sr-Cyrl-CS" w:eastAsia="ja-JP"/>
        </w:rPr>
        <w:t>аконом о буџету за 2023. годину. Одступање од ових правила је могуће само изузетно и привремено, и то у случајевима природних катастрофа и екстерних шокова који утичу на угрожавање здравља људи, националне безбедности и значајан пад привредне активности.</w:t>
      </w:r>
    </w:p>
    <w:p w14:paraId="67437C25" w14:textId="77777777" w:rsidR="00AD117B" w:rsidRPr="00F27A03" w:rsidRDefault="00AD117B" w:rsidP="006874FA">
      <w:pPr>
        <w:spacing w:after="0"/>
        <w:rPr>
          <w:rFonts w:ascii="Calibri" w:eastAsia="Calibri" w:hAnsi="Calibri" w:cs="Calibri"/>
          <w:color w:val="44546A"/>
          <w:spacing w:val="-2"/>
          <w:szCs w:val="20"/>
          <w:lang w:val="sr-Cyrl-CS" w:eastAsia="ja-JP"/>
        </w:rPr>
        <w:sectPr w:rsidR="00AD117B" w:rsidRPr="00F27A03" w:rsidSect="006874FA">
          <w:headerReference w:type="default" r:id="rId137"/>
          <w:footerReference w:type="default" r:id="rId138"/>
          <w:headerReference w:type="first" r:id="rId139"/>
          <w:footerReference w:type="first" r:id="rId140"/>
          <w:type w:val="continuous"/>
          <w:pgSz w:w="12240" w:h="15840" w:code="1"/>
          <w:pgMar w:top="1440" w:right="1440" w:bottom="1440" w:left="1440" w:header="720" w:footer="720" w:gutter="0"/>
          <w:cols w:num="2" w:space="720"/>
          <w:docGrid w:linePitch="360"/>
          <w15:footnoteColumns w:val="1"/>
        </w:sectPr>
      </w:pPr>
    </w:p>
    <w:p w14:paraId="19B5119E" w14:textId="60567E79" w:rsidR="00AD117B" w:rsidRPr="00F27A03" w:rsidRDefault="00AD117B" w:rsidP="006874FA">
      <w:pPr>
        <w:spacing w:after="0"/>
        <w:rPr>
          <w:rFonts w:ascii="Calibri" w:eastAsia="Calibri" w:hAnsi="Calibri" w:cs="Calibri"/>
          <w:color w:val="44546A"/>
          <w:spacing w:val="-2"/>
          <w:szCs w:val="20"/>
          <w:lang w:val="sr-Cyrl-CS" w:eastAsia="ja-JP"/>
        </w:rPr>
      </w:pPr>
      <w:r w:rsidRPr="00F27A03">
        <w:rPr>
          <w:rFonts w:ascii="Calibri" w:eastAsia="Calibri" w:hAnsi="Calibri" w:cs="Calibri"/>
          <w:noProof/>
          <w:color w:val="44546A"/>
          <w:spacing w:val="-2"/>
          <w:szCs w:val="20"/>
          <w:lang w:val="sr-Cyrl-RS" w:eastAsia="sr-Cyrl-RS"/>
        </w:rPr>
        <w:lastRenderedPageBreak/>
        <mc:AlternateContent>
          <mc:Choice Requires="wps">
            <w:drawing>
              <wp:anchor distT="0" distB="0" distL="114300" distR="114300" simplePos="0" relativeHeight="251681280" behindDoc="0" locked="0" layoutInCell="1" allowOverlap="1" wp14:anchorId="778F1C7D" wp14:editId="69162C94">
                <wp:simplePos x="0" y="0"/>
                <wp:positionH relativeFrom="margin">
                  <wp:posOffset>-19050</wp:posOffset>
                </wp:positionH>
                <wp:positionV relativeFrom="paragraph">
                  <wp:posOffset>0</wp:posOffset>
                </wp:positionV>
                <wp:extent cx="5962650" cy="4257675"/>
                <wp:effectExtent l="0" t="0" r="19050" b="2857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4257675"/>
                        </a:xfrm>
                        <a:prstGeom prst="rect">
                          <a:avLst/>
                        </a:prstGeom>
                        <a:solidFill>
                          <a:srgbClr val="FFFFFF"/>
                        </a:solidFill>
                        <a:ln w="6350">
                          <a:solidFill>
                            <a:schemeClr val="tx2"/>
                          </a:solidFill>
                          <a:miter lim="800000"/>
                          <a:headEnd/>
                          <a:tailEnd/>
                        </a:ln>
                      </wps:spPr>
                      <wps:txbx>
                        <w:txbxContent>
                          <w:p w14:paraId="0A3DD3E5" w14:textId="77777777" w:rsidR="000E16CE" w:rsidRDefault="000E16CE" w:rsidP="006874FA">
                            <w:pPr>
                              <w:rPr>
                                <w:b/>
                                <w:lang w:val="sr-Cyrl-RS"/>
                              </w:rPr>
                            </w:pPr>
                            <w:r>
                              <w:rPr>
                                <w:b/>
                                <w:lang w:val="sr-Cyrl-RS"/>
                              </w:rPr>
                              <w:t>Предлог новог</w:t>
                            </w:r>
                            <w:r w:rsidRPr="00D9088B">
                              <w:rPr>
                                <w:b/>
                                <w:lang w:val="sr-Cyrl-RS"/>
                              </w:rPr>
                              <w:t xml:space="preserve"> сет</w:t>
                            </w:r>
                            <w:r>
                              <w:rPr>
                                <w:b/>
                                <w:lang w:val="sr-Cyrl-RS"/>
                              </w:rPr>
                              <w:t>а</w:t>
                            </w:r>
                            <w:r w:rsidRPr="00D9088B">
                              <w:rPr>
                                <w:b/>
                                <w:lang w:val="sr-Cyrl-RS"/>
                              </w:rPr>
                              <w:t xml:space="preserve"> фискалних правила</w:t>
                            </w:r>
                            <w:r>
                              <w:rPr>
                                <w:b/>
                                <w:lang w:val="sr-Cyrl-RS"/>
                              </w:rPr>
                              <w:t>:</w:t>
                            </w:r>
                          </w:p>
                          <w:p w14:paraId="00F6AE5E" w14:textId="77777777" w:rsidR="000E16CE" w:rsidRDefault="000E16CE" w:rsidP="006874FA">
                            <w:pPr>
                              <w:rPr>
                                <w:lang w:val="sr-Cyrl-RS"/>
                              </w:rPr>
                            </w:pPr>
                            <w:r>
                              <w:rPr>
                                <w:lang w:val="sr-Cyrl-RS"/>
                              </w:rPr>
                              <w:t>Општа фискална правила:</w:t>
                            </w:r>
                          </w:p>
                          <w:p w14:paraId="128C0C24" w14:textId="77777777" w:rsidR="000E16CE" w:rsidRDefault="000E16CE" w:rsidP="006874FA">
                            <w:pPr>
                              <w:pStyle w:val="ListParagraph"/>
                              <w:numPr>
                                <w:ilvl w:val="0"/>
                                <w:numId w:val="19"/>
                              </w:numPr>
                              <w:rPr>
                                <w:lang w:val="sr-Cyrl-RS"/>
                              </w:rPr>
                            </w:pPr>
                            <w:r w:rsidRPr="00D9088B">
                              <w:rPr>
                                <w:lang w:val="sr-Cyrl-RS"/>
                              </w:rPr>
                              <w:t>дуг сектора државе, укључујући обавезе по основу реституције, неће бити већи од 60% БДП.</w:t>
                            </w:r>
                          </w:p>
                          <w:p w14:paraId="21BA7934" w14:textId="77777777" w:rsidR="000E16CE" w:rsidRDefault="000E16CE" w:rsidP="006874FA">
                            <w:pPr>
                              <w:pStyle w:val="ListParagraph"/>
                              <w:numPr>
                                <w:ilvl w:val="0"/>
                                <w:numId w:val="19"/>
                              </w:numPr>
                              <w:rPr>
                                <w:lang w:val="sr-Cyrl-RS"/>
                              </w:rPr>
                            </w:pPr>
                            <w:r w:rsidRPr="00D9088B">
                              <w:rPr>
                                <w:lang w:val="sr-Cyrl-RS"/>
                              </w:rPr>
                              <w:t>циљани средњорочни дефицит је 0,5% БДП.</w:t>
                            </w:r>
                          </w:p>
                          <w:p w14:paraId="09C880BF" w14:textId="77777777" w:rsidR="000E16CE" w:rsidRPr="00F55403" w:rsidRDefault="000E16CE" w:rsidP="006874FA">
                            <w:pPr>
                              <w:pStyle w:val="ListParagraph"/>
                              <w:rPr>
                                <w:i/>
                                <w:lang w:val="sr-Cyrl-RS"/>
                              </w:rPr>
                            </w:pPr>
                            <w:r w:rsidRPr="00F55403">
                              <w:rPr>
                                <w:i/>
                                <w:lang w:val="sr-Cyrl-RS"/>
                              </w:rPr>
                              <w:t>Уколико је дуг сектора државе изнад 60% БДП, фискална позиција сектора државе мора бити уравнотежена, тако да дефицит износи највише 0% БДП.</w:t>
                            </w:r>
                          </w:p>
                          <w:p w14:paraId="6BFFC7BC" w14:textId="77777777" w:rsidR="000E16CE" w:rsidRPr="00F55403" w:rsidRDefault="000E16CE" w:rsidP="006874FA">
                            <w:pPr>
                              <w:pStyle w:val="ListParagraph"/>
                              <w:rPr>
                                <w:i/>
                                <w:lang w:val="sr-Cyrl-RS"/>
                              </w:rPr>
                            </w:pPr>
                            <w:r w:rsidRPr="00F55403">
                              <w:rPr>
                                <w:i/>
                                <w:lang w:val="sr-Cyrl-RS"/>
                              </w:rPr>
                              <w:t>Уколико је дуг сектора државе између 55% и 60% БДП дефицит износи највише 0,5% БДП.</w:t>
                            </w:r>
                          </w:p>
                          <w:p w14:paraId="4E9E5D29" w14:textId="77777777" w:rsidR="000E16CE" w:rsidRPr="00F55403" w:rsidRDefault="000E16CE" w:rsidP="006874FA">
                            <w:pPr>
                              <w:pStyle w:val="ListParagraph"/>
                              <w:rPr>
                                <w:i/>
                                <w:lang w:val="sr-Cyrl-RS"/>
                              </w:rPr>
                            </w:pPr>
                            <w:r w:rsidRPr="00F55403">
                              <w:rPr>
                                <w:i/>
                                <w:lang w:val="sr-Cyrl-RS"/>
                              </w:rPr>
                              <w:t>Уколико је дуг сектора државе између 45% и 55% БДП дефицит износи највише 1,5% БДП.</w:t>
                            </w:r>
                          </w:p>
                          <w:p w14:paraId="2C68D8AB" w14:textId="77777777" w:rsidR="000E16CE" w:rsidRPr="00F55403" w:rsidRDefault="000E16CE" w:rsidP="006874FA">
                            <w:pPr>
                              <w:pStyle w:val="ListParagraph"/>
                              <w:rPr>
                                <w:i/>
                                <w:lang w:val="sr-Cyrl-RS"/>
                              </w:rPr>
                            </w:pPr>
                            <w:r w:rsidRPr="00F55403">
                              <w:rPr>
                                <w:i/>
                                <w:lang w:val="sr-Cyrl-RS"/>
                              </w:rPr>
                              <w:t>Уколико је дуг сектора државе испод 45% БДП, дефицит неће прећи износ од 3% БДП.</w:t>
                            </w:r>
                          </w:p>
                          <w:p w14:paraId="4D4CEBBE" w14:textId="77777777" w:rsidR="000E16CE" w:rsidRDefault="000E16CE" w:rsidP="006874FA">
                            <w:pPr>
                              <w:rPr>
                                <w:lang w:val="sr-Cyrl-RS"/>
                              </w:rPr>
                            </w:pPr>
                            <w:r>
                              <w:rPr>
                                <w:lang w:val="sr-Cyrl-RS"/>
                              </w:rPr>
                              <w:t>Посебна фискална правила:</w:t>
                            </w:r>
                          </w:p>
                          <w:p w14:paraId="1AFCA6C7" w14:textId="77777777" w:rsidR="000E16CE" w:rsidRDefault="000E16CE" w:rsidP="006874FA">
                            <w:pPr>
                              <w:pStyle w:val="ListParagraph"/>
                              <w:numPr>
                                <w:ilvl w:val="0"/>
                                <w:numId w:val="19"/>
                              </w:numPr>
                              <w:rPr>
                                <w:lang w:val="sr-Cyrl-RS"/>
                              </w:rPr>
                            </w:pPr>
                            <w:r w:rsidRPr="00F55403">
                              <w:rPr>
                                <w:lang w:val="sr-Cyrl-RS"/>
                              </w:rPr>
                              <w:t>учешће пла</w:t>
                            </w:r>
                            <w:r>
                              <w:rPr>
                                <w:lang w:val="sr-Cyrl-RS"/>
                              </w:rPr>
                              <w:t xml:space="preserve">та сектора државе у БДП </w:t>
                            </w:r>
                            <w:r w:rsidRPr="00F55403">
                              <w:rPr>
                                <w:lang w:val="sr-Cyrl-RS"/>
                              </w:rPr>
                              <w:t>до 10%</w:t>
                            </w:r>
                            <w:r>
                              <w:rPr>
                                <w:lang w:val="sr-Cyrl-RS"/>
                              </w:rPr>
                              <w:t>.</w:t>
                            </w:r>
                          </w:p>
                          <w:p w14:paraId="6996D018" w14:textId="77777777" w:rsidR="000E16CE" w:rsidRDefault="000E16CE" w:rsidP="006874FA">
                            <w:pPr>
                              <w:pStyle w:val="ListParagraph"/>
                              <w:numPr>
                                <w:ilvl w:val="0"/>
                                <w:numId w:val="19"/>
                              </w:numPr>
                              <w:rPr>
                                <w:lang w:val="sr-Cyrl-RS"/>
                              </w:rPr>
                            </w:pPr>
                            <w:r>
                              <w:rPr>
                                <w:lang w:val="sr-Cyrl-RS"/>
                              </w:rPr>
                              <w:t>индексирање пензија зависно од њиховог учешћа у БДП.</w:t>
                            </w:r>
                          </w:p>
                          <w:p w14:paraId="59BA2493" w14:textId="611DD998" w:rsidR="000E16CE" w:rsidRPr="007A2962" w:rsidRDefault="000E16CE" w:rsidP="006874FA">
                            <w:pPr>
                              <w:pStyle w:val="ListParagraph"/>
                              <w:rPr>
                                <w:i/>
                                <w:lang w:val="sr-Cyrl-RS"/>
                              </w:rPr>
                            </w:pPr>
                            <w:r w:rsidRPr="007A2962">
                              <w:rPr>
                                <w:i/>
                                <w:lang w:val="sr-Cyrl-RS"/>
                              </w:rPr>
                              <w:t>Уколико су укупни расходи за пензије и новчани износ као увећање за пензију мањи од 10% БДП, пензија ће се ускладити према промени просечне зараде без пореза и доприноса, на начин дефинисан законом који уређује пензијско и инвалидско осигурање.</w:t>
                            </w:r>
                          </w:p>
                          <w:p w14:paraId="5519FEE8" w14:textId="7B8E5D0E" w:rsidR="000E16CE" w:rsidRPr="007A2962" w:rsidRDefault="000E16CE" w:rsidP="006874FA">
                            <w:pPr>
                              <w:pStyle w:val="ListParagraph"/>
                              <w:rPr>
                                <w:i/>
                                <w:lang w:val="sr-Cyrl-RS"/>
                              </w:rPr>
                            </w:pPr>
                            <w:r w:rsidRPr="007A2962">
                              <w:rPr>
                                <w:i/>
                                <w:lang w:val="sr-Cyrl-RS"/>
                              </w:rPr>
                              <w:t>Уколико су укупни расходи за пензије и новчани износ као увећање за пензију 10% или већи од 10%, а мањи од 10,5% БДП</w:t>
                            </w:r>
                            <w:r>
                              <w:rPr>
                                <w:i/>
                                <w:lang w:val="en-GB"/>
                              </w:rPr>
                              <w:t>,</w:t>
                            </w:r>
                            <w:r w:rsidRPr="007A2962">
                              <w:rPr>
                                <w:i/>
                                <w:lang w:val="sr-Cyrl-RS"/>
                              </w:rPr>
                              <w:t xml:space="preserve"> пензија ће се ускладити са збиром половине процента промене просечне зараде без пореза и доприноса</w:t>
                            </w:r>
                            <w:r w:rsidRPr="007A2962" w:rsidDel="001A681C">
                              <w:rPr>
                                <w:i/>
                                <w:lang w:val="sr-Cyrl-RS"/>
                              </w:rPr>
                              <w:t xml:space="preserve"> </w:t>
                            </w:r>
                            <w:r w:rsidRPr="007A2962">
                              <w:rPr>
                                <w:i/>
                                <w:lang w:val="sr-Cyrl-RS"/>
                              </w:rPr>
                              <w:t>и половине процента промене потрошачких цена, на начин дефинисан законом који уређује пензијско и инвалидско осигурање.</w:t>
                            </w:r>
                          </w:p>
                          <w:p w14:paraId="6154EC83" w14:textId="69AD2511" w:rsidR="000E16CE" w:rsidRPr="00C03F99" w:rsidRDefault="000E16CE" w:rsidP="006874FA">
                            <w:pPr>
                              <w:pStyle w:val="ListParagraph"/>
                              <w:rPr>
                                <w:i/>
                                <w:lang w:val="sr-Cyrl-RS"/>
                              </w:rPr>
                            </w:pPr>
                            <w:r w:rsidRPr="007A2962">
                              <w:rPr>
                                <w:i/>
                                <w:lang w:val="sr-Cyrl-RS"/>
                              </w:rPr>
                              <w:t>Уколико су укупни расходи за пензије и новчани износ као увећање за пензију једнаки или већи од 10,5% БДП</w:t>
                            </w:r>
                            <w:r>
                              <w:rPr>
                                <w:i/>
                                <w:lang w:val="en-GB"/>
                              </w:rPr>
                              <w:t>,</w:t>
                            </w:r>
                            <w:r w:rsidRPr="007A2962">
                              <w:rPr>
                                <w:i/>
                                <w:lang w:val="sr-Cyrl-RS"/>
                              </w:rPr>
                              <w:t xml:space="preserve"> пензија ће се ускладити према промени потрошачких цена, на начин дефинисан законом који уређује пензијско и инвалидско осигурање.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8F1C7D" id="_x0000_t202" coordsize="21600,21600" o:spt="202" path="m,l,21600r21600,l21600,xe">
                <v:stroke joinstyle="miter"/>
                <v:path gradientshapeok="t" o:connecttype="rect"/>
              </v:shapetype>
              <v:shape id="Text Box 2" o:spid="_x0000_s1026" type="#_x0000_t202" style="position:absolute;left:0;text-align:left;margin-left:-1.5pt;margin-top:0;width:469.5pt;height:335.25pt;z-index:251681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" strokecolor="#44546a [3215]" strokeweight=".5pt">
                <v:textbox>
                  <w:txbxContent>
                    <w:p w14:paraId="0A3DD3E5" w14:textId="77777777" w:rsidR="000E16CE" w:rsidRDefault="000E16CE" w:rsidP="006874FA">
                      <w:pPr>
                        <w:rPr>
                          <w:b/>
                          <w:lang w:val="sr-Cyrl-RS"/>
                        </w:rPr>
                      </w:pPr>
                      <w:r>
                        <w:rPr>
                          <w:b/>
                          <w:lang w:val="sr-Cyrl-RS"/>
                        </w:rPr>
                        <w:t>Предлог новог</w:t>
                      </w:r>
                      <w:r w:rsidRPr="00D9088B">
                        <w:rPr>
                          <w:b/>
                          <w:lang w:val="sr-Cyrl-RS"/>
                        </w:rPr>
                        <w:t xml:space="preserve"> сет</w:t>
                      </w:r>
                      <w:r>
                        <w:rPr>
                          <w:b/>
                          <w:lang w:val="sr-Cyrl-RS"/>
                        </w:rPr>
                        <w:t>а</w:t>
                      </w:r>
                      <w:r w:rsidRPr="00D9088B">
                        <w:rPr>
                          <w:b/>
                          <w:lang w:val="sr-Cyrl-RS"/>
                        </w:rPr>
                        <w:t xml:space="preserve"> фискалних правила</w:t>
                      </w:r>
                      <w:r>
                        <w:rPr>
                          <w:b/>
                          <w:lang w:val="sr-Cyrl-RS"/>
                        </w:rPr>
                        <w:t>:</w:t>
                      </w:r>
                    </w:p>
                    <w:p w14:paraId="00F6AE5E" w14:textId="77777777" w:rsidR="000E16CE" w:rsidRDefault="000E16CE" w:rsidP="006874FA">
                      <w:pPr>
                        <w:rPr>
                          <w:lang w:val="sr-Cyrl-RS"/>
                        </w:rPr>
                      </w:pPr>
                      <w:r>
                        <w:rPr>
                          <w:lang w:val="sr-Cyrl-RS"/>
                        </w:rPr>
                        <w:t>Општа фискална правила:</w:t>
                      </w:r>
                    </w:p>
                    <w:p w14:paraId="128C0C24" w14:textId="77777777" w:rsidR="000E16CE" w:rsidRDefault="000E16CE" w:rsidP="006874FA">
                      <w:pPr>
                        <w:pStyle w:val="ListParagraph"/>
                        <w:numPr>
                          <w:ilvl w:val="0"/>
                          <w:numId w:val="19"/>
                        </w:numPr>
                        <w:rPr>
                          <w:lang w:val="sr-Cyrl-RS"/>
                        </w:rPr>
                      </w:pPr>
                      <w:r w:rsidRPr="00D9088B">
                        <w:rPr>
                          <w:lang w:val="sr-Cyrl-RS"/>
                        </w:rPr>
                        <w:t>дуг сектора државе, укључујући обавезе по основу реституције, неће бити већи од 60% БДП.</w:t>
                      </w:r>
                    </w:p>
                    <w:p w14:paraId="21BA7934" w14:textId="77777777" w:rsidR="000E16CE" w:rsidRDefault="000E16CE" w:rsidP="006874FA">
                      <w:pPr>
                        <w:pStyle w:val="ListParagraph"/>
                        <w:numPr>
                          <w:ilvl w:val="0"/>
                          <w:numId w:val="19"/>
                        </w:numPr>
                        <w:rPr>
                          <w:lang w:val="sr-Cyrl-RS"/>
                        </w:rPr>
                      </w:pPr>
                      <w:r w:rsidRPr="00D9088B">
                        <w:rPr>
                          <w:lang w:val="sr-Cyrl-RS"/>
                        </w:rPr>
                        <w:t>циљани средњорочни дефицит је 0,5% БДП.</w:t>
                      </w:r>
                    </w:p>
                    <w:p w14:paraId="09C880BF" w14:textId="77777777" w:rsidR="000E16CE" w:rsidRPr="00F55403" w:rsidRDefault="000E16CE" w:rsidP="006874FA">
                      <w:pPr>
                        <w:pStyle w:val="ListParagraph"/>
                        <w:rPr>
                          <w:i/>
                          <w:lang w:val="sr-Cyrl-RS"/>
                        </w:rPr>
                      </w:pPr>
                      <w:r w:rsidRPr="00F55403">
                        <w:rPr>
                          <w:i/>
                          <w:lang w:val="sr-Cyrl-RS"/>
                        </w:rPr>
                        <w:t>Уколико је дуг сектора државе изнад 60% БДП, фискална позиција сектора државе мора бити уравнотежена, тако да дефицит износи највише 0% БДП.</w:t>
                      </w:r>
                    </w:p>
                    <w:p w14:paraId="6BFFC7BC" w14:textId="77777777" w:rsidR="000E16CE" w:rsidRPr="00F55403" w:rsidRDefault="000E16CE" w:rsidP="006874FA">
                      <w:pPr>
                        <w:pStyle w:val="ListParagraph"/>
                        <w:rPr>
                          <w:i/>
                          <w:lang w:val="sr-Cyrl-RS"/>
                        </w:rPr>
                      </w:pPr>
                      <w:r w:rsidRPr="00F55403">
                        <w:rPr>
                          <w:i/>
                          <w:lang w:val="sr-Cyrl-RS"/>
                        </w:rPr>
                        <w:t>Уколико је дуг сектора државе између 55% и 60% БДП дефицит износи највише 0,5% БДП.</w:t>
                      </w:r>
                    </w:p>
                    <w:p w14:paraId="4E9E5D29" w14:textId="77777777" w:rsidR="000E16CE" w:rsidRPr="00F55403" w:rsidRDefault="000E16CE" w:rsidP="006874FA">
                      <w:pPr>
                        <w:pStyle w:val="ListParagraph"/>
                        <w:rPr>
                          <w:i/>
                          <w:lang w:val="sr-Cyrl-RS"/>
                        </w:rPr>
                      </w:pPr>
                      <w:r w:rsidRPr="00F55403">
                        <w:rPr>
                          <w:i/>
                          <w:lang w:val="sr-Cyrl-RS"/>
                        </w:rPr>
                        <w:t>Уколико је дуг сектора државе између 45% и 55% БДП дефицит износи највише 1,5% БДП.</w:t>
                      </w:r>
                    </w:p>
                    <w:p w14:paraId="2C68D8AB" w14:textId="77777777" w:rsidR="000E16CE" w:rsidRPr="00F55403" w:rsidRDefault="000E16CE" w:rsidP="006874FA">
                      <w:pPr>
                        <w:pStyle w:val="ListParagraph"/>
                        <w:rPr>
                          <w:i/>
                          <w:lang w:val="sr-Cyrl-RS"/>
                        </w:rPr>
                      </w:pPr>
                      <w:r w:rsidRPr="00F55403">
                        <w:rPr>
                          <w:i/>
                          <w:lang w:val="sr-Cyrl-RS"/>
                        </w:rPr>
                        <w:t>Уколико је дуг сектора државе испод 45% БДП, дефицит неће прећи износ од 3% БДП.</w:t>
                      </w:r>
                    </w:p>
                    <w:p w14:paraId="4D4CEBBE" w14:textId="77777777" w:rsidR="000E16CE" w:rsidRDefault="000E16CE" w:rsidP="006874FA">
                      <w:pPr>
                        <w:rPr>
                          <w:lang w:val="sr-Cyrl-RS"/>
                        </w:rPr>
                      </w:pPr>
                      <w:r>
                        <w:rPr>
                          <w:lang w:val="sr-Cyrl-RS"/>
                        </w:rPr>
                        <w:t>Посебна фискална правила:</w:t>
                      </w:r>
                    </w:p>
                    <w:p w14:paraId="1AFCA6C7" w14:textId="77777777" w:rsidR="000E16CE" w:rsidRDefault="000E16CE" w:rsidP="006874FA">
                      <w:pPr>
                        <w:pStyle w:val="ListParagraph"/>
                        <w:numPr>
                          <w:ilvl w:val="0"/>
                          <w:numId w:val="19"/>
                        </w:numPr>
                        <w:rPr>
                          <w:lang w:val="sr-Cyrl-RS"/>
                        </w:rPr>
                      </w:pPr>
                      <w:r w:rsidRPr="00F55403">
                        <w:rPr>
                          <w:lang w:val="sr-Cyrl-RS"/>
                        </w:rPr>
                        <w:t>учешће пла</w:t>
                      </w:r>
                      <w:r>
                        <w:rPr>
                          <w:lang w:val="sr-Cyrl-RS"/>
                        </w:rPr>
                        <w:t xml:space="preserve">та сектора државе у БДП </w:t>
                      </w:r>
                      <w:r w:rsidRPr="00F55403">
                        <w:rPr>
                          <w:lang w:val="sr-Cyrl-RS"/>
                        </w:rPr>
                        <w:t>до 10%</w:t>
                      </w:r>
                      <w:r>
                        <w:rPr>
                          <w:lang w:val="sr-Cyrl-RS"/>
                        </w:rPr>
                        <w:t>.</w:t>
                      </w:r>
                    </w:p>
                    <w:p w14:paraId="6996D018" w14:textId="77777777" w:rsidR="000E16CE" w:rsidRDefault="000E16CE" w:rsidP="006874FA">
                      <w:pPr>
                        <w:pStyle w:val="ListParagraph"/>
                        <w:numPr>
                          <w:ilvl w:val="0"/>
                          <w:numId w:val="19"/>
                        </w:numPr>
                        <w:rPr>
                          <w:lang w:val="sr-Cyrl-RS"/>
                        </w:rPr>
                      </w:pPr>
                      <w:r>
                        <w:rPr>
                          <w:lang w:val="sr-Cyrl-RS"/>
                        </w:rPr>
                        <w:t>индексирање пензија зависно од њиховог учешћа у БДП.</w:t>
                      </w:r>
                    </w:p>
                    <w:p w14:paraId="59BA2493" w14:textId="611DD998" w:rsidR="000E16CE" w:rsidRPr="007A2962" w:rsidRDefault="000E16CE" w:rsidP="006874FA">
                      <w:pPr>
                        <w:pStyle w:val="ListParagraph"/>
                        <w:rPr>
                          <w:i/>
                          <w:lang w:val="sr-Cyrl-RS"/>
                        </w:rPr>
                      </w:pPr>
                      <w:r w:rsidRPr="007A2962">
                        <w:rPr>
                          <w:i/>
                          <w:lang w:val="sr-Cyrl-RS"/>
                        </w:rPr>
                        <w:t>Уколико су укупни расходи за пензије и новчани износ као увећање за пензију мањи од 10% БДП, пензија ће се ускладити према промени просечне зараде без пореза и доприноса, на начин дефинисан законом који уређује пензијско и инвалидско осигурање.</w:t>
                      </w:r>
                    </w:p>
                    <w:p w14:paraId="5519FEE8" w14:textId="7B8E5D0E" w:rsidR="000E16CE" w:rsidRPr="007A2962" w:rsidRDefault="000E16CE" w:rsidP="006874FA">
                      <w:pPr>
                        <w:pStyle w:val="ListParagraph"/>
                        <w:rPr>
                          <w:i/>
                          <w:lang w:val="sr-Cyrl-RS"/>
                        </w:rPr>
                      </w:pPr>
                      <w:r w:rsidRPr="007A2962">
                        <w:rPr>
                          <w:i/>
                          <w:lang w:val="sr-Cyrl-RS"/>
                        </w:rPr>
                        <w:t>Уколико су укупни расходи за пензије и новчани износ као увећање за пензију 10% или већи од 10%, а мањи од 10,5% БДП</w:t>
                      </w:r>
                      <w:r>
                        <w:rPr>
                          <w:i/>
                          <w:lang w:val="en-GB"/>
                        </w:rPr>
                        <w:t>,</w:t>
                      </w:r>
                      <w:r w:rsidRPr="007A2962">
                        <w:rPr>
                          <w:i/>
                          <w:lang w:val="sr-Cyrl-RS"/>
                        </w:rPr>
                        <w:t xml:space="preserve"> пензија ће се ускладити са збиром половине процента промене просечне зараде без пореза и доприноса</w:t>
                      </w:r>
                      <w:r w:rsidRPr="007A2962" w:rsidDel="001A681C">
                        <w:rPr>
                          <w:i/>
                          <w:lang w:val="sr-Cyrl-RS"/>
                        </w:rPr>
                        <w:t xml:space="preserve"> </w:t>
                      </w:r>
                      <w:r w:rsidRPr="007A2962">
                        <w:rPr>
                          <w:i/>
                          <w:lang w:val="sr-Cyrl-RS"/>
                        </w:rPr>
                        <w:t>и половине процента промене потрошачких цена, на начин дефинисан законом који уређује пензијско и инвалидско осигурање.</w:t>
                      </w:r>
                    </w:p>
                    <w:p w14:paraId="6154EC83" w14:textId="69AD2511" w:rsidR="000E16CE" w:rsidRPr="00C03F99" w:rsidRDefault="000E16CE" w:rsidP="006874FA">
                      <w:pPr>
                        <w:pStyle w:val="ListParagraph"/>
                        <w:rPr>
                          <w:i/>
                          <w:lang w:val="sr-Cyrl-RS"/>
                        </w:rPr>
                      </w:pPr>
                      <w:r w:rsidRPr="007A2962">
                        <w:rPr>
                          <w:i/>
                          <w:lang w:val="sr-Cyrl-RS"/>
                        </w:rPr>
                        <w:t>Уколико су укупни расходи за пензије и новчани износ као увећање за пензију једнаки или већи од 10,5% БДП</w:t>
                      </w:r>
                      <w:r>
                        <w:rPr>
                          <w:i/>
                          <w:lang w:val="en-GB"/>
                        </w:rPr>
                        <w:t>,</w:t>
                      </w:r>
                      <w:r w:rsidRPr="007A2962">
                        <w:rPr>
                          <w:i/>
                          <w:lang w:val="sr-Cyrl-RS"/>
                        </w:rPr>
                        <w:t xml:space="preserve"> пензија ће се ускладити према промени потрошачких цена, на начин дефинисан законом који уређује пензијско и инвалидско осигурање.</w:t>
                      </w:r>
                    </w:p>
                  </w:txbxContent>
                </v:textbox>
                <w10:wrap type="topAndBottom" anchorx="margin"/>
              </v:shape>
            </w:pict>
          </mc:Fallback>
        </mc:AlternateContent>
      </w:r>
    </w:p>
    <w:p w14:paraId="5271A028" w14:textId="77777777" w:rsidR="00AD117B" w:rsidRPr="00F27A03" w:rsidRDefault="00AD117B" w:rsidP="006874FA">
      <w:pPr>
        <w:spacing w:after="0"/>
        <w:rPr>
          <w:rFonts w:ascii="Calibri" w:eastAsia="Calibri" w:hAnsi="Calibri" w:cs="Calibri"/>
          <w:color w:val="44546A"/>
          <w:spacing w:val="-2"/>
          <w:szCs w:val="20"/>
          <w:lang w:val="sr-Cyrl-CS" w:eastAsia="ja-JP"/>
        </w:rPr>
        <w:sectPr w:rsidR="00AD117B" w:rsidRPr="00F27A03" w:rsidSect="006874FA">
          <w:type w:val="continuous"/>
          <w:pgSz w:w="12240" w:h="15840" w:code="1"/>
          <w:pgMar w:top="1440" w:right="1440" w:bottom="1440" w:left="1440" w:header="720" w:footer="720" w:gutter="0"/>
          <w:cols w:space="720"/>
          <w:docGrid w:linePitch="360"/>
        </w:sectPr>
      </w:pPr>
    </w:p>
    <w:p w14:paraId="6C19FC7D" w14:textId="3B974840"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 xml:space="preserve">У наредном периоду очекује се наставак реформи у области запошљавања, управљања кадровима и система плата у сектору државе. Циљ фискалне политике у средњем року је задржавање расхода за запослене на одрживом нивоу, уз адекватну структуру запослених, како би се обезбедио већи квалитет пружених услуга. У наредном средњорочном периоду акценат </w:t>
      </w:r>
      <w:r w:rsidR="002648C4" w:rsidRPr="00F27A03">
        <w:rPr>
          <w:rFonts w:ascii="Calibri" w:eastAsia="Calibri" w:hAnsi="Calibri" w:cs="Calibri"/>
          <w:color w:val="44546A"/>
          <w:szCs w:val="20"/>
          <w:lang w:val="sr-Cyrl-CS" w:eastAsia="ja-JP"/>
        </w:rPr>
        <w:t xml:space="preserve">ће бити на </w:t>
      </w:r>
      <w:r w:rsidRPr="00F27A03">
        <w:rPr>
          <w:rFonts w:ascii="Calibri" w:eastAsia="Calibri" w:hAnsi="Calibri" w:cs="Calibri"/>
          <w:color w:val="44546A"/>
          <w:szCs w:val="20"/>
          <w:lang w:val="sr-Cyrl-CS" w:eastAsia="ja-JP"/>
        </w:rPr>
        <w:t>структурним мерама, које би преко планирања броја запослених с једне стране</w:t>
      </w:r>
      <w:r w:rsidR="002648C4" w:rsidRPr="00F27A03">
        <w:rPr>
          <w:rFonts w:ascii="Calibri" w:eastAsia="Calibri" w:hAnsi="Calibri" w:cs="Calibri"/>
          <w:color w:val="44546A"/>
          <w:szCs w:val="20"/>
          <w:lang w:val="sr-Cyrl-CS" w:eastAsia="ja-JP"/>
        </w:rPr>
        <w:t>,</w:t>
      </w:r>
      <w:r w:rsidRPr="00F27A03">
        <w:rPr>
          <w:rFonts w:ascii="Calibri" w:eastAsia="Calibri" w:hAnsi="Calibri" w:cs="Calibri"/>
          <w:color w:val="44546A"/>
          <w:szCs w:val="20"/>
          <w:lang w:val="sr-Cyrl-CS" w:eastAsia="ja-JP"/>
        </w:rPr>
        <w:t xml:space="preserve"> и успостављања новог</w:t>
      </w:r>
      <w:r w:rsidR="002648C4" w:rsidRPr="00F27A03">
        <w:rPr>
          <w:rFonts w:ascii="Calibri" w:eastAsia="Calibri" w:hAnsi="Calibri" w:cs="Calibri"/>
          <w:color w:val="44546A"/>
          <w:szCs w:val="20"/>
          <w:lang w:val="sr-Cyrl-CS" w:eastAsia="ja-JP"/>
        </w:rPr>
        <w:t xml:space="preserve"> система плата у сектору државе</w:t>
      </w:r>
      <w:r w:rsidRPr="00F27A03">
        <w:rPr>
          <w:rFonts w:ascii="Calibri" w:eastAsia="Calibri" w:hAnsi="Calibri" w:cs="Calibri"/>
          <w:color w:val="44546A"/>
          <w:szCs w:val="20"/>
          <w:lang w:val="sr-Cyrl-CS" w:eastAsia="ja-JP"/>
        </w:rPr>
        <w:t xml:space="preserve"> с друге стране, допринеле повећању ефикасности и квалитету пружених јавних услуга.</w:t>
      </w:r>
    </w:p>
    <w:p w14:paraId="3BF83F12" w14:textId="77777777"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 xml:space="preserve">Постојећи систем запошљавања, којим руководи Владина Комисија за давање сагласности за ново запошљавање и додатно радно ангажовање код корисника јавних средстава наставиће да функционише у прелазном периоду до 2023. године, односно све док нови систем не буде у потпуности оперативан. Крајем 2020. године усвојене су измене Закона о буџетском систему како би било омогућено да у прелазном периоду </w:t>
      </w:r>
      <w:r w:rsidRPr="00F27A03">
        <w:rPr>
          <w:rFonts w:ascii="Calibri" w:eastAsia="Calibri" w:hAnsi="Calibri" w:cs="Calibri"/>
          <w:color w:val="44546A"/>
          <w:szCs w:val="20"/>
          <w:lang w:val="sr-Cyrl-CS" w:eastAsia="ja-JP"/>
        </w:rPr>
        <w:t xml:space="preserve">институције могу да ангажују нова лица до нивоа од 70% оних који напуштају институцију или одлазе у пензију, док је дозвола Комисије потребна уколико број новозапослених пређе 70%. Смисао ове мере је да се обезбеди већа флексибилност у запошљавању на нивоу самих институција, у складу с њиховим потребама за новим кадровима. Такође, постављен је и лимит од 1% за повећање укупног броја запослених на неодређено време у односу на ниво с краја 2020. године. У току је и израда електронског регистра запослених у јавном сектору „Искра”, који би требало да буде имплементиран до краја 2023. године, а пилот пројекат који обухвата запослене у Министарству финансија је већ оперативан. Суштина овог система је боље планирање, извршење и контрола расхода за плате запослених, већа транспарентност и боље управљање људским ресурсима. Системом ће бити обухваћено преко 450.000 запослених у јавном сектору, а ван система ће остати само запослени у сектору одбране, безбедности и </w:t>
      </w:r>
      <w:r w:rsidRPr="00F27A03">
        <w:rPr>
          <w:rFonts w:ascii="Calibri" w:eastAsia="Calibri" w:hAnsi="Calibri" w:cs="Calibri"/>
          <w:color w:val="44546A"/>
          <w:szCs w:val="20"/>
          <w:lang w:val="sr-Cyrl-CS" w:eastAsia="ja-JP"/>
        </w:rPr>
        <w:lastRenderedPageBreak/>
        <w:t>унутрашњих послова и институције вишег и високог образовања.</w:t>
      </w:r>
    </w:p>
    <w:p w14:paraId="3D987287" w14:textId="7D4945B4"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 xml:space="preserve">У циљу смањења различитих облика буџетске подршке јавним и државним предузећима </w:t>
      </w:r>
      <w:r w:rsidRPr="00F27A03">
        <w:rPr>
          <w:rFonts w:ascii="Calibri" w:eastAsia="Calibri" w:hAnsi="Calibri" w:cs="Calibri"/>
          <w:color w:val="44546A"/>
          <w:spacing w:val="-4"/>
          <w:szCs w:val="20"/>
          <w:lang w:val="sr-Cyrl-CS" w:eastAsia="ja-JP"/>
        </w:rPr>
        <w:t>наставља се са њиховим реформама. Смањење буџетске подршке овим предузећима подразумева: а) ограничење директних и</w:t>
      </w:r>
      <w:r w:rsidRPr="00F27A03">
        <w:rPr>
          <w:rFonts w:ascii="Calibri" w:eastAsia="Calibri" w:hAnsi="Calibri" w:cs="Calibri"/>
          <w:color w:val="44546A"/>
          <w:szCs w:val="20"/>
          <w:lang w:val="sr-Cyrl-CS" w:eastAsia="ja-JP"/>
        </w:rPr>
        <w:t xml:space="preserve"> индиректних субвенција, б) забрану издавања гаранција за подршку ликвидности (осим у случају осигурања неометаног снабдевања тржишта енергентима за ЈП „Србијагас”</w:t>
      </w:r>
      <w:r w:rsidRPr="00F27A03">
        <w:rPr>
          <w:rFonts w:ascii="Calibri" w:hAnsi="Calibri"/>
          <w:lang w:val="sr-Cyrl-CS"/>
        </w:rPr>
        <w:t xml:space="preserve"> и </w:t>
      </w:r>
      <w:r w:rsidRPr="00F27A03">
        <w:rPr>
          <w:rFonts w:ascii="Calibri" w:eastAsia="Calibri" w:hAnsi="Calibri" w:cs="Calibri"/>
          <w:color w:val="44546A"/>
          <w:szCs w:val="20"/>
          <w:lang w:val="sr-Cyrl-CS" w:eastAsia="ja-JP"/>
        </w:rPr>
        <w:t>ЈП ЕПС) и в) јачање одговорности и транспарентности у пословању ових предузећа, укључујући и контролу и смањење доцњи у плаћањима, нарочито према ЈП ЕПС и ЈП „Србијагас” и превенцију њиховог гомилања у будућн</w:t>
      </w:r>
      <w:r w:rsidR="00524F94" w:rsidRPr="00F27A03">
        <w:rPr>
          <w:rFonts w:ascii="Calibri" w:eastAsia="Calibri" w:hAnsi="Calibri" w:cs="Calibri"/>
          <w:color w:val="44546A"/>
          <w:szCs w:val="20"/>
          <w:lang w:val="sr-Cyrl-CS" w:eastAsia="ja-JP"/>
        </w:rPr>
        <w:t>ости</w:t>
      </w:r>
      <w:r w:rsidRPr="00F27A03">
        <w:rPr>
          <w:rFonts w:ascii="Calibri" w:eastAsia="Calibri" w:hAnsi="Calibri" w:cs="Calibri"/>
          <w:color w:val="44546A"/>
          <w:szCs w:val="20"/>
          <w:lang w:val="sr-Cyrl-CS" w:eastAsia="ja-JP"/>
        </w:rPr>
        <w:t>.</w:t>
      </w:r>
    </w:p>
    <w:p w14:paraId="1C6E687B" w14:textId="77777777" w:rsidR="00AD117B" w:rsidRPr="00F27A03" w:rsidRDefault="00AD117B" w:rsidP="00953528">
      <w:pPr>
        <w:rPr>
          <w:rFonts w:ascii="Calibri" w:eastAsia="Calibri" w:hAnsi="Calibri" w:cs="Calibri"/>
          <w:szCs w:val="20"/>
          <w:lang w:val="sr-Cyrl-CS" w:eastAsia="ja-JP"/>
        </w:rPr>
      </w:pPr>
      <w:r w:rsidRPr="00F27A03">
        <w:rPr>
          <w:rFonts w:ascii="Calibri" w:eastAsia="Calibri" w:hAnsi="Calibri" w:cs="Calibri"/>
          <w:szCs w:val="20"/>
          <w:lang w:val="sr-Cyrl-CS" w:eastAsia="ja-JP"/>
        </w:rPr>
        <w:t>Влада је, уз подршку ЕБРД, усвојила Стратегију државног власништва и управљања привредним субјектима који су у власништву Републике Србије за период од 2021. до 2027. године као јединствени акт који пружа стратешку визију и упутства у вези са циљевима власничког управљања, циљевима финансијских и јавних политика, као и принципима корпоративног управљања и праксама надзора у складу са међународним стандардима и најбољом праксом.</w:t>
      </w:r>
    </w:p>
    <w:p w14:paraId="52AAFC71" w14:textId="77777777" w:rsidR="00AD117B" w:rsidRPr="00F27A03" w:rsidRDefault="00AD117B" w:rsidP="00953528">
      <w:pPr>
        <w:rPr>
          <w:rFonts w:ascii="Calibri" w:eastAsia="Calibri" w:hAnsi="Calibri" w:cs="Calibri"/>
          <w:szCs w:val="20"/>
          <w:lang w:val="sr-Cyrl-CS" w:eastAsia="ja-JP"/>
        </w:rPr>
      </w:pPr>
      <w:r w:rsidRPr="00F27A03">
        <w:rPr>
          <w:rFonts w:ascii="Calibri" w:eastAsia="Calibri" w:hAnsi="Calibri" w:cs="Calibri"/>
          <w:szCs w:val="20"/>
          <w:lang w:val="sr-Cyrl-CS" w:eastAsia="ja-JP"/>
        </w:rPr>
        <w:t>За предузећа која чине стратешке компаније из портфолија бивше Агенције за приватизацију, решење се налази или кроз приватизационе тендере, или кроз стечај. За саобраћајно предузеће „Ласта” АД Београд тражиће се компаније заинтересоване за приватизацију или стратешко партнерство. Уз подршку Светске банке дефинисан је акциони план за ЈП ПЕУ „Ресавица”, чије спровођење укључује проналажење решења за затварање економски неодрживих рудника и план рационализације, уз могућност добровољног одласка уз обезбеђена средства за социјални програм и средства за подршку пословању како не би дошло до гомилања доцњи у плаћањима, нарочито према ЈП ЕПС. За ХИП – Петрохемија споразум о приватизацији је постигнут у децембру 2021. године с компанијом НИС, а окончање поступка је планирано до краја ове године.</w:t>
      </w:r>
    </w:p>
    <w:p w14:paraId="04A35904" w14:textId="77777777"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 xml:space="preserve">За одређени број компанија у државном власништву се траже стратешки партнери или </w:t>
      </w:r>
      <w:r w:rsidRPr="00F27A03">
        <w:rPr>
          <w:rFonts w:ascii="Calibri" w:eastAsia="Calibri" w:hAnsi="Calibri" w:cs="Calibri"/>
          <w:color w:val="44546A"/>
          <w:szCs w:val="20"/>
          <w:lang w:val="sr-Cyrl-CS" w:eastAsia="ja-JP"/>
        </w:rPr>
        <w:t>други модели приватизације, односно спровођење унапред припремљених планова реорганизације (УППР).</w:t>
      </w:r>
    </w:p>
    <w:p w14:paraId="099A9964" w14:textId="4C664D44"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Побољшање управљања јавним финансијама је нужно</w:t>
      </w:r>
      <w:r w:rsidR="004E2D5D" w:rsidRPr="00F27A03">
        <w:rPr>
          <w:rFonts w:ascii="Calibri" w:eastAsia="Calibri" w:hAnsi="Calibri" w:cs="Calibri"/>
          <w:color w:val="44546A"/>
          <w:szCs w:val="20"/>
          <w:lang w:val="sr-Cyrl-CS" w:eastAsia="ja-JP"/>
        </w:rPr>
        <w:t>,</w:t>
      </w:r>
      <w:r w:rsidRPr="00F27A03">
        <w:rPr>
          <w:rFonts w:ascii="Calibri" w:eastAsia="Calibri" w:hAnsi="Calibri" w:cs="Calibri"/>
          <w:color w:val="44546A"/>
          <w:szCs w:val="20"/>
          <w:lang w:val="sr-Cyrl-CS" w:eastAsia="ja-JP"/>
        </w:rPr>
        <w:t xml:space="preserve"> не само као подршка мерама фискалне стабилизације и структурним реформама, већ као процес који подиже квалитет државне управе и осигурава привлачан амбијент за инвеститоре. Нови Програм реформе управљања јавним финансијама за период од 2021–2025. године усвојен је у јуну 2021. године.</w:t>
      </w:r>
    </w:p>
    <w:p w14:paraId="0AFB47E1" w14:textId="77777777"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Информациони систем извршења буџета – ИСИБ, је део система управљања јавним финансијама који обухвата процесе и поступке који се спроводе електронском комуникацијом са Управом за трезор у саставу Министарства финансија. Развој овог система ће омогућити укључивање свих индиректних корисника централног нивоа власти. У систем су укључени директни корисници јавних средстава, правосудни органи и индиректни корисници Министарства културе, Министарства за рад, запошљавање, борачка и социјална питања и Управе за извршење кривичних санкција, који нису били део претходног система (ФМИС), којег је ИСИБ заменио почетком 2018. године. Ван система се налазе индиректни корисници Министарства просвете, чије се укључивање очекује у наредном периоду. Систем је оспособљен да убудуће омогући интеграцију нових корисника.</w:t>
      </w:r>
    </w:p>
    <w:p w14:paraId="65013F34" w14:textId="54217923"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Област управљања јавним финансијама којој је озбиљно посвећена пажња и на чијем се унапређењу ради је управљање јавним инвестицијама. Јачањем оквира управљања јавним инвестицијама интензивирају се нови инфраструктурни пројекти и подиже квалитет постојеће инфраструктуре. У априлу 2018. године усвојен је Закон о планском систему Републике Србије, којим је успостављен национални оквир за планирање и којим су дефинисани План развоја и Инвестициони план. Систем управљања јавним инвестицијама, који се развија уз помоћ Светске банке, укључује интегрисану базу података о инвестиционим пројектима, која је тренутно у развоју и успостављену јединствену листу приоритетних пројеката (</w:t>
      </w:r>
      <w:r w:rsidRPr="00F27A03">
        <w:rPr>
          <w:rFonts w:ascii="Calibri" w:eastAsia="Calibri" w:hAnsi="Calibri" w:cs="Calibri"/>
          <w:i/>
          <w:color w:val="44546A"/>
          <w:szCs w:val="20"/>
          <w:lang w:val="sr-Cyrl-CS" w:eastAsia="ja-JP"/>
        </w:rPr>
        <w:t>Single Project Pipeline</w:t>
      </w:r>
      <w:r w:rsidR="00CC155D" w:rsidRPr="00F27A03">
        <w:rPr>
          <w:rFonts w:ascii="Calibri" w:eastAsia="Calibri" w:hAnsi="Calibri" w:cs="Calibri"/>
          <w:color w:val="44546A"/>
          <w:szCs w:val="20"/>
          <w:lang w:val="sr-Cyrl-CS" w:eastAsia="ja-JP"/>
        </w:rPr>
        <w:t>).</w:t>
      </w:r>
      <w:r w:rsidRPr="00F27A03">
        <w:rPr>
          <w:rFonts w:ascii="Calibri" w:eastAsia="Calibri" w:hAnsi="Calibri" w:cs="Calibri"/>
          <w:color w:val="44546A"/>
          <w:szCs w:val="20"/>
          <w:lang w:val="sr-Cyrl-CS" w:eastAsia="ja-JP"/>
        </w:rPr>
        <w:t xml:space="preserve"> </w:t>
      </w:r>
      <w:r w:rsidR="00CC155D" w:rsidRPr="00F27A03">
        <w:rPr>
          <w:rFonts w:ascii="Calibri" w:eastAsia="Calibri" w:hAnsi="Calibri" w:cs="Calibri"/>
          <w:color w:val="44546A"/>
          <w:szCs w:val="20"/>
          <w:lang w:val="sr-Cyrl-CS" w:eastAsia="ja-JP"/>
        </w:rPr>
        <w:t>С</w:t>
      </w:r>
      <w:r w:rsidRPr="00F27A03">
        <w:rPr>
          <w:rFonts w:ascii="Calibri" w:eastAsia="Calibri" w:hAnsi="Calibri" w:cs="Calibri"/>
          <w:color w:val="44546A"/>
          <w:szCs w:val="20"/>
          <w:lang w:val="sr-Cyrl-CS" w:eastAsia="ja-JP"/>
        </w:rPr>
        <w:t xml:space="preserve">истем </w:t>
      </w:r>
      <w:r w:rsidR="00CC155D" w:rsidRPr="00F27A03">
        <w:rPr>
          <w:rFonts w:ascii="Calibri" w:eastAsia="Calibri" w:hAnsi="Calibri" w:cs="Calibri"/>
          <w:color w:val="44546A"/>
          <w:szCs w:val="20"/>
          <w:lang w:val="sr-Cyrl-CS" w:eastAsia="ja-JP"/>
        </w:rPr>
        <w:t xml:space="preserve">ће </w:t>
      </w:r>
      <w:r w:rsidRPr="00F27A03">
        <w:rPr>
          <w:rFonts w:ascii="Calibri" w:eastAsia="Calibri" w:hAnsi="Calibri" w:cs="Calibri"/>
          <w:color w:val="44546A"/>
          <w:szCs w:val="20"/>
          <w:lang w:val="sr-Cyrl-CS" w:eastAsia="ja-JP"/>
        </w:rPr>
        <w:t>почетком 2023. године пост</w:t>
      </w:r>
      <w:r w:rsidR="00CC155D" w:rsidRPr="00F27A03">
        <w:rPr>
          <w:rFonts w:ascii="Calibri" w:eastAsia="Calibri" w:hAnsi="Calibri" w:cs="Calibri"/>
          <w:color w:val="44546A"/>
          <w:szCs w:val="20"/>
          <w:lang w:val="sr-Cyrl-CS" w:eastAsia="ja-JP"/>
        </w:rPr>
        <w:t>ати</w:t>
      </w:r>
      <w:r w:rsidRPr="00F27A03">
        <w:rPr>
          <w:rFonts w:ascii="Calibri" w:eastAsia="Calibri" w:hAnsi="Calibri" w:cs="Calibri"/>
          <w:color w:val="44546A"/>
          <w:szCs w:val="20"/>
          <w:lang w:val="sr-Cyrl-CS" w:eastAsia="ja-JP"/>
        </w:rPr>
        <w:t xml:space="preserve"> потпуно </w:t>
      </w:r>
      <w:r w:rsidRPr="00F27A03">
        <w:rPr>
          <w:rFonts w:ascii="Calibri" w:eastAsia="Calibri" w:hAnsi="Calibri" w:cs="Calibri"/>
          <w:color w:val="44546A"/>
          <w:szCs w:val="20"/>
          <w:lang w:val="sr-Cyrl-CS" w:eastAsia="ja-JP"/>
        </w:rPr>
        <w:lastRenderedPageBreak/>
        <w:t>функционалан за пројекте који су у фази имплементације</w:t>
      </w:r>
      <w:r w:rsidR="00CC155D" w:rsidRPr="00F27A03">
        <w:rPr>
          <w:rFonts w:ascii="Calibri" w:eastAsia="Calibri" w:hAnsi="Calibri" w:cs="Calibri"/>
          <w:color w:val="44546A"/>
          <w:szCs w:val="20"/>
          <w:lang w:val="sr-Cyrl-CS" w:eastAsia="ja-JP"/>
        </w:rPr>
        <w:t>.</w:t>
      </w:r>
      <w:r w:rsidRPr="00F27A03">
        <w:rPr>
          <w:rFonts w:ascii="Calibri" w:eastAsia="Calibri" w:hAnsi="Calibri" w:cs="Calibri"/>
          <w:color w:val="44546A"/>
          <w:szCs w:val="20"/>
          <w:lang w:val="sr-Cyrl-CS" w:eastAsia="ja-JP"/>
        </w:rPr>
        <w:t xml:space="preserve"> </w:t>
      </w:r>
      <w:r w:rsidR="00CC155D" w:rsidRPr="00F27A03">
        <w:rPr>
          <w:rFonts w:ascii="Calibri" w:eastAsia="Calibri" w:hAnsi="Calibri" w:cs="Calibri"/>
          <w:color w:val="44546A"/>
          <w:szCs w:val="20"/>
          <w:lang w:val="sr-Cyrl-CS" w:eastAsia="ja-JP"/>
        </w:rPr>
        <w:t>У</w:t>
      </w:r>
      <w:r w:rsidRPr="00F27A03">
        <w:rPr>
          <w:rFonts w:ascii="Calibri" w:eastAsia="Calibri" w:hAnsi="Calibri" w:cs="Calibri"/>
          <w:color w:val="44546A"/>
          <w:szCs w:val="20"/>
          <w:lang w:val="sr-Cyrl-CS" w:eastAsia="ja-JP"/>
        </w:rPr>
        <w:t xml:space="preserve"> наредном периоду </w:t>
      </w:r>
      <w:r w:rsidR="00CC155D" w:rsidRPr="00F27A03">
        <w:rPr>
          <w:rFonts w:ascii="Calibri" w:eastAsia="Calibri" w:hAnsi="Calibri" w:cs="Calibri"/>
          <w:color w:val="44546A"/>
          <w:szCs w:val="20"/>
          <w:lang w:val="sr-Cyrl-CS" w:eastAsia="ja-JP"/>
        </w:rPr>
        <w:t>систем ће укључити</w:t>
      </w:r>
      <w:r w:rsidRPr="00F27A03">
        <w:rPr>
          <w:rFonts w:ascii="Calibri" w:eastAsia="Calibri" w:hAnsi="Calibri" w:cs="Calibri"/>
          <w:color w:val="44546A"/>
          <w:szCs w:val="20"/>
          <w:lang w:val="sr-Cyrl-CS" w:eastAsia="ja-JP"/>
        </w:rPr>
        <w:t xml:space="preserve"> </w:t>
      </w:r>
      <w:r w:rsidR="00CC155D" w:rsidRPr="00F27A03">
        <w:rPr>
          <w:rFonts w:ascii="Calibri" w:eastAsia="Calibri" w:hAnsi="Calibri" w:cs="Calibri"/>
          <w:color w:val="44546A"/>
          <w:szCs w:val="20"/>
          <w:lang w:val="sr-Cyrl-CS" w:eastAsia="ja-JP"/>
        </w:rPr>
        <w:t xml:space="preserve">и </w:t>
      </w:r>
      <w:r w:rsidRPr="00F27A03">
        <w:rPr>
          <w:rFonts w:ascii="Calibri" w:eastAsia="Calibri" w:hAnsi="Calibri" w:cs="Calibri"/>
          <w:color w:val="44546A"/>
          <w:szCs w:val="20"/>
          <w:lang w:val="sr-Cyrl-CS" w:eastAsia="ja-JP"/>
        </w:rPr>
        <w:t>пројекте који су у фази која претходи имплементацији</w:t>
      </w:r>
      <w:r w:rsidR="00CC155D" w:rsidRPr="00F27A03">
        <w:rPr>
          <w:rFonts w:ascii="Calibri" w:eastAsia="Calibri" w:hAnsi="Calibri" w:cs="Calibri"/>
          <w:color w:val="44546A"/>
          <w:szCs w:val="20"/>
          <w:lang w:val="sr-Cyrl-CS" w:eastAsia="ja-JP"/>
        </w:rPr>
        <w:t>,</w:t>
      </w:r>
      <w:r w:rsidRPr="00F27A03">
        <w:rPr>
          <w:rFonts w:ascii="Calibri" w:eastAsia="Calibri" w:hAnsi="Calibri" w:cs="Calibri"/>
          <w:color w:val="44546A"/>
          <w:szCs w:val="20"/>
          <w:lang w:val="sr-Cyrl-CS" w:eastAsia="ja-JP"/>
        </w:rPr>
        <w:t xml:space="preserve"> </w:t>
      </w:r>
      <w:r w:rsidR="00CC155D" w:rsidRPr="00F27A03">
        <w:rPr>
          <w:rFonts w:ascii="Calibri" w:eastAsia="Calibri" w:hAnsi="Calibri" w:cs="Calibri"/>
          <w:color w:val="44546A"/>
          <w:szCs w:val="20"/>
          <w:lang w:val="sr-Cyrl-CS" w:eastAsia="ja-JP"/>
        </w:rPr>
        <w:t>а</w:t>
      </w:r>
      <w:r w:rsidRPr="00F27A03">
        <w:rPr>
          <w:rFonts w:ascii="Calibri" w:eastAsia="Calibri" w:hAnsi="Calibri" w:cs="Calibri"/>
          <w:color w:val="44546A"/>
          <w:szCs w:val="20"/>
          <w:lang w:val="sr-Cyrl-CS" w:eastAsia="ja-JP"/>
        </w:rPr>
        <w:t xml:space="preserve"> током 2024. и 2025. године </w:t>
      </w:r>
      <w:r w:rsidR="00CC155D" w:rsidRPr="00F27A03">
        <w:rPr>
          <w:rFonts w:ascii="Calibri" w:eastAsia="Calibri" w:hAnsi="Calibri" w:cs="Calibri"/>
          <w:color w:val="44546A"/>
          <w:szCs w:val="20"/>
          <w:lang w:val="sr-Cyrl-CS" w:eastAsia="ja-JP"/>
        </w:rPr>
        <w:t>прошириће обухват</w:t>
      </w:r>
      <w:r w:rsidR="00863816" w:rsidRPr="00F27A03">
        <w:rPr>
          <w:rFonts w:ascii="Calibri" w:eastAsia="Calibri" w:hAnsi="Calibri" w:cs="Calibri"/>
          <w:color w:val="44546A"/>
          <w:szCs w:val="20"/>
          <w:lang w:val="sr-Cyrl-CS" w:eastAsia="ja-JP"/>
        </w:rPr>
        <w:t xml:space="preserve"> на</w:t>
      </w:r>
      <w:r w:rsidRPr="00F27A03">
        <w:rPr>
          <w:rFonts w:ascii="Calibri" w:eastAsia="Calibri" w:hAnsi="Calibri" w:cs="Calibri"/>
          <w:color w:val="44546A"/>
          <w:szCs w:val="20"/>
          <w:lang w:val="sr-Cyrl-CS" w:eastAsia="ja-JP"/>
        </w:rPr>
        <w:t xml:space="preserve"> национални ниво, укључујући и локалне информационе системе.</w:t>
      </w:r>
    </w:p>
    <w:p w14:paraId="7BE29E21" w14:textId="77777777"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Јавно-приватна партнерства (</w:t>
      </w:r>
      <w:r w:rsidRPr="00F27A03">
        <w:rPr>
          <w:rFonts w:ascii="Calibri" w:eastAsia="Calibri" w:hAnsi="Calibri" w:cs="Calibri"/>
          <w:i/>
          <w:color w:val="44546A"/>
          <w:szCs w:val="20"/>
          <w:lang w:val="sr-Cyrl-CS" w:eastAsia="ja-JP"/>
        </w:rPr>
        <w:t>Public-Private Partnerships</w:t>
      </w:r>
      <w:r w:rsidRPr="00F27A03">
        <w:rPr>
          <w:rFonts w:ascii="Calibri" w:eastAsia="Calibri" w:hAnsi="Calibri" w:cs="Calibri"/>
          <w:color w:val="44546A"/>
          <w:szCs w:val="20"/>
          <w:lang w:val="sr-Cyrl-CS" w:eastAsia="ja-JP"/>
        </w:rPr>
        <w:t xml:space="preserve"> – PPP), као специфичан вид сарадње државе и приватног сектора захтевају посебну пажњу и опрез, стога ће Министарство финансија и даље пратити пројекте од посебног значаја током њихове имплементације и о томе обавештавати Владу.</w:t>
      </w:r>
    </w:p>
    <w:p w14:paraId="3FD95BF0" w14:textId="77777777"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 xml:space="preserve">Нови Акциони план трансформације Пореске управе за период 2021–2025. године усвојен у мају 2021. године, дефинише стратешке смернице и временске рокове у којим ће бити спроведене активности потребне за стварање модерне пореске администрације, која ће, уз коришћење савремених електронских процеса, пружити бољу и свеобухватнију услугу пореским обвезницима и бољу контролу и наплату прихода, односно поспешити борбу против сиве економије, заједно са реформом и модернизацијом инспекцијског надзора. Спроведено је организационо раздвајање основних активности од оних које се сматрају споредним, с тим да се основне активности сад обављају у мањем броју организационих јединица, односно извршена је њихова консолидација. Анализа пословних процеса и потребних ресурса, омогућиће развијање адекватне организационе структуре и менаџмента, унапређење управљања пројектима и дизајн адекватне структуре запослених. Следећа фаза реформи је усмерена на информационе системе. У мају ове године уведен је нови модел </w:t>
      </w:r>
      <w:r w:rsidRPr="00F27A03">
        <w:rPr>
          <w:rFonts w:ascii="Calibri" w:eastAsia="Calibri" w:hAnsi="Calibri" w:cs="Calibri"/>
          <w:color w:val="44546A"/>
          <w:szCs w:val="20"/>
          <w:lang w:val="sr-Cyrl-CS" w:eastAsia="ja-JP"/>
        </w:rPr>
        <w:t>фискализације (е-фискализација), који ће омогућити контролу у реалном времену, смањити трошкове, повећати ефикасност и створити боље пословно окружење. Систем за електронску размену фактура је следећи корак и очекује се да буде имплементиран почетком 2023. године. Усвајањем Закона о утврђивању порекла имовине и посебном порезу и образовањем посебне организационе јединице Пореске управе, створили су се услови за унакрсну анализу имовине и прихода лица, а прве ревизије би требало да почну до краја године.</w:t>
      </w:r>
    </w:p>
    <w:p w14:paraId="10A8DB16" w14:textId="77777777" w:rsidR="00AD117B" w:rsidRPr="00F27A03" w:rsidRDefault="00AD117B" w:rsidP="00953528">
      <w:pPr>
        <w:rPr>
          <w:rFonts w:ascii="Calibri" w:eastAsia="Calibri" w:hAnsi="Calibri" w:cs="Calibri"/>
          <w:color w:val="44546A"/>
          <w:szCs w:val="20"/>
          <w:lang w:val="sr-Cyrl-CS" w:eastAsia="ja-JP"/>
        </w:rPr>
      </w:pPr>
      <w:r w:rsidRPr="00F27A03">
        <w:rPr>
          <w:rFonts w:ascii="Calibri" w:eastAsia="Calibri" w:hAnsi="Calibri" w:cs="Calibri"/>
          <w:color w:val="44546A"/>
          <w:szCs w:val="20"/>
          <w:lang w:val="sr-Cyrl-CS" w:eastAsia="ja-JP"/>
        </w:rPr>
        <w:t>Побољшање квалитета и транспарентности националне статистике се врши кроз унапређење свеобухватне, правовремене и аутоматске размене података између надлежних институција. У априлу 2018. године објављена је листа институција које чине сектор опште државе, као и остале секторе, у складу са Европским системом рачуна (ESA) 2010 и GFSM 2014, на основу чега је РЗС (у сарадњи са Министарством финансија и НБС) почео с достављањем података у Проширени општи систем дисеминације података (e-GDDS). Ови подаци се објављују у складу са методологијом GFSM 2014. Сектор за макроекономске и фискалне анализе и пројекције Министарства финансија у сарадњи са ММФ је први покренуо поступак конверзије података о јавним финансијама из националне методологије у методологију GFSM 2014 и израду консолидованих извештаја за ниво опште државе и по нивоима власти и њихово публиковање преко националне странице сумарних података (</w:t>
      </w:r>
      <w:r w:rsidRPr="00F27A03">
        <w:rPr>
          <w:rFonts w:ascii="Calibri" w:eastAsia="Calibri" w:hAnsi="Calibri" w:cs="Calibri"/>
          <w:i/>
          <w:color w:val="44546A"/>
          <w:szCs w:val="20"/>
          <w:lang w:val="sr-Cyrl-CS" w:eastAsia="ja-JP"/>
        </w:rPr>
        <w:t>National Summary Data Page</w:t>
      </w:r>
      <w:r w:rsidRPr="00F27A03">
        <w:rPr>
          <w:rFonts w:ascii="Calibri" w:eastAsia="Calibri" w:hAnsi="Calibri" w:cs="Calibri"/>
          <w:color w:val="44546A"/>
          <w:szCs w:val="20"/>
          <w:lang w:val="sr-Cyrl-CS" w:eastAsia="ja-JP"/>
        </w:rPr>
        <w:t xml:space="preserve"> – NSDP), која је доступна на веб-сајту РЗС, као и у билтену ММФ о стандардима дисеминације (</w:t>
      </w:r>
      <w:r w:rsidRPr="00F27A03">
        <w:rPr>
          <w:rFonts w:ascii="Calibri" w:eastAsia="Calibri" w:hAnsi="Calibri" w:cs="Calibri"/>
          <w:i/>
          <w:color w:val="44546A"/>
          <w:szCs w:val="20"/>
          <w:lang w:val="sr-Cyrl-CS" w:eastAsia="ja-JP"/>
        </w:rPr>
        <w:t>Dissemination Standards Bulletin Board</w:t>
      </w:r>
      <w:r w:rsidRPr="00F27A03">
        <w:rPr>
          <w:rFonts w:ascii="Calibri" w:eastAsia="Calibri" w:hAnsi="Calibri" w:cs="Calibri"/>
          <w:color w:val="44546A"/>
          <w:szCs w:val="20"/>
          <w:lang w:val="sr-Cyrl-CS" w:eastAsia="ja-JP"/>
        </w:rPr>
        <w:t xml:space="preserve"> – DSBB).</w:t>
      </w:r>
    </w:p>
    <w:p w14:paraId="143E1B17" w14:textId="77777777" w:rsidR="00AD117B" w:rsidRPr="00F27A03" w:rsidRDefault="00AD117B" w:rsidP="00AD117B">
      <w:pPr>
        <w:rPr>
          <w:lang w:val="sr-Cyrl-CS"/>
        </w:rPr>
        <w:sectPr w:rsidR="00AD117B" w:rsidRPr="00F27A03" w:rsidSect="00AD117B">
          <w:headerReference w:type="even" r:id="rId141"/>
          <w:footerReference w:type="even" r:id="rId142"/>
          <w:footerReference w:type="default" r:id="rId143"/>
          <w:headerReference w:type="first" r:id="rId144"/>
          <w:type w:val="continuous"/>
          <w:pgSz w:w="12240" w:h="15840" w:code="1"/>
          <w:pgMar w:top="1440" w:right="1440" w:bottom="1440" w:left="1440" w:header="720" w:footer="720" w:gutter="0"/>
          <w:cols w:num="2" w:space="720"/>
          <w:docGrid w:linePitch="360"/>
        </w:sectPr>
      </w:pPr>
    </w:p>
    <w:p w14:paraId="0D980C75" w14:textId="195CB2A5" w:rsidR="00AD117B" w:rsidRPr="00F27A03" w:rsidRDefault="00AD117B" w:rsidP="00AD117B">
      <w:pPr>
        <w:rPr>
          <w:lang w:val="sr-Cyrl-CS"/>
        </w:rPr>
      </w:pPr>
    </w:p>
    <w:p w14:paraId="01CCCFD7" w14:textId="77777777" w:rsidR="00AD117B" w:rsidRPr="00F27A03" w:rsidRDefault="00AD117B">
      <w:pPr>
        <w:jc w:val="left"/>
        <w:rPr>
          <w:lang w:val="sr-Cyrl-CS"/>
        </w:rPr>
      </w:pPr>
      <w:r w:rsidRPr="00F27A03">
        <w:rPr>
          <w:lang w:val="sr-Cyrl-CS"/>
        </w:rPr>
        <w:br w:type="page"/>
      </w:r>
    </w:p>
    <w:p w14:paraId="5D2695DD" w14:textId="7EA10F51" w:rsidR="00412D34" w:rsidRPr="00F27A03" w:rsidRDefault="00AF48C6" w:rsidP="00DD3FA7">
      <w:pPr>
        <w:keepNext/>
        <w:keepLines/>
        <w:spacing w:after="320"/>
        <w:jc w:val="center"/>
        <w:outlineLvl w:val="1"/>
        <w:rPr>
          <w:rFonts w:eastAsia="MS PGothic" w:cstheme="minorHAnsi"/>
          <w:b/>
          <w:color w:val="2F5496" w:themeColor="accent1" w:themeShade="BF"/>
          <w:sz w:val="24"/>
          <w:szCs w:val="26"/>
          <w:lang w:val="sr-Cyrl-CS" w:eastAsia="ja-JP"/>
        </w:rPr>
      </w:pPr>
      <w:bookmarkStart w:id="32" w:name="_Toc119326596"/>
      <w:r w:rsidRPr="00F27A03">
        <w:rPr>
          <w:rFonts w:eastAsia="MS PGothic" w:cstheme="minorHAnsi"/>
          <w:b/>
          <w:color w:val="2F5496" w:themeColor="accent1" w:themeShade="BF"/>
          <w:sz w:val="24"/>
          <w:szCs w:val="26"/>
          <w:lang w:val="sr-Cyrl-CS" w:eastAsia="ja-JP"/>
        </w:rPr>
        <w:lastRenderedPageBreak/>
        <w:t>4</w:t>
      </w:r>
      <w:r w:rsidR="00412D34" w:rsidRPr="00F27A03">
        <w:rPr>
          <w:rFonts w:eastAsia="MS PGothic" w:cstheme="minorHAnsi"/>
          <w:b/>
          <w:color w:val="2F5496" w:themeColor="accent1" w:themeShade="BF"/>
          <w:sz w:val="24"/>
          <w:szCs w:val="26"/>
          <w:lang w:val="sr-Cyrl-CS" w:eastAsia="ja-JP"/>
        </w:rPr>
        <w:t>. Фискални ризици</w:t>
      </w:r>
      <w:bookmarkEnd w:id="32"/>
    </w:p>
    <w:p w14:paraId="2C503393" w14:textId="77777777" w:rsidR="00412D34" w:rsidRPr="00F27A03" w:rsidRDefault="00412D34" w:rsidP="00A42963">
      <w:pPr>
        <w:spacing w:after="120"/>
        <w:rPr>
          <w:rFonts w:eastAsia="MS PGothic" w:cstheme="minorHAnsi"/>
          <w:szCs w:val="20"/>
          <w:lang w:val="sr-Cyrl-CS" w:eastAsia="ja-JP"/>
        </w:rPr>
        <w:sectPr w:rsidR="00412D34" w:rsidRPr="00F27A03" w:rsidSect="00A42963">
          <w:headerReference w:type="even" r:id="rId145"/>
          <w:footerReference w:type="even" r:id="rId146"/>
          <w:footerReference w:type="default" r:id="rId147"/>
          <w:headerReference w:type="first" r:id="rId148"/>
          <w:type w:val="continuous"/>
          <w:pgSz w:w="12240" w:h="15840" w:code="1"/>
          <w:pgMar w:top="1440" w:right="1440" w:bottom="1440" w:left="1440" w:header="720" w:footer="720" w:gutter="0"/>
          <w:cols w:space="720"/>
          <w:docGrid w:linePitch="360"/>
        </w:sectPr>
      </w:pPr>
    </w:p>
    <w:p w14:paraId="1BD764A6" w14:textId="77777777" w:rsidR="00412D34" w:rsidRPr="00F27A03" w:rsidRDefault="00412D34" w:rsidP="00A42963">
      <w:pPr>
        <w:spacing w:after="120"/>
        <w:rPr>
          <w:rFonts w:eastAsia="MS PGothic" w:cstheme="minorHAnsi"/>
          <w:szCs w:val="20"/>
          <w:lang w:val="sr-Cyrl-CS" w:eastAsia="ja-JP"/>
        </w:rPr>
      </w:pPr>
      <w:r w:rsidRPr="00F27A03">
        <w:rPr>
          <w:rFonts w:eastAsia="MS PGothic" w:cstheme="minorHAnsi"/>
          <w:szCs w:val="20"/>
          <w:lang w:val="sr-Cyrl-CS" w:eastAsia="ja-JP"/>
        </w:rPr>
        <w:t>Фискални ризици представљају изложеност јавних финансија одређеним околностима које могу проузроковати одступања од пројектованог фискалног оквира. До одступања може доћи у приходима, расходима, фискалном резултату, као и у имовини и обавезама државе, у односу на оно што је планирано и очекивано. На спољашње ризике, попут природних катастрофа или глобалних финансијских криза, Влада не може да утиче, али могуће је дефинисати излазне стратегије које би ублажиле њихово дејство (очување стабилности у добрим временима како би у условима рецесије или кризе фискална политика имала простора за адекватан одговор, осигурање у случају природних катастрофа и сл.). Унутрашњи ризици, односно њихова материјализација последица су активности у јавном сектору, те се на вероватноћу њихове реализације може утицати одлукама и политикама Владе.</w:t>
      </w:r>
    </w:p>
    <w:p w14:paraId="313CEA67" w14:textId="77777777" w:rsidR="00412D34" w:rsidRPr="00F27A03" w:rsidRDefault="00412D34" w:rsidP="00A42963">
      <w:pPr>
        <w:spacing w:after="120"/>
        <w:rPr>
          <w:rFonts w:eastAsia="MS PGothic" w:cstheme="minorHAnsi"/>
          <w:szCs w:val="20"/>
          <w:lang w:val="sr-Cyrl-CS" w:eastAsia="ja-JP"/>
        </w:rPr>
      </w:pPr>
      <w:r w:rsidRPr="00F27A03">
        <w:rPr>
          <w:rFonts w:eastAsia="MS PGothic" w:cstheme="minorHAnsi"/>
          <w:szCs w:val="20"/>
          <w:lang w:val="sr-Cyrl-CS" w:eastAsia="ja-JP"/>
        </w:rPr>
        <w:t>Идентификација највећих фискалних ризика који могу утицати на државне финансије у средњем року полазна је тачка у бољем управљању фискалним ризицима. О одређеним фискалним ризицима постоје детаљни подаци и лако се може идентификовати да ли ће и са коликом вероватноћом утицати на фискалне агрегате у средњем року. За друге, пак, не постоје довољно детаљни подаци, али и само њихово идентификовање подиже свест о могућности да у наредном периоду доведу до одступања од планираног фискалног оквира.</w:t>
      </w:r>
    </w:p>
    <w:p w14:paraId="08F950CE" w14:textId="77777777" w:rsidR="00412D34" w:rsidRPr="00F27A03" w:rsidRDefault="00412D34" w:rsidP="00A42963">
      <w:pPr>
        <w:spacing w:after="120"/>
        <w:rPr>
          <w:rFonts w:eastAsia="MS PGothic" w:cstheme="minorHAnsi"/>
          <w:szCs w:val="20"/>
          <w:lang w:val="sr-Cyrl-CS" w:eastAsia="ja-JP"/>
        </w:rPr>
      </w:pPr>
      <w:r w:rsidRPr="00F27A03">
        <w:rPr>
          <w:rFonts w:eastAsia="MS PGothic" w:cstheme="minorHAnsi"/>
          <w:szCs w:val="20"/>
          <w:lang w:val="sr-Cyrl-CS" w:eastAsia="ja-JP"/>
        </w:rPr>
        <w:t xml:space="preserve">Министарство финансија има водећу улогу у управљању фискалним ризицима. Као кључна институција за средњорочно макроекономско и фискално планирање, формулацију и управљање буџетом, Министарство финансија мора имати и водећу улогу у успостављању институционалне и законске структуре, те изградњи капацитета неопходних за управљање фискалним ризицима. Сектор за праћење фискалних ризика, организациона јединица за управљање фискалним ризицима у Министарству финансија, основан је са циљем да ради на јачању законске регулативе и методолошког оквира, изградњи </w:t>
      </w:r>
      <w:r w:rsidRPr="00F27A03">
        <w:rPr>
          <w:rFonts w:eastAsia="MS PGothic" w:cstheme="minorHAnsi"/>
          <w:szCs w:val="20"/>
          <w:lang w:val="sr-Cyrl-CS" w:eastAsia="ja-JP"/>
        </w:rPr>
        <w:t>капацитета, те развијању техничких алата и модела неопходних за праћење и процену фискалних ризика. Намера је да резултат ових активности буде идентификација и процена ризика и предлагање излазних стратегија, као помоћ Влади у очувању стабилности јавних финансија, што је кључни циљ фискалне политике и један од основних предуслова за динамичнији привредни раст.</w:t>
      </w:r>
    </w:p>
    <w:p w14:paraId="5F9DAB14" w14:textId="77777777" w:rsidR="00412D34" w:rsidRPr="00F27A03" w:rsidRDefault="00412D34" w:rsidP="00A42963">
      <w:pPr>
        <w:spacing w:after="120"/>
        <w:rPr>
          <w:rFonts w:eastAsia="MS PGothic" w:cstheme="minorHAnsi"/>
          <w:szCs w:val="20"/>
          <w:lang w:val="sr-Cyrl-CS" w:eastAsia="ja-JP"/>
        </w:rPr>
      </w:pPr>
      <w:r w:rsidRPr="00F27A03">
        <w:rPr>
          <w:rFonts w:eastAsia="MS PGothic" w:cstheme="minorHAnsi"/>
          <w:szCs w:val="20"/>
          <w:lang w:val="sr-Cyrl-CS" w:eastAsia="ja-JP"/>
        </w:rPr>
        <w:t xml:space="preserve">У циљу спровођења наведеног процеса праћења фискалних ризика, у октобру 2021. године, усвојена је Јединствена методологија, која је припремљена уз помоћ Светске банке, која обухвата четири основне методологије и то: </w:t>
      </w:r>
      <w:r w:rsidRPr="00F27A03">
        <w:rPr>
          <w:rFonts w:eastAsia="MS PGothic" w:cstheme="minorHAnsi"/>
          <w:szCs w:val="20"/>
          <w:lang w:val="sr-Cyrl-CS" w:eastAsia="ja-JP"/>
        </w:rPr>
        <w:br w:type="textWrapping" w:clear="all"/>
        <w:t xml:space="preserve">1) Методологију за праћење фискалних ризика који произлазе из пословања јавних предузећа; </w:t>
      </w:r>
      <w:r w:rsidRPr="00F27A03">
        <w:rPr>
          <w:rFonts w:eastAsia="MS PGothic" w:cstheme="minorHAnsi"/>
          <w:szCs w:val="20"/>
          <w:lang w:val="sr-Cyrl-CS" w:eastAsia="ja-JP"/>
        </w:rPr>
        <w:br w:type="textWrapping" w:clear="all"/>
        <w:t xml:space="preserve">2) Методологију за праћење фискалних ризика по буџет Републике Србије који произлазе из вршења надлежности јединица локалне самоуправе; </w:t>
      </w:r>
      <w:r w:rsidRPr="00F27A03">
        <w:rPr>
          <w:rFonts w:eastAsia="MS PGothic" w:cstheme="minorHAnsi"/>
          <w:szCs w:val="20"/>
          <w:lang w:val="sr-Cyrl-CS" w:eastAsia="ja-JP"/>
        </w:rPr>
        <w:br w:type="textWrapping" w:clear="all"/>
        <w:t>3) Методологију за праћење фискалних ризика по основу судских поступака; 4) Методологију за праћење фискалних ризика који се јављају као последица елементарних непогода.</w:t>
      </w:r>
    </w:p>
    <w:p w14:paraId="3EB8F99B" w14:textId="77777777" w:rsidR="00412D34" w:rsidRPr="00F27A03" w:rsidRDefault="00412D34" w:rsidP="00A42963">
      <w:pPr>
        <w:spacing w:after="120"/>
        <w:rPr>
          <w:color w:val="auto"/>
          <w:spacing w:val="-4"/>
          <w:lang w:val="sr-Cyrl-CS"/>
        </w:rPr>
      </w:pPr>
      <w:r w:rsidRPr="00F27A03">
        <w:rPr>
          <w:rFonts w:eastAsia="MS PGothic" w:cstheme="minorHAnsi"/>
          <w:spacing w:val="-4"/>
          <w:szCs w:val="20"/>
          <w:lang w:val="sr-Cyrl-CS" w:eastAsia="ja-JP"/>
        </w:rPr>
        <w:t>Током јесени 2021. године десили су се поремећаји на енергетском тржишту у свету. Криза у енергетском сектору се само надовезала на већ постојећу кризу изазвану пандемијом COVID-19. Због повећане тражње узроковане постпандемијским развојем економије и проблема у снабдевању, односно недовољне понуде и недовољних залиха, цене природног гаса су достигле историјске максимуме. Ово је подстакло тражњу за угљем, па су и његове цене изузетно порасле. Високе цене гаса и угља, а у Европи и смањена производња из електрана на ветар и високе цене дозвола за емисију CO</w:t>
      </w:r>
      <w:r w:rsidRPr="00F27A03">
        <w:rPr>
          <w:rFonts w:eastAsia="MS PGothic" w:cstheme="minorHAnsi"/>
          <w:spacing w:val="-4"/>
          <w:szCs w:val="20"/>
          <w:vertAlign w:val="subscript"/>
          <w:lang w:val="sr-Cyrl-CS" w:eastAsia="ja-JP"/>
        </w:rPr>
        <w:t>2</w:t>
      </w:r>
      <w:r w:rsidRPr="00F27A03">
        <w:rPr>
          <w:rFonts w:eastAsia="MS PGothic" w:cstheme="minorHAnsi"/>
          <w:spacing w:val="-4"/>
          <w:szCs w:val="20"/>
          <w:lang w:val="sr-Cyrl-CS" w:eastAsia="ja-JP"/>
        </w:rPr>
        <w:t xml:space="preserve"> изазвале су раст цена електричне енергије, такође до историјских максимума. У таквим условима, порасла је производња електричне енергије из угља, јер је она била повољнија од производње из гаса.</w:t>
      </w:r>
    </w:p>
    <w:p w14:paraId="594C72E5" w14:textId="1E19A25A" w:rsidR="00412D34" w:rsidRPr="00F27A03" w:rsidRDefault="00412D34" w:rsidP="00A42963">
      <w:pPr>
        <w:spacing w:after="120"/>
        <w:rPr>
          <w:spacing w:val="-4"/>
          <w:lang w:val="sr-Cyrl-CS"/>
        </w:rPr>
      </w:pPr>
      <w:r w:rsidRPr="00F27A03">
        <w:rPr>
          <w:spacing w:val="-4"/>
          <w:lang w:val="sr-Cyrl-CS"/>
        </w:rPr>
        <w:t xml:space="preserve">До сада се више пута показало, да раст неког </w:t>
      </w:r>
      <w:r w:rsidR="00A41E99" w:rsidRPr="00F27A03">
        <w:rPr>
          <w:spacing w:val="-4"/>
          <w:lang w:val="sr-Cyrl-CS"/>
        </w:rPr>
        <w:t xml:space="preserve">од </w:t>
      </w:r>
      <w:r w:rsidRPr="00F27A03">
        <w:rPr>
          <w:spacing w:val="-4"/>
          <w:lang w:val="sr-Cyrl-CS"/>
        </w:rPr>
        <w:t xml:space="preserve">основних енергената, попут нафте и гаса, доводи до раста осталих цена на тржишту, а на целу ову већ тешку ситуацију се надовезала и криза у Украјини, те се као један од кључних проблема наметнуло питање енергетске сигурности и европске </w:t>
      </w:r>
      <w:r w:rsidRPr="00F27A03">
        <w:rPr>
          <w:spacing w:val="-4"/>
          <w:lang w:val="sr-Cyrl-CS"/>
        </w:rPr>
        <w:lastRenderedPageBreak/>
        <w:t>зависности од руских фосилних горива. Овај след догађаја утицао је да цене електричне енергије и природног гаса у свету достигну цене знатно веће од уобичајених у последњих неколико година. Енергетска криза неизбежно се прелила и на Србију, а највише су погођена енергетска предузећа, претежно ЈП „Електропривреда Србије” и ЈП „Србијагас”. Због виших цена електричне енергије, које би уг</w:t>
      </w:r>
      <w:r w:rsidR="00BF3E84" w:rsidRPr="00F27A03">
        <w:rPr>
          <w:spacing w:val="-4"/>
          <w:lang w:val="sr-Cyrl-CS"/>
        </w:rPr>
        <w:t>р</w:t>
      </w:r>
      <w:r w:rsidRPr="00F27A03">
        <w:rPr>
          <w:spacing w:val="-4"/>
          <w:lang w:val="sr-Cyrl-CS"/>
        </w:rPr>
        <w:t>озиле пословање привредних субјеката у РС, као и енергетских субјеката који обављају делатност преноса, односно дистрибуције електричне енергије (у вези набавке електричне енергије за губитке), препоручено је да ЈП ЕПС те субјекте снабдева по ценама знатно нижим од тржишних, чиме је ЈП ЕПС изложен финансијском ризику, односно ризик раста цена у потпуности је пребачен на ЈП ЕПС.</w:t>
      </w:r>
    </w:p>
    <w:p w14:paraId="64E08EE2" w14:textId="75534A6D" w:rsidR="00412D34" w:rsidRPr="00F27A03" w:rsidRDefault="00412D34" w:rsidP="00A42963">
      <w:pPr>
        <w:spacing w:after="120"/>
        <w:rPr>
          <w:lang w:val="sr-Cyrl-CS"/>
        </w:rPr>
      </w:pPr>
      <w:r w:rsidRPr="00F27A03">
        <w:rPr>
          <w:lang w:val="sr-Cyrl-CS"/>
        </w:rPr>
        <w:t>Tоком целе 2022. године, Република Србија се борила да како финансијским, тако и стратешким мерама, обезбеди и осигура снабдевање кључним енергентима. Поред тога, од 1. септембра, на снази је повећање цене електричне енергије, те ће ефекти такве одлуке бити видљиви у предстојећем периоду. Такође, негативни економски и хидролошки трендови, утицали су на неопходност повратка на производњу електричне енергије из угља, те је максимална пажња посвећена набавци овог енерге</w:t>
      </w:r>
      <w:r w:rsidR="00BF3E84" w:rsidRPr="00F27A03">
        <w:rPr>
          <w:lang w:val="sr-Cyrl-CS"/>
        </w:rPr>
        <w:t>н</w:t>
      </w:r>
      <w:r w:rsidRPr="00F27A03">
        <w:rPr>
          <w:lang w:val="sr-Cyrl-CS"/>
        </w:rPr>
        <w:t>та.</w:t>
      </w:r>
    </w:p>
    <w:p w14:paraId="15D67030" w14:textId="36D7F7E9" w:rsidR="00412D34" w:rsidRPr="00F27A03" w:rsidRDefault="00412D34" w:rsidP="00A42963">
      <w:pPr>
        <w:spacing w:after="120"/>
        <w:rPr>
          <w:lang w:val="sr-Cyrl-CS"/>
        </w:rPr>
      </w:pPr>
      <w:r w:rsidRPr="00F27A03">
        <w:rPr>
          <w:lang w:val="sr-Cyrl-CS"/>
        </w:rPr>
        <w:t xml:space="preserve">Што се тиче </w:t>
      </w:r>
      <w:r w:rsidRPr="00F27A03">
        <w:rPr>
          <w:spacing w:val="-4"/>
          <w:lang w:val="sr-Cyrl-CS"/>
        </w:rPr>
        <w:t>ЈП „Србијагас”, п</w:t>
      </w:r>
      <w:r w:rsidRPr="00F27A03">
        <w:rPr>
          <w:lang w:val="sr-Cyrl-CS"/>
        </w:rPr>
        <w:t>роактивним режимом рада обезбеђени су додатни складишни капацитети за природни гас у Мађарској, те у зимску сезону улазимо са више од 650,0 мил</w:t>
      </w:r>
      <w:r w:rsidR="000E3594" w:rsidRPr="00F27A03">
        <w:rPr>
          <w:lang w:val="sr-Cyrl-CS"/>
        </w:rPr>
        <w:t>.</w:t>
      </w:r>
      <w:r w:rsidRPr="00F27A03">
        <w:rPr>
          <w:lang w:val="sr-Cyrl-CS"/>
        </w:rPr>
        <w:t xml:space="preserve"> кубних метара гаса у складишту, што је знатно више у односу на стање у истом кварталу претходне</w:t>
      </w:r>
      <w:r w:rsidR="00334D0A" w:rsidRPr="00F27A03">
        <w:rPr>
          <w:lang w:val="sr-Cyrl-CS"/>
        </w:rPr>
        <w:t xml:space="preserve"> године</w:t>
      </w:r>
      <w:r w:rsidRPr="00F27A03">
        <w:rPr>
          <w:lang w:val="sr-Cyrl-CS"/>
        </w:rPr>
        <w:t>.</w:t>
      </w:r>
    </w:p>
    <w:p w14:paraId="5E9A8D1F" w14:textId="77777777" w:rsidR="00412D34" w:rsidRPr="00F27A03" w:rsidRDefault="00412D34" w:rsidP="00A42963">
      <w:pPr>
        <w:spacing w:after="120"/>
        <w:rPr>
          <w:lang w:val="sr-Cyrl-CS"/>
        </w:rPr>
      </w:pPr>
      <w:r w:rsidRPr="00F27A03">
        <w:rPr>
          <w:lang w:val="sr-Cyrl-CS"/>
        </w:rPr>
        <w:t>Будући да се, због неповољних тржишних кретања, финансијска позиција дистрибутера природног гаса знатно погоршала, Република Србија је финансирала набавку резервних количина гаса, као и суфинансирала редовне набавке.</w:t>
      </w:r>
    </w:p>
    <w:p w14:paraId="6A24B421" w14:textId="00B5A35A" w:rsidR="00412D34" w:rsidRPr="00F27A03" w:rsidRDefault="00412D34" w:rsidP="00A42963">
      <w:pPr>
        <w:rPr>
          <w:lang w:val="sr-Cyrl-CS"/>
        </w:rPr>
      </w:pPr>
      <w:r w:rsidRPr="00F27A03">
        <w:rPr>
          <w:lang w:val="sr-Cyrl-CS"/>
        </w:rPr>
        <w:t>Ефекти енергетске кризе у свету, нису заобишли ни ЈП „Путеви Србије”. Ово јавно предузеће, идентификовано као н</w:t>
      </w:r>
      <w:r w:rsidR="004D2365" w:rsidRPr="00F27A03">
        <w:rPr>
          <w:lang w:val="sr-Cyrl-CS"/>
        </w:rPr>
        <w:t>осилац високог фискалног ризика</w:t>
      </w:r>
      <w:r w:rsidRPr="00F27A03">
        <w:rPr>
          <w:lang w:val="sr-Cyrl-CS"/>
        </w:rPr>
        <w:t>. Чињеница је да сопственим приходима, оствареним првенствено из путарина, није у могућности да покрије своје високе трошкове, те да цене основних енергената и главних сировина потребних за обављање основне делатности имају растући тренд, могла би додатно да погорша финансијску позицију овог јавног предузећа, а самим тим и повећа ослањање на буџет Републике Србије у циљу даљег пословања. Поред опредељеног износа субвенција Законом о буџету за 2022. годину, за Друштво је Законом о изменама Закона о буџету за 2022. годин</w:t>
      </w:r>
      <w:r w:rsidR="00222C68" w:rsidRPr="00F27A03">
        <w:rPr>
          <w:lang w:val="sr-Cyrl-CS"/>
        </w:rPr>
        <w:t>у опредељено додатних 12,0 млрд</w:t>
      </w:r>
      <w:r w:rsidRPr="00F27A03">
        <w:rPr>
          <w:lang w:val="sr-Cyrl-CS"/>
        </w:rPr>
        <w:t xml:space="preserve"> динара. Оптерећење буџета је смањено у односу на 2021. годину, међутим, Друштво и</w:t>
      </w:r>
      <w:r w:rsidR="00BF3E84" w:rsidRPr="00F27A03">
        <w:rPr>
          <w:lang w:val="sr-Cyrl-CS"/>
        </w:rPr>
        <w:t xml:space="preserve"> </w:t>
      </w:r>
      <w:r w:rsidRPr="00F27A03">
        <w:rPr>
          <w:lang w:val="sr-Cyrl-CS"/>
        </w:rPr>
        <w:t>даље има високе трошкове пословања које није у могућности да покрије сопственим приходима.</w:t>
      </w:r>
    </w:p>
    <w:p w14:paraId="1D1F35F9" w14:textId="184E27D2" w:rsidR="00412D34" w:rsidRPr="00F27A03" w:rsidRDefault="00412D34" w:rsidP="00A42963">
      <w:pPr>
        <w:spacing w:after="120"/>
        <w:rPr>
          <w:lang w:val="sr-Cyrl-CS"/>
        </w:rPr>
      </w:pPr>
      <w:r w:rsidRPr="00F27A03">
        <w:rPr>
          <w:lang w:val="sr-Cyrl-CS"/>
        </w:rPr>
        <w:t>Слична ситуација идентификована је и код „Коридори Србије”</w:t>
      </w:r>
      <w:r w:rsidR="000E3594" w:rsidRPr="00F27A03">
        <w:rPr>
          <w:lang w:val="sr-Cyrl-CS"/>
        </w:rPr>
        <w:t xml:space="preserve"> </w:t>
      </w:r>
      <w:r w:rsidRPr="00F27A03">
        <w:rPr>
          <w:lang w:val="sr-Cyrl-CS"/>
        </w:rPr>
        <w:t>д.о.о, због високих издатака за капиталне инвестиције које су у надлежности овог друштва, те самим тим, промене основних сировина могу значајно повећати трошкове спровођења пројеката и повећати ослањање на буџет Републике Србије, у циљу континуиране реализације пројекта.</w:t>
      </w:r>
    </w:p>
    <w:p w14:paraId="7515620E" w14:textId="77777777" w:rsidR="00C73D1F" w:rsidRPr="00F27A03" w:rsidRDefault="00C73D1F" w:rsidP="00A42963">
      <w:pPr>
        <w:spacing w:after="120"/>
        <w:rPr>
          <w:lang w:val="sr-Cyrl-CS"/>
        </w:rPr>
        <w:sectPr w:rsidR="00C73D1F" w:rsidRPr="00F27A03" w:rsidSect="00A42963">
          <w:type w:val="continuous"/>
          <w:pgSz w:w="12240" w:h="15840"/>
          <w:pgMar w:top="1440" w:right="1440" w:bottom="1440" w:left="1440" w:header="720" w:footer="720" w:gutter="0"/>
          <w:cols w:num="2" w:space="720"/>
          <w:docGrid w:linePitch="360"/>
          <w15:footnoteColumns w:val="1"/>
        </w:sectPr>
      </w:pPr>
    </w:p>
    <w:p w14:paraId="51665F15" w14:textId="77777777" w:rsidR="00412D34" w:rsidRPr="00F27A03" w:rsidRDefault="00412D34" w:rsidP="00A42963">
      <w:pPr>
        <w:spacing w:after="120"/>
        <w:rPr>
          <w:lang w:val="sr-Cyrl-CS"/>
        </w:rPr>
      </w:pPr>
    </w:p>
    <w:p w14:paraId="5F5A895C" w14:textId="77777777" w:rsidR="00412D34" w:rsidRPr="00F27A03" w:rsidRDefault="00412D34" w:rsidP="00A42963">
      <w:pPr>
        <w:rPr>
          <w:lang w:val="sr-Cyrl-CS"/>
        </w:rPr>
      </w:pPr>
    </w:p>
    <w:p w14:paraId="2F547B5E" w14:textId="77777777" w:rsidR="00412D34" w:rsidRPr="00F27A03" w:rsidRDefault="00412D34" w:rsidP="00A42963">
      <w:pPr>
        <w:rPr>
          <w:lang w:val="sr-Cyrl-CS"/>
        </w:rPr>
      </w:pPr>
    </w:p>
    <w:p w14:paraId="570DA308" w14:textId="77777777" w:rsidR="00412D34" w:rsidRPr="00F27A03" w:rsidRDefault="00412D34" w:rsidP="00A42963">
      <w:pPr>
        <w:rPr>
          <w:lang w:val="sr-Cyrl-CS"/>
        </w:rPr>
      </w:pPr>
    </w:p>
    <w:p w14:paraId="41345A99" w14:textId="77777777" w:rsidR="00412D34" w:rsidRPr="00F27A03" w:rsidRDefault="00412D34" w:rsidP="00A42963">
      <w:pPr>
        <w:rPr>
          <w:lang w:val="sr-Cyrl-CS"/>
        </w:rPr>
      </w:pPr>
    </w:p>
    <w:p w14:paraId="1084809E" w14:textId="77777777" w:rsidR="00412D34" w:rsidRPr="00F27A03" w:rsidRDefault="00412D34" w:rsidP="00A42963">
      <w:pPr>
        <w:rPr>
          <w:lang w:val="sr-Cyrl-CS"/>
        </w:rPr>
      </w:pPr>
    </w:p>
    <w:p w14:paraId="4646E97E" w14:textId="77777777" w:rsidR="00412D34" w:rsidRPr="00F27A03" w:rsidRDefault="00412D34" w:rsidP="00A42963">
      <w:pPr>
        <w:rPr>
          <w:lang w:val="sr-Cyrl-CS"/>
        </w:rPr>
      </w:pPr>
    </w:p>
    <w:p w14:paraId="2978542D" w14:textId="77777777" w:rsidR="00412D34" w:rsidRPr="00F27A03" w:rsidRDefault="00412D34" w:rsidP="00A42963">
      <w:pPr>
        <w:rPr>
          <w:lang w:val="sr-Cyrl-CS"/>
        </w:rPr>
      </w:pPr>
    </w:p>
    <w:p w14:paraId="08420E2E" w14:textId="77777777" w:rsidR="00412D34" w:rsidRPr="00F27A03" w:rsidRDefault="00412D34" w:rsidP="00A42963">
      <w:pPr>
        <w:rPr>
          <w:lang w:val="sr-Cyrl-CS"/>
        </w:rPr>
      </w:pPr>
    </w:p>
    <w:p w14:paraId="6926A74B" w14:textId="77777777" w:rsidR="00412D34" w:rsidRPr="00F27A03" w:rsidRDefault="00412D34" w:rsidP="00A42963">
      <w:pPr>
        <w:rPr>
          <w:lang w:val="sr-Cyrl-CS"/>
        </w:rPr>
      </w:pPr>
    </w:p>
    <w:p w14:paraId="0AECC503" w14:textId="77777777" w:rsidR="00412D34" w:rsidRPr="00F27A03" w:rsidRDefault="00412D34" w:rsidP="00A42963">
      <w:pPr>
        <w:rPr>
          <w:lang w:val="sr-Cyrl-CS"/>
        </w:rPr>
      </w:pPr>
    </w:p>
    <w:p w14:paraId="384EB29F" w14:textId="77777777" w:rsidR="00412D34" w:rsidRPr="00F27A03" w:rsidRDefault="00412D34" w:rsidP="00A42963">
      <w:pPr>
        <w:rPr>
          <w:lang w:val="sr-Cyrl-CS"/>
        </w:rPr>
      </w:pPr>
    </w:p>
    <w:p w14:paraId="3E274FE2" w14:textId="77777777" w:rsidR="00412D34" w:rsidRPr="00F27A03" w:rsidRDefault="00412D34" w:rsidP="00A42963">
      <w:pPr>
        <w:rPr>
          <w:lang w:val="sr-Cyrl-CS"/>
        </w:rPr>
      </w:pPr>
    </w:p>
    <w:p w14:paraId="05306DF1" w14:textId="77777777" w:rsidR="00412D34" w:rsidRPr="00F27A03" w:rsidRDefault="00412D34" w:rsidP="00A42963">
      <w:pPr>
        <w:rPr>
          <w:lang w:val="sr-Cyrl-CS"/>
        </w:rPr>
      </w:pPr>
    </w:p>
    <w:p w14:paraId="2DF66C0D" w14:textId="2CDEAB20" w:rsidR="00412D34" w:rsidRPr="00F27A03" w:rsidRDefault="00412D34" w:rsidP="00A42963">
      <w:pPr>
        <w:rPr>
          <w:lang w:val="sr-Cyrl-CS"/>
        </w:rPr>
      </w:pPr>
    </w:p>
    <w:p w14:paraId="7557AA03" w14:textId="77777777" w:rsidR="004D2365" w:rsidRPr="00F27A03" w:rsidRDefault="004D2365" w:rsidP="00A42963">
      <w:pPr>
        <w:rPr>
          <w:lang w:val="sr-Cyrl-CS"/>
        </w:rPr>
      </w:pPr>
    </w:p>
    <w:p w14:paraId="383B226B" w14:textId="77777777" w:rsidR="00412D34" w:rsidRPr="00F27A03" w:rsidRDefault="00412D34" w:rsidP="00A42963">
      <w:pPr>
        <w:spacing w:after="120"/>
        <w:jc w:val="left"/>
        <w:rPr>
          <w:rFonts w:cstheme="minorHAnsi"/>
          <w:b/>
          <w:bCs/>
          <w:color w:val="2F5496" w:themeColor="accent1" w:themeShade="BF"/>
          <w:sz w:val="22"/>
          <w:szCs w:val="20"/>
          <w:lang w:val="sr-Cyrl-CS"/>
        </w:rPr>
      </w:pPr>
      <w:r w:rsidRPr="00F27A03">
        <w:rPr>
          <w:rFonts w:cstheme="minorHAnsi"/>
          <w:b/>
          <w:bCs/>
          <w:color w:val="2F5496" w:themeColor="accent1" w:themeShade="BF"/>
          <w:sz w:val="22"/>
          <w:szCs w:val="20"/>
          <w:lang w:val="sr-Cyrl-CS"/>
        </w:rPr>
        <w:lastRenderedPageBreak/>
        <w:t>Државне гаранције</w:t>
      </w:r>
    </w:p>
    <w:p w14:paraId="4FA43B36" w14:textId="77777777" w:rsidR="00412D34" w:rsidRPr="00F27A03" w:rsidRDefault="00412D34" w:rsidP="00A42963">
      <w:pPr>
        <w:spacing w:after="120"/>
        <w:rPr>
          <w:lang w:val="sr-Cyrl-CS"/>
        </w:rPr>
      </w:pPr>
      <w:r w:rsidRPr="00F27A03">
        <w:rPr>
          <w:rFonts w:eastAsia="MS PGothic" w:cstheme="minorHAnsi"/>
          <w:szCs w:val="20"/>
          <w:lang w:val="sr-Cyrl-CS" w:eastAsia="ja-JP"/>
        </w:rPr>
        <w:t>Гаранције издате од стране државе утичу на висину јавног дуга, али и на висину дефицита, уколико отплату по кредиту уместо првобитног дужника преузме држава. Издате гаранције су према дефиницији одређеној Законом о јавном дугу</w:t>
      </w:r>
      <w:r w:rsidRPr="00F27A03">
        <w:rPr>
          <w:rFonts w:eastAsia="MS PGothic" w:cstheme="minorHAnsi"/>
          <w:szCs w:val="20"/>
          <w:vertAlign w:val="superscript"/>
          <w:lang w:val="sr-Cyrl-CS" w:eastAsia="ja-JP"/>
        </w:rPr>
        <w:footnoteReference w:id="5"/>
      </w:r>
      <w:r w:rsidRPr="00F27A03">
        <w:rPr>
          <w:rFonts w:eastAsia="MS PGothic" w:cstheme="minorHAnsi"/>
          <w:szCs w:val="20"/>
          <w:lang w:val="sr-Cyrl-CS" w:eastAsia="ja-JP"/>
        </w:rPr>
        <w:t xml:space="preserve"> део индиректних обавеза и у укупном износу се укључују у јавни дуг</w:t>
      </w:r>
      <w:r w:rsidRPr="00F27A03">
        <w:rPr>
          <w:rFonts w:eastAsia="MS PGothic" w:cstheme="minorHAnsi"/>
          <w:szCs w:val="20"/>
          <w:vertAlign w:val="superscript"/>
          <w:lang w:val="sr-Cyrl-CS" w:eastAsia="ja-JP"/>
        </w:rPr>
        <w:footnoteReference w:id="6"/>
      </w:r>
      <w:r w:rsidRPr="00F27A03">
        <w:rPr>
          <w:rFonts w:eastAsia="MS PGothic" w:cstheme="minorHAnsi"/>
          <w:szCs w:val="20"/>
          <w:lang w:val="sr-Cyrl-CS" w:eastAsia="ja-JP"/>
        </w:rPr>
        <w:t>. Ограничења постављена на издавање нових гаранција дала су резултате те се учешће индиректних обавеза у укупном јавном дугу смањује. Индиректне обавезе (издате гаранције од стране Републике Србије) су учествовале са 4,5% у укупном јавном дугу, према националној методологији, на крају 2021. године.</w:t>
      </w:r>
      <w:r w:rsidRPr="00F27A03">
        <w:rPr>
          <w:rFonts w:eastAsia="MS PGothic" w:cstheme="minorHAnsi"/>
          <w:szCs w:val="20"/>
          <w:highlight w:val="yellow"/>
          <w:lang w:val="sr-Cyrl-CS" w:eastAsia="ja-JP"/>
        </w:rPr>
        <w:t xml:space="preserve"> </w:t>
      </w:r>
      <w:r w:rsidRPr="00F27A03">
        <w:rPr>
          <w:rFonts w:eastAsia="MS PGothic" w:cstheme="minorHAnsi"/>
          <w:szCs w:val="20"/>
          <w:lang w:val="sr-Cyrl-CS" w:eastAsia="ja-JP"/>
        </w:rPr>
        <w:t>Учешће ових обавеза у јавном дугу је на приближно истом нивоу и у текућој години, те на крају септембра 2022. године оне чине 4,9% укупног јавног дуга. Највеће учешће ових обавеза у јавном дугу, нешто изнад 14% у просеку забележено је између 2009. и 2013. године.</w:t>
      </w:r>
    </w:p>
    <w:p w14:paraId="6A806660" w14:textId="77777777" w:rsidR="00412D34" w:rsidRPr="00F27A03" w:rsidRDefault="00412D34" w:rsidP="00A42963">
      <w:pPr>
        <w:rPr>
          <w:lang w:val="sr-Cyrl-CS"/>
        </w:rPr>
      </w:pPr>
    </w:p>
    <w:p w14:paraId="5AE44FF5" w14:textId="77777777" w:rsidR="00412D34" w:rsidRPr="00F27A03" w:rsidRDefault="00412D34" w:rsidP="00A42963">
      <w:pPr>
        <w:spacing w:after="120"/>
        <w:jc w:val="left"/>
        <w:rPr>
          <w:rFonts w:cstheme="minorHAnsi"/>
          <w:b/>
          <w:bCs/>
          <w:color w:val="2F5496" w:themeColor="accent1" w:themeShade="BF"/>
          <w:sz w:val="22"/>
          <w:szCs w:val="20"/>
          <w:lang w:val="sr-Cyrl-CS"/>
        </w:rPr>
      </w:pPr>
      <w:r w:rsidRPr="00F27A03">
        <w:rPr>
          <w:rFonts w:cstheme="minorHAnsi"/>
          <w:b/>
          <w:bCs/>
          <w:color w:val="2F5496" w:themeColor="accent1" w:themeShade="BF"/>
          <w:sz w:val="22"/>
          <w:szCs w:val="20"/>
          <w:lang w:val="sr-Cyrl-CS"/>
        </w:rPr>
        <w:t>Учешће индиректног дуга у укупном јавном дугу Републике Србије ( у %)</w:t>
      </w:r>
    </w:p>
    <w:p w14:paraId="03DC571A" w14:textId="77777777" w:rsidR="00412D34" w:rsidRPr="00F27A03" w:rsidRDefault="00412D34" w:rsidP="00A42963">
      <w:pPr>
        <w:spacing w:after="120"/>
        <w:rPr>
          <w:rFonts w:eastAsia="MS PGothic" w:cstheme="minorHAnsi"/>
          <w:szCs w:val="20"/>
          <w:lang w:val="sr-Cyrl-CS" w:eastAsia="ja-JP"/>
        </w:rPr>
      </w:pPr>
      <w:r w:rsidRPr="00F27A03">
        <w:rPr>
          <w:rFonts w:eastAsia="MS PGothic" w:cstheme="minorHAnsi"/>
          <w:noProof/>
          <w:szCs w:val="20"/>
          <w:lang w:val="sr-Cyrl-RS" w:eastAsia="sr-Cyrl-RS"/>
        </w:rPr>
        <w:drawing>
          <wp:inline distT="0" distB="0" distL="0" distR="0" wp14:anchorId="57DA74A6" wp14:editId="72B9DAFE">
            <wp:extent cx="3057405" cy="1795637"/>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57767" cy="1795849"/>
                    </a:xfrm>
                    <a:prstGeom prst="rect">
                      <a:avLst/>
                    </a:prstGeom>
                    <a:noFill/>
                  </pic:spPr>
                </pic:pic>
              </a:graphicData>
            </a:graphic>
          </wp:inline>
        </w:drawing>
      </w:r>
    </w:p>
    <w:p w14:paraId="370645E8" w14:textId="77777777" w:rsidR="00412D34" w:rsidRPr="00F27A03" w:rsidRDefault="00412D34" w:rsidP="00DD3FA7">
      <w:pPr>
        <w:spacing w:after="360"/>
        <w:rPr>
          <w:rFonts w:eastAsia="MS PGothic" w:cstheme="minorHAnsi"/>
          <w:spacing w:val="-2"/>
          <w:szCs w:val="20"/>
          <w:lang w:val="sr-Cyrl-CS" w:eastAsia="ja-JP"/>
        </w:rPr>
      </w:pPr>
      <w:r w:rsidRPr="00F27A03">
        <w:rPr>
          <w:rFonts w:eastAsia="MS PGothic" w:cstheme="minorHAnsi"/>
          <w:spacing w:val="-2"/>
          <w:szCs w:val="20"/>
          <w:lang w:val="sr-Cyrl-CS" w:eastAsia="ja-JP"/>
        </w:rPr>
        <w:t>На крају 2021. године стање дуга по основу издатих гаранција износило је 1,4 млрд евра, односно 2,6% БДП. Стање дуга по овом основу смањено је за близу 41 милион евра у односу на крај 2020. године. До септембра текуће године стање дуга по гаранцијама повећано је за 224,8 милиона евра, у односу на крај 2021. године и износи 1,6 млрд евра на дан 30. септембар 2022. године.</w:t>
      </w:r>
    </w:p>
    <w:p w14:paraId="06B4975F" w14:textId="77777777" w:rsidR="00412D34" w:rsidRPr="00F27A03" w:rsidRDefault="00412D34" w:rsidP="00A42963">
      <w:pPr>
        <w:spacing w:after="120" w:line="276" w:lineRule="auto"/>
        <w:jc w:val="center"/>
        <w:rPr>
          <w:rFonts w:eastAsia="MS PGothic" w:cstheme="minorHAnsi"/>
          <w:b/>
          <w:bCs/>
          <w:color w:val="002060"/>
          <w:szCs w:val="20"/>
          <w:lang w:val="sr-Cyrl-CS" w:eastAsia="ja-JP"/>
        </w:rPr>
        <w:sectPr w:rsidR="00412D34" w:rsidRPr="00F27A03" w:rsidSect="00A42963">
          <w:type w:val="continuous"/>
          <w:pgSz w:w="12240" w:h="15840"/>
          <w:pgMar w:top="1440" w:right="1440" w:bottom="1440" w:left="1440" w:header="720" w:footer="720" w:gutter="0"/>
          <w:cols w:num="2" w:space="720"/>
          <w:docGrid w:linePitch="360"/>
          <w15:footnoteColumns w:val="1"/>
        </w:sectPr>
      </w:pPr>
    </w:p>
    <w:p w14:paraId="591FD2EE" w14:textId="601D8736" w:rsidR="00412D34" w:rsidRPr="00F27A03" w:rsidRDefault="00412D34" w:rsidP="00A42963">
      <w:pPr>
        <w:spacing w:after="120" w:line="276" w:lineRule="auto"/>
        <w:jc w:val="center"/>
        <w:rPr>
          <w:rFonts w:eastAsia="MS PGothic" w:cstheme="minorHAnsi"/>
          <w:b/>
          <w:bCs/>
          <w:color w:val="002060"/>
          <w:szCs w:val="20"/>
          <w:lang w:val="sr-Cyrl-CS" w:eastAsia="ja-JP"/>
        </w:rPr>
      </w:pPr>
      <w:r w:rsidRPr="00F27A03">
        <w:rPr>
          <w:rFonts w:eastAsia="MS PGothic" w:cstheme="minorHAnsi"/>
          <w:b/>
          <w:bCs/>
          <w:color w:val="002060"/>
          <w:szCs w:val="20"/>
          <w:lang w:val="sr-Cyrl-CS" w:eastAsia="ja-JP"/>
        </w:rPr>
        <w:t>Табела 1</w:t>
      </w:r>
      <w:r w:rsidR="00EB3946" w:rsidRPr="00F27A03">
        <w:rPr>
          <w:rFonts w:eastAsia="MS PGothic" w:cstheme="minorHAnsi"/>
          <w:b/>
          <w:bCs/>
          <w:color w:val="002060"/>
          <w:szCs w:val="20"/>
          <w:lang w:val="sr-Cyrl-CS" w:eastAsia="ja-JP"/>
        </w:rPr>
        <w:t>2</w:t>
      </w:r>
      <w:r w:rsidRPr="00F27A03">
        <w:rPr>
          <w:rFonts w:eastAsia="MS PGothic" w:cstheme="minorHAnsi"/>
          <w:b/>
          <w:bCs/>
          <w:color w:val="002060"/>
          <w:szCs w:val="20"/>
          <w:lang w:val="sr-Cyrl-CS" w:eastAsia="ja-JP"/>
        </w:rPr>
        <w:t>. Стање дуга по основу издатих гаранција у мил. евра</w:t>
      </w:r>
    </w:p>
    <w:tbl>
      <w:tblPr>
        <w:tblW w:w="7896" w:type="dxa"/>
        <w:jc w:val="center"/>
        <w:tblLook w:val="04A0" w:firstRow="1" w:lastRow="0" w:firstColumn="1" w:lastColumn="0" w:noHBand="0" w:noVBand="1"/>
      </w:tblPr>
      <w:tblGrid>
        <w:gridCol w:w="6786"/>
        <w:gridCol w:w="1110"/>
      </w:tblGrid>
      <w:tr w:rsidR="00412D34" w:rsidRPr="00F27A03" w14:paraId="72821008" w14:textId="77777777" w:rsidTr="00A42963">
        <w:trPr>
          <w:trHeight w:hRule="exact" w:val="255"/>
          <w:tblHeader/>
          <w:jc w:val="center"/>
        </w:trPr>
        <w:tc>
          <w:tcPr>
            <w:tcW w:w="6786" w:type="dxa"/>
            <w:tcBorders>
              <w:top w:val="single" w:sz="8" w:space="0" w:color="002060"/>
              <w:left w:val="nil"/>
              <w:bottom w:val="single" w:sz="8" w:space="0" w:color="002060"/>
              <w:right w:val="nil"/>
            </w:tcBorders>
            <w:shd w:val="clear" w:color="auto" w:fill="auto"/>
            <w:noWrap/>
            <w:vAlign w:val="center"/>
            <w:hideMark/>
          </w:tcPr>
          <w:p w14:paraId="34EBCFE0" w14:textId="77777777" w:rsidR="00412D34" w:rsidRPr="00F27A03" w:rsidRDefault="00412D34" w:rsidP="00A42963">
            <w:pPr>
              <w:spacing w:after="120" w:line="276" w:lineRule="auto"/>
              <w:jc w:val="lef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Корисник</w:t>
            </w:r>
          </w:p>
        </w:tc>
        <w:tc>
          <w:tcPr>
            <w:tcW w:w="1110" w:type="dxa"/>
            <w:tcBorders>
              <w:top w:val="single" w:sz="8" w:space="0" w:color="002060"/>
              <w:left w:val="nil"/>
              <w:bottom w:val="single" w:sz="8" w:space="0" w:color="002060"/>
              <w:right w:val="nil"/>
            </w:tcBorders>
            <w:shd w:val="clear" w:color="auto" w:fill="auto"/>
            <w:vAlign w:val="center"/>
            <w:hideMark/>
          </w:tcPr>
          <w:p w14:paraId="55928EED"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30.09.2022.</w:t>
            </w:r>
          </w:p>
        </w:tc>
      </w:tr>
      <w:tr w:rsidR="00412D34" w:rsidRPr="00F27A03" w14:paraId="3CE6DB33"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02ADFF5E"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 xml:space="preserve">ЈП „Србијагас” </w:t>
            </w:r>
          </w:p>
        </w:tc>
        <w:tc>
          <w:tcPr>
            <w:tcW w:w="1110" w:type="dxa"/>
            <w:tcBorders>
              <w:top w:val="nil"/>
              <w:left w:val="nil"/>
              <w:bottom w:val="nil"/>
              <w:right w:val="nil"/>
            </w:tcBorders>
            <w:shd w:val="clear" w:color="auto" w:fill="auto"/>
            <w:noWrap/>
            <w:vAlign w:val="center"/>
          </w:tcPr>
          <w:p w14:paraId="682A6162"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482,5</w:t>
            </w:r>
          </w:p>
        </w:tc>
      </w:tr>
      <w:tr w:rsidR="00412D34" w:rsidRPr="00F27A03" w14:paraId="7CDE287B"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7F7401E6"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„Путеви Србије”</w:t>
            </w:r>
          </w:p>
        </w:tc>
        <w:tc>
          <w:tcPr>
            <w:tcW w:w="1110" w:type="dxa"/>
            <w:tcBorders>
              <w:top w:val="nil"/>
              <w:left w:val="nil"/>
              <w:bottom w:val="nil"/>
              <w:right w:val="nil"/>
            </w:tcBorders>
            <w:shd w:val="clear" w:color="auto" w:fill="auto"/>
            <w:noWrap/>
            <w:vAlign w:val="center"/>
          </w:tcPr>
          <w:p w14:paraId="2079D49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225,8</w:t>
            </w:r>
          </w:p>
        </w:tc>
      </w:tr>
      <w:tr w:rsidR="00412D34" w:rsidRPr="00F27A03" w14:paraId="47AFB09F"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71C3DF48" w14:textId="77777777" w:rsidR="00412D34" w:rsidRPr="00F27A03" w:rsidRDefault="00412D34" w:rsidP="00A42963">
            <w:pPr>
              <w:spacing w:after="120" w:line="276" w:lineRule="auto"/>
              <w:rPr>
                <w:rFonts w:eastAsia="MS PGothic" w:cstheme="minorHAnsi"/>
                <w:color w:val="002060"/>
                <w:sz w:val="18"/>
                <w:szCs w:val="18"/>
                <w:highlight w:val="yellow"/>
                <w:lang w:val="sr-Cyrl-CS" w:eastAsia="ja-JP"/>
              </w:rPr>
            </w:pPr>
            <w:r w:rsidRPr="00F27A03">
              <w:rPr>
                <w:rFonts w:eastAsia="MS PGothic" w:cstheme="minorHAnsi"/>
                <w:color w:val="002060"/>
                <w:sz w:val="18"/>
                <w:szCs w:val="18"/>
                <w:lang w:val="sr-Cyrl-CS" w:eastAsia="ja-JP"/>
              </w:rPr>
              <w:t>„Железнице Србије” а.д.</w:t>
            </w:r>
          </w:p>
        </w:tc>
        <w:tc>
          <w:tcPr>
            <w:tcW w:w="1110" w:type="dxa"/>
            <w:tcBorders>
              <w:top w:val="nil"/>
              <w:left w:val="nil"/>
              <w:bottom w:val="nil"/>
              <w:right w:val="nil"/>
            </w:tcBorders>
            <w:shd w:val="clear" w:color="auto" w:fill="auto"/>
            <w:noWrap/>
            <w:vAlign w:val="center"/>
          </w:tcPr>
          <w:p w14:paraId="0259BCE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117,1</w:t>
            </w:r>
          </w:p>
        </w:tc>
      </w:tr>
      <w:tr w:rsidR="00412D34" w:rsidRPr="00F27A03" w14:paraId="7B4AAE20"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3A179609" w14:textId="77777777" w:rsidR="00412D34" w:rsidRPr="00F27A03" w:rsidRDefault="00412D34" w:rsidP="00A42963">
            <w:pPr>
              <w:spacing w:after="120" w:line="276" w:lineRule="auto"/>
              <w:rPr>
                <w:rFonts w:eastAsia="MS PGothic" w:cstheme="minorHAnsi"/>
                <w:color w:val="002060"/>
                <w:sz w:val="18"/>
                <w:szCs w:val="18"/>
                <w:highlight w:val="yellow"/>
                <w:lang w:val="sr-Cyrl-CS" w:eastAsia="ja-JP"/>
              </w:rPr>
            </w:pPr>
            <w:r w:rsidRPr="00F27A03">
              <w:rPr>
                <w:rFonts w:eastAsia="MS PGothic" w:cstheme="minorHAnsi"/>
                <w:color w:val="002060"/>
                <w:sz w:val="18"/>
                <w:szCs w:val="18"/>
                <w:lang w:val="sr-Cyrl-CS" w:eastAsia="ja-JP"/>
              </w:rPr>
              <w:t>„Инфраструктура железнице Србије” а.д.</w:t>
            </w:r>
          </w:p>
        </w:tc>
        <w:tc>
          <w:tcPr>
            <w:tcW w:w="1110" w:type="dxa"/>
            <w:tcBorders>
              <w:top w:val="nil"/>
              <w:left w:val="nil"/>
              <w:bottom w:val="nil"/>
              <w:right w:val="nil"/>
            </w:tcBorders>
            <w:shd w:val="clear" w:color="auto" w:fill="auto"/>
            <w:noWrap/>
            <w:vAlign w:val="center"/>
          </w:tcPr>
          <w:p w14:paraId="35E3B2AF"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58,1</w:t>
            </w:r>
          </w:p>
        </w:tc>
      </w:tr>
      <w:tr w:rsidR="00412D34" w:rsidRPr="00F27A03" w14:paraId="18319520"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7B06F78F"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„Србија Воз” а.д.</w:t>
            </w:r>
          </w:p>
        </w:tc>
        <w:tc>
          <w:tcPr>
            <w:tcW w:w="1110" w:type="dxa"/>
            <w:tcBorders>
              <w:top w:val="nil"/>
              <w:left w:val="nil"/>
              <w:bottom w:val="nil"/>
              <w:right w:val="nil"/>
            </w:tcBorders>
            <w:shd w:val="clear" w:color="auto" w:fill="auto"/>
            <w:noWrap/>
            <w:vAlign w:val="center"/>
          </w:tcPr>
          <w:p w14:paraId="5554258E"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93,2</w:t>
            </w:r>
          </w:p>
        </w:tc>
      </w:tr>
      <w:tr w:rsidR="00412D34" w:rsidRPr="00F27A03" w14:paraId="4C1C8707"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4132AC9D"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„Србија Карго” а.д.</w:t>
            </w:r>
          </w:p>
        </w:tc>
        <w:tc>
          <w:tcPr>
            <w:tcW w:w="1110" w:type="dxa"/>
            <w:tcBorders>
              <w:top w:val="nil"/>
              <w:left w:val="nil"/>
              <w:bottom w:val="nil"/>
              <w:right w:val="nil"/>
            </w:tcBorders>
            <w:shd w:val="clear" w:color="auto" w:fill="auto"/>
            <w:noWrap/>
            <w:vAlign w:val="center"/>
          </w:tcPr>
          <w:p w14:paraId="5014E185"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31,4</w:t>
            </w:r>
          </w:p>
        </w:tc>
      </w:tr>
      <w:tr w:rsidR="00412D34" w:rsidRPr="00F27A03" w14:paraId="0D2EEA9B"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7D74FDF7"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„Електропривреда Србије”</w:t>
            </w:r>
          </w:p>
        </w:tc>
        <w:tc>
          <w:tcPr>
            <w:tcW w:w="1110" w:type="dxa"/>
            <w:tcBorders>
              <w:top w:val="nil"/>
              <w:left w:val="nil"/>
              <w:bottom w:val="nil"/>
              <w:right w:val="nil"/>
            </w:tcBorders>
            <w:shd w:val="clear" w:color="auto" w:fill="auto"/>
            <w:noWrap/>
            <w:vAlign w:val="center"/>
          </w:tcPr>
          <w:p w14:paraId="0C3FF88D"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373,5</w:t>
            </w:r>
          </w:p>
        </w:tc>
      </w:tr>
      <w:tr w:rsidR="00412D34" w:rsidRPr="00F27A03" w14:paraId="6033ED6B"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5BEAE452"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„Електромрежа Србије” а.д.</w:t>
            </w:r>
          </w:p>
        </w:tc>
        <w:tc>
          <w:tcPr>
            <w:tcW w:w="1110" w:type="dxa"/>
            <w:tcBorders>
              <w:top w:val="nil"/>
              <w:left w:val="nil"/>
              <w:bottom w:val="nil"/>
              <w:right w:val="nil"/>
            </w:tcBorders>
            <w:shd w:val="clear" w:color="auto" w:fill="auto"/>
            <w:noWrap/>
            <w:vAlign w:val="center"/>
          </w:tcPr>
          <w:p w14:paraId="5D45F77A"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35,5</w:t>
            </w:r>
          </w:p>
        </w:tc>
      </w:tr>
      <w:tr w:rsidR="00412D34" w:rsidRPr="00F27A03" w14:paraId="3C739167"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43280381"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Јединице локалне самоуправе (градови и општине)</w:t>
            </w:r>
          </w:p>
        </w:tc>
        <w:tc>
          <w:tcPr>
            <w:tcW w:w="1110" w:type="dxa"/>
            <w:tcBorders>
              <w:top w:val="nil"/>
              <w:left w:val="nil"/>
              <w:bottom w:val="nil"/>
              <w:right w:val="nil"/>
            </w:tcBorders>
            <w:shd w:val="clear" w:color="auto" w:fill="auto"/>
            <w:noWrap/>
            <w:vAlign w:val="center"/>
          </w:tcPr>
          <w:p w14:paraId="711B3956"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169,0</w:t>
            </w:r>
          </w:p>
        </w:tc>
      </w:tr>
      <w:tr w:rsidR="00412D34" w:rsidRPr="00F27A03" w14:paraId="09BF3CA9"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389DEB51"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„Југоимпорт – СДПР”</w:t>
            </w:r>
          </w:p>
        </w:tc>
        <w:tc>
          <w:tcPr>
            <w:tcW w:w="1110" w:type="dxa"/>
            <w:tcBorders>
              <w:top w:val="nil"/>
              <w:left w:val="nil"/>
              <w:bottom w:val="nil"/>
              <w:right w:val="nil"/>
            </w:tcBorders>
            <w:shd w:val="clear" w:color="auto" w:fill="auto"/>
            <w:noWrap/>
            <w:vAlign w:val="center"/>
          </w:tcPr>
          <w:p w14:paraId="1D59668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9,7</w:t>
            </w:r>
          </w:p>
        </w:tc>
      </w:tr>
      <w:tr w:rsidR="00412D34" w:rsidRPr="00F27A03" w14:paraId="20FB3FC5"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0886DD4A"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Агенција за контролу летења Србије и Црне Горе</w:t>
            </w:r>
          </w:p>
        </w:tc>
        <w:tc>
          <w:tcPr>
            <w:tcW w:w="1110" w:type="dxa"/>
            <w:tcBorders>
              <w:top w:val="nil"/>
              <w:left w:val="nil"/>
              <w:bottom w:val="nil"/>
              <w:right w:val="nil"/>
            </w:tcBorders>
            <w:shd w:val="clear" w:color="auto" w:fill="auto"/>
            <w:noWrap/>
            <w:vAlign w:val="center"/>
          </w:tcPr>
          <w:p w14:paraId="38E414B5"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w:t>
            </w:r>
          </w:p>
        </w:tc>
      </w:tr>
      <w:tr w:rsidR="00412D34" w:rsidRPr="00F27A03" w14:paraId="07214574"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61CA1E23"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„ЈАТ Техника” д.о.о.</w:t>
            </w:r>
          </w:p>
        </w:tc>
        <w:tc>
          <w:tcPr>
            <w:tcW w:w="1110" w:type="dxa"/>
            <w:tcBorders>
              <w:top w:val="nil"/>
              <w:left w:val="nil"/>
              <w:bottom w:val="nil"/>
              <w:right w:val="nil"/>
            </w:tcBorders>
            <w:shd w:val="clear" w:color="auto" w:fill="auto"/>
            <w:noWrap/>
            <w:vAlign w:val="center"/>
          </w:tcPr>
          <w:p w14:paraId="21F3200D"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1,6</w:t>
            </w:r>
          </w:p>
        </w:tc>
      </w:tr>
      <w:tr w:rsidR="00412D34" w:rsidRPr="00F27A03" w14:paraId="17B95092" w14:textId="77777777" w:rsidTr="00A42963">
        <w:trPr>
          <w:trHeight w:hRule="exact" w:val="255"/>
          <w:jc w:val="center"/>
        </w:trPr>
        <w:tc>
          <w:tcPr>
            <w:tcW w:w="6786" w:type="dxa"/>
            <w:tcBorders>
              <w:top w:val="nil"/>
              <w:left w:val="nil"/>
              <w:bottom w:val="nil"/>
              <w:right w:val="nil"/>
            </w:tcBorders>
            <w:shd w:val="clear" w:color="auto" w:fill="auto"/>
            <w:noWrap/>
            <w:vAlign w:val="center"/>
            <w:hideMark/>
          </w:tcPr>
          <w:p w14:paraId="2272257F"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„Емисиона техника и везе”</w:t>
            </w:r>
          </w:p>
        </w:tc>
        <w:tc>
          <w:tcPr>
            <w:tcW w:w="1110" w:type="dxa"/>
            <w:tcBorders>
              <w:top w:val="nil"/>
              <w:left w:val="nil"/>
              <w:bottom w:val="nil"/>
              <w:right w:val="nil"/>
            </w:tcBorders>
            <w:shd w:val="clear" w:color="auto" w:fill="auto"/>
            <w:noWrap/>
            <w:vAlign w:val="center"/>
          </w:tcPr>
          <w:p w14:paraId="10152F03"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4,5</w:t>
            </w:r>
          </w:p>
        </w:tc>
      </w:tr>
      <w:tr w:rsidR="00412D34" w:rsidRPr="00F27A03" w14:paraId="34CBD1AF" w14:textId="77777777" w:rsidTr="00A42963">
        <w:trPr>
          <w:trHeight w:hRule="exact" w:val="255"/>
          <w:jc w:val="center"/>
        </w:trPr>
        <w:tc>
          <w:tcPr>
            <w:tcW w:w="6786" w:type="dxa"/>
            <w:tcBorders>
              <w:top w:val="nil"/>
              <w:left w:val="nil"/>
              <w:right w:val="nil"/>
            </w:tcBorders>
            <w:shd w:val="clear" w:color="auto" w:fill="auto"/>
            <w:noWrap/>
            <w:vAlign w:val="center"/>
          </w:tcPr>
          <w:p w14:paraId="3B54B9A5"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„Скијалишта Србије”</w:t>
            </w:r>
          </w:p>
        </w:tc>
        <w:tc>
          <w:tcPr>
            <w:tcW w:w="1110" w:type="dxa"/>
            <w:tcBorders>
              <w:top w:val="nil"/>
              <w:left w:val="nil"/>
              <w:right w:val="nil"/>
            </w:tcBorders>
            <w:shd w:val="clear" w:color="auto" w:fill="auto"/>
            <w:noWrap/>
            <w:vAlign w:val="center"/>
          </w:tcPr>
          <w:p w14:paraId="3C62C92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24,5</w:t>
            </w:r>
          </w:p>
        </w:tc>
      </w:tr>
      <w:tr w:rsidR="00412D34" w:rsidRPr="00F27A03" w14:paraId="09E6E6D4" w14:textId="77777777" w:rsidTr="00A42963">
        <w:trPr>
          <w:trHeight w:hRule="exact" w:val="255"/>
          <w:jc w:val="center"/>
        </w:trPr>
        <w:tc>
          <w:tcPr>
            <w:tcW w:w="6786" w:type="dxa"/>
            <w:tcBorders>
              <w:top w:val="nil"/>
              <w:left w:val="nil"/>
              <w:bottom w:val="single" w:sz="8" w:space="0" w:color="002060"/>
              <w:right w:val="nil"/>
            </w:tcBorders>
            <w:shd w:val="clear" w:color="auto" w:fill="auto"/>
            <w:noWrap/>
            <w:vAlign w:val="center"/>
          </w:tcPr>
          <w:p w14:paraId="0A37EB5D"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Електродистрибуција Србије д.о.о.</w:t>
            </w:r>
          </w:p>
        </w:tc>
        <w:tc>
          <w:tcPr>
            <w:tcW w:w="1110" w:type="dxa"/>
            <w:tcBorders>
              <w:top w:val="nil"/>
              <w:left w:val="nil"/>
              <w:bottom w:val="single" w:sz="8" w:space="0" w:color="002060"/>
              <w:right w:val="nil"/>
            </w:tcBorders>
            <w:shd w:val="clear" w:color="auto" w:fill="auto"/>
            <w:noWrap/>
            <w:vAlign w:val="center"/>
          </w:tcPr>
          <w:p w14:paraId="1E4CF886"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0,4</w:t>
            </w:r>
          </w:p>
        </w:tc>
      </w:tr>
      <w:tr w:rsidR="00412D34" w:rsidRPr="00F27A03" w14:paraId="2D4EBE94" w14:textId="77777777" w:rsidTr="00A42963">
        <w:trPr>
          <w:trHeight w:hRule="exact" w:val="255"/>
          <w:jc w:val="center"/>
        </w:trPr>
        <w:tc>
          <w:tcPr>
            <w:tcW w:w="6786" w:type="dxa"/>
            <w:tcBorders>
              <w:top w:val="single" w:sz="8" w:space="0" w:color="002060"/>
              <w:left w:val="nil"/>
              <w:bottom w:val="single" w:sz="8" w:space="0" w:color="002060"/>
              <w:right w:val="nil"/>
            </w:tcBorders>
            <w:shd w:val="clear" w:color="auto" w:fill="auto"/>
            <w:noWrap/>
            <w:vAlign w:val="center"/>
            <w:hideMark/>
          </w:tcPr>
          <w:p w14:paraId="7A3204B1" w14:textId="77777777" w:rsidR="00412D34" w:rsidRPr="00F27A03" w:rsidRDefault="00412D34" w:rsidP="00A42963">
            <w:pPr>
              <w:spacing w:after="120" w:line="276" w:lineRule="auto"/>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УКУПНО</w:t>
            </w:r>
          </w:p>
        </w:tc>
        <w:tc>
          <w:tcPr>
            <w:tcW w:w="1110" w:type="dxa"/>
            <w:tcBorders>
              <w:top w:val="single" w:sz="8" w:space="0" w:color="002060"/>
              <w:left w:val="nil"/>
              <w:bottom w:val="single" w:sz="8" w:space="0" w:color="002060"/>
              <w:right w:val="nil"/>
            </w:tcBorders>
            <w:shd w:val="clear" w:color="auto" w:fill="auto"/>
            <w:noWrap/>
            <w:vAlign w:val="center"/>
            <w:hideMark/>
          </w:tcPr>
          <w:p w14:paraId="6BEAE48C"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1.607,0</w:t>
            </w:r>
          </w:p>
        </w:tc>
      </w:tr>
    </w:tbl>
    <w:p w14:paraId="40F20703" w14:textId="77777777" w:rsidR="00412D34" w:rsidRPr="00F27A03" w:rsidRDefault="00412D34" w:rsidP="00A42963">
      <w:pPr>
        <w:spacing w:after="120" w:line="276" w:lineRule="auto"/>
        <w:rPr>
          <w:rFonts w:eastAsia="MS PGothic" w:cstheme="minorHAnsi"/>
          <w:sz w:val="18"/>
          <w:szCs w:val="18"/>
          <w:lang w:val="sr-Cyrl-CS" w:eastAsia="ja-JP"/>
        </w:rPr>
      </w:pPr>
      <w:r w:rsidRPr="00F27A03">
        <w:rPr>
          <w:rFonts w:eastAsia="MS PGothic" w:cstheme="minorHAnsi"/>
          <w:sz w:val="18"/>
          <w:szCs w:val="18"/>
          <w:lang w:val="sr-Cyrl-CS" w:eastAsia="ja-JP"/>
        </w:rPr>
        <w:t xml:space="preserve">                  Извор: Министарство финансија, Управа за јавни дуг</w:t>
      </w:r>
    </w:p>
    <w:p w14:paraId="2003D05D" w14:textId="77777777" w:rsidR="00412D34" w:rsidRPr="00F27A03" w:rsidRDefault="00412D34" w:rsidP="00A42963">
      <w:pPr>
        <w:rPr>
          <w:rFonts w:eastAsia="MS PGothic" w:cstheme="minorHAnsi"/>
          <w:szCs w:val="20"/>
          <w:lang w:val="sr-Cyrl-CS" w:eastAsia="ja-JP"/>
        </w:rPr>
      </w:pPr>
    </w:p>
    <w:p w14:paraId="4D5D4432" w14:textId="77777777" w:rsidR="00412D34" w:rsidRPr="00F27A03" w:rsidRDefault="00412D34" w:rsidP="00A42963">
      <w:pPr>
        <w:rPr>
          <w:rFonts w:eastAsia="MS PGothic" w:cstheme="minorHAnsi"/>
          <w:szCs w:val="20"/>
          <w:lang w:val="sr-Cyrl-CS" w:eastAsia="ja-JP"/>
        </w:rPr>
        <w:sectPr w:rsidR="00412D34" w:rsidRPr="00F27A03" w:rsidSect="00A42963">
          <w:type w:val="continuous"/>
          <w:pgSz w:w="12240" w:h="15840"/>
          <w:pgMar w:top="1440" w:right="1440" w:bottom="1440" w:left="1440" w:header="720" w:footer="720" w:gutter="0"/>
          <w:cols w:space="720"/>
          <w:docGrid w:linePitch="360"/>
          <w15:footnoteColumns w:val="1"/>
        </w:sectPr>
      </w:pPr>
    </w:p>
    <w:p w14:paraId="0E0E05CA"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lastRenderedPageBreak/>
        <w:t>Укупна отплата главнице по основу гарантованих кредита у 2021. години износила је 11,3 млрд динара, од чега 7,7 млрд динара утиче на дефицит. Рачуноводствена методологија, до 2014. године, није у расходе укључивала отплате по основу гаранција</w:t>
      </w:r>
      <w:r w:rsidRPr="00F27A03">
        <w:rPr>
          <w:rFonts w:eastAsia="MS PGothic" w:cstheme="minorHAnsi"/>
          <w:szCs w:val="20"/>
          <w:vertAlign w:val="superscript"/>
          <w:lang w:val="sr-Cyrl-CS" w:eastAsia="ja-JP"/>
        </w:rPr>
        <w:footnoteReference w:id="7"/>
      </w:r>
      <w:r w:rsidRPr="00F27A03">
        <w:rPr>
          <w:rFonts w:eastAsia="MS PGothic" w:cstheme="minorHAnsi"/>
          <w:szCs w:val="20"/>
          <w:lang w:val="sr-Cyrl-CS" w:eastAsia="ja-JP"/>
        </w:rPr>
        <w:t>. Од 2014. године део ових расхода је укључен у расходе буџета</w:t>
      </w:r>
      <w:r w:rsidRPr="00F27A03">
        <w:rPr>
          <w:rFonts w:eastAsia="MS PGothic" w:cstheme="minorHAnsi"/>
          <w:szCs w:val="20"/>
          <w:vertAlign w:val="superscript"/>
          <w:lang w:val="sr-Cyrl-CS" w:eastAsia="ja-JP"/>
        </w:rPr>
        <w:footnoteReference w:id="8"/>
      </w:r>
      <w:r w:rsidRPr="00F27A03">
        <w:rPr>
          <w:rFonts w:eastAsia="MS PGothic" w:cstheme="minorHAnsi"/>
          <w:szCs w:val="20"/>
          <w:lang w:val="sr-Cyrl-CS" w:eastAsia="ja-JP"/>
        </w:rPr>
        <w:t>. Независно од буџетског и рачуноводственог приказа, дуг који уместо главног дужника плаћа држава повећава укупне потребе за задуживањем.</w:t>
      </w:r>
    </w:p>
    <w:p w14:paraId="4B00BEC5" w14:textId="77777777" w:rsidR="00412D34" w:rsidRPr="00F27A03" w:rsidRDefault="00412D34" w:rsidP="00A42963">
      <w:pPr>
        <w:spacing w:after="0" w:line="276" w:lineRule="auto"/>
        <w:jc w:val="center"/>
        <w:rPr>
          <w:rFonts w:eastAsia="MS PGothic" w:cstheme="minorHAnsi"/>
          <w:b/>
          <w:color w:val="002060"/>
          <w:szCs w:val="20"/>
          <w:lang w:val="sr-Cyrl-CS" w:eastAsia="ja-JP"/>
        </w:rPr>
      </w:pPr>
    </w:p>
    <w:p w14:paraId="76A361BB" w14:textId="77777777" w:rsidR="00412D34" w:rsidRPr="00F27A03" w:rsidRDefault="00412D34" w:rsidP="00A42963">
      <w:pPr>
        <w:spacing w:after="0" w:line="276" w:lineRule="auto"/>
        <w:jc w:val="center"/>
        <w:rPr>
          <w:rFonts w:eastAsia="MS PGothic" w:cstheme="minorHAnsi"/>
          <w:b/>
          <w:color w:val="002060"/>
          <w:szCs w:val="20"/>
          <w:lang w:val="sr-Cyrl-CS" w:eastAsia="ja-JP"/>
        </w:rPr>
      </w:pPr>
      <w:r w:rsidRPr="00F27A03">
        <w:rPr>
          <w:rFonts w:eastAsia="MS PGothic" w:cstheme="minorHAnsi"/>
          <w:b/>
          <w:color w:val="002060"/>
          <w:szCs w:val="20"/>
          <w:lang w:val="sr-Cyrl-CS" w:eastAsia="ja-JP"/>
        </w:rPr>
        <w:br w:type="column"/>
      </w:r>
      <w:r w:rsidRPr="00F27A03">
        <w:rPr>
          <w:rFonts w:eastAsia="MS PGothic" w:cstheme="minorHAnsi"/>
          <w:b/>
          <w:color w:val="002060"/>
          <w:szCs w:val="20"/>
          <w:lang w:val="sr-Cyrl-CS" w:eastAsia="ja-JP"/>
        </w:rPr>
        <w:t>Отплата дуга по основу активираних гаранција, млрд динара</w:t>
      </w:r>
    </w:p>
    <w:p w14:paraId="74E93ECA" w14:textId="77777777" w:rsidR="00412D34" w:rsidRPr="00F27A03" w:rsidRDefault="00412D34" w:rsidP="00A42963">
      <w:pPr>
        <w:spacing w:after="0" w:line="276" w:lineRule="auto"/>
        <w:jc w:val="center"/>
        <w:rPr>
          <w:rFonts w:eastAsia="MS PGothic" w:cstheme="minorHAnsi"/>
          <w:b/>
          <w:color w:val="002060"/>
          <w:szCs w:val="20"/>
          <w:lang w:val="sr-Cyrl-CS" w:eastAsia="ja-JP"/>
        </w:rPr>
      </w:pPr>
      <w:r w:rsidRPr="00F27A03">
        <w:rPr>
          <w:rFonts w:eastAsia="MS PGothic" w:cstheme="minorHAnsi"/>
          <w:b/>
          <w:noProof/>
          <w:color w:val="002060"/>
          <w:szCs w:val="20"/>
          <w:lang w:val="sr-Cyrl-RS" w:eastAsia="sr-Cyrl-RS"/>
        </w:rPr>
        <w:drawing>
          <wp:inline distT="0" distB="0" distL="0" distR="0" wp14:anchorId="5F13488B" wp14:editId="01D2E985">
            <wp:extent cx="2838236" cy="1894703"/>
            <wp:effectExtent l="0" t="0" r="63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840514" cy="1896224"/>
                    </a:xfrm>
                    <a:prstGeom prst="rect">
                      <a:avLst/>
                    </a:prstGeom>
                    <a:noFill/>
                  </pic:spPr>
                </pic:pic>
              </a:graphicData>
            </a:graphic>
          </wp:inline>
        </w:drawing>
      </w:r>
    </w:p>
    <w:p w14:paraId="331AAEF7" w14:textId="77777777" w:rsidR="00412D34" w:rsidRPr="00F27A03" w:rsidRDefault="00412D34" w:rsidP="00A42963">
      <w:pPr>
        <w:rPr>
          <w:lang w:val="sr-Cyrl-CS" w:eastAsia="ja-JP"/>
        </w:rPr>
      </w:pPr>
    </w:p>
    <w:p w14:paraId="21B6FCA5" w14:textId="77777777" w:rsidR="00412D34" w:rsidRPr="00F27A03" w:rsidRDefault="00412D34" w:rsidP="00A42963">
      <w:pPr>
        <w:jc w:val="center"/>
        <w:rPr>
          <w:rFonts w:eastAsia="MS PGothic" w:cstheme="minorHAnsi"/>
          <w:b/>
          <w:bCs/>
          <w:color w:val="002060"/>
          <w:szCs w:val="20"/>
          <w:lang w:val="sr-Cyrl-CS" w:eastAsia="ja-JP"/>
        </w:rPr>
        <w:sectPr w:rsidR="00412D34" w:rsidRPr="00F27A03" w:rsidSect="00A42963">
          <w:type w:val="continuous"/>
          <w:pgSz w:w="12240" w:h="15840"/>
          <w:pgMar w:top="1440" w:right="1440" w:bottom="1440" w:left="1440" w:header="720" w:footer="720" w:gutter="0"/>
          <w:cols w:num="2" w:space="720"/>
          <w:docGrid w:linePitch="360"/>
          <w15:footnoteColumns w:val="1"/>
        </w:sectPr>
      </w:pPr>
    </w:p>
    <w:p w14:paraId="0407014A" w14:textId="0DB78725" w:rsidR="00412D34" w:rsidRPr="00F27A03" w:rsidRDefault="00412D34" w:rsidP="00A42963">
      <w:pPr>
        <w:jc w:val="center"/>
        <w:rPr>
          <w:rFonts w:eastAsia="MS PGothic" w:cstheme="minorHAnsi"/>
          <w:b/>
          <w:bCs/>
          <w:color w:val="002060"/>
          <w:szCs w:val="20"/>
          <w:lang w:val="sr-Cyrl-CS" w:eastAsia="ja-JP"/>
        </w:rPr>
      </w:pPr>
      <w:r w:rsidRPr="00F27A03">
        <w:rPr>
          <w:rFonts w:eastAsia="MS PGothic" w:cstheme="minorHAnsi"/>
          <w:b/>
          <w:bCs/>
          <w:color w:val="002060"/>
          <w:szCs w:val="20"/>
          <w:lang w:val="sr-Cyrl-CS" w:eastAsia="ja-JP"/>
        </w:rPr>
        <w:t>Табела 1</w:t>
      </w:r>
      <w:r w:rsidR="00EB3946" w:rsidRPr="00F27A03">
        <w:rPr>
          <w:rFonts w:eastAsia="MS PGothic" w:cstheme="minorHAnsi"/>
          <w:b/>
          <w:bCs/>
          <w:color w:val="002060"/>
          <w:szCs w:val="20"/>
          <w:lang w:val="sr-Cyrl-CS" w:eastAsia="ja-JP"/>
        </w:rPr>
        <w:t>3</w:t>
      </w:r>
      <w:r w:rsidRPr="00F27A03">
        <w:rPr>
          <w:rFonts w:eastAsia="MS PGothic" w:cstheme="minorHAnsi"/>
          <w:b/>
          <w:bCs/>
          <w:color w:val="002060"/>
          <w:szCs w:val="20"/>
          <w:lang w:val="sr-Cyrl-CS" w:eastAsia="ja-JP"/>
        </w:rPr>
        <w:t>. Укупно плаћене обавезе по основу гаранција по корисницима, млрд динара</w:t>
      </w:r>
    </w:p>
    <w:tbl>
      <w:tblPr>
        <w:tblW w:w="9356" w:type="dxa"/>
        <w:tblLayout w:type="fixed"/>
        <w:tblLook w:val="04A0" w:firstRow="1" w:lastRow="0" w:firstColumn="1" w:lastColumn="0" w:noHBand="0" w:noVBand="1"/>
      </w:tblPr>
      <w:tblGrid>
        <w:gridCol w:w="3682"/>
        <w:gridCol w:w="996"/>
        <w:gridCol w:w="895"/>
        <w:gridCol w:w="946"/>
        <w:gridCol w:w="994"/>
        <w:gridCol w:w="897"/>
        <w:gridCol w:w="946"/>
      </w:tblGrid>
      <w:tr w:rsidR="00412D34" w:rsidRPr="00F27A03" w14:paraId="5B3851CC" w14:textId="77777777" w:rsidTr="00A42963">
        <w:trPr>
          <w:trHeight w:hRule="exact" w:val="284"/>
          <w:tblHeader/>
        </w:trPr>
        <w:tc>
          <w:tcPr>
            <w:tcW w:w="3682" w:type="dxa"/>
            <w:tcBorders>
              <w:top w:val="single" w:sz="8" w:space="0" w:color="002060"/>
              <w:left w:val="nil"/>
              <w:bottom w:val="single" w:sz="8" w:space="0" w:color="FFFFFF"/>
              <w:right w:val="nil"/>
            </w:tcBorders>
            <w:shd w:val="clear" w:color="auto" w:fill="auto"/>
            <w:noWrap/>
            <w:vAlign w:val="center"/>
            <w:hideMark/>
          </w:tcPr>
          <w:p w14:paraId="1BC921F7" w14:textId="77777777" w:rsidR="00412D34" w:rsidRPr="00F27A03" w:rsidRDefault="00412D34" w:rsidP="00A42963">
            <w:pPr>
              <w:spacing w:after="120" w:line="276" w:lineRule="auto"/>
              <w:jc w:val="lef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 </w:t>
            </w:r>
          </w:p>
        </w:tc>
        <w:tc>
          <w:tcPr>
            <w:tcW w:w="2837" w:type="dxa"/>
            <w:gridSpan w:val="3"/>
            <w:tcBorders>
              <w:top w:val="single" w:sz="8" w:space="0" w:color="002060"/>
              <w:left w:val="nil"/>
              <w:bottom w:val="single" w:sz="8" w:space="0" w:color="002060"/>
              <w:right w:val="nil"/>
            </w:tcBorders>
            <w:shd w:val="clear" w:color="auto" w:fill="auto"/>
            <w:noWrap/>
            <w:vAlign w:val="center"/>
            <w:hideMark/>
          </w:tcPr>
          <w:p w14:paraId="0E28CF69"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2021</w:t>
            </w:r>
          </w:p>
        </w:tc>
        <w:tc>
          <w:tcPr>
            <w:tcW w:w="2837" w:type="dxa"/>
            <w:gridSpan w:val="3"/>
            <w:tcBorders>
              <w:top w:val="single" w:sz="8" w:space="0" w:color="002060"/>
              <w:left w:val="nil"/>
              <w:bottom w:val="single" w:sz="8" w:space="0" w:color="002060"/>
              <w:right w:val="nil"/>
            </w:tcBorders>
            <w:shd w:val="clear" w:color="auto" w:fill="auto"/>
            <w:noWrap/>
            <w:vAlign w:val="center"/>
            <w:hideMark/>
          </w:tcPr>
          <w:p w14:paraId="4EA997FB"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2022 (до 30.09.)</w:t>
            </w:r>
          </w:p>
        </w:tc>
      </w:tr>
      <w:tr w:rsidR="00412D34" w:rsidRPr="00F27A03" w14:paraId="4A1D311A" w14:textId="77777777" w:rsidTr="00A42963">
        <w:trPr>
          <w:trHeight w:hRule="exact" w:val="284"/>
          <w:tblHeader/>
        </w:trPr>
        <w:tc>
          <w:tcPr>
            <w:tcW w:w="3682" w:type="dxa"/>
            <w:tcBorders>
              <w:top w:val="nil"/>
              <w:left w:val="nil"/>
              <w:bottom w:val="single" w:sz="8" w:space="0" w:color="002060"/>
              <w:right w:val="nil"/>
            </w:tcBorders>
            <w:shd w:val="clear" w:color="auto" w:fill="auto"/>
            <w:noWrap/>
            <w:vAlign w:val="center"/>
            <w:hideMark/>
          </w:tcPr>
          <w:p w14:paraId="1AA6E23E"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Корисник</w:t>
            </w:r>
          </w:p>
        </w:tc>
        <w:tc>
          <w:tcPr>
            <w:tcW w:w="996" w:type="dxa"/>
            <w:tcBorders>
              <w:top w:val="nil"/>
              <w:left w:val="nil"/>
              <w:bottom w:val="single" w:sz="8" w:space="0" w:color="002060"/>
              <w:right w:val="nil"/>
            </w:tcBorders>
            <w:shd w:val="clear" w:color="auto" w:fill="auto"/>
            <w:noWrap/>
            <w:vAlign w:val="center"/>
            <w:hideMark/>
          </w:tcPr>
          <w:p w14:paraId="0F4223EB"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Главница</w:t>
            </w:r>
          </w:p>
        </w:tc>
        <w:tc>
          <w:tcPr>
            <w:tcW w:w="895" w:type="dxa"/>
            <w:tcBorders>
              <w:top w:val="nil"/>
              <w:left w:val="nil"/>
              <w:bottom w:val="single" w:sz="8" w:space="0" w:color="002060"/>
              <w:right w:val="nil"/>
            </w:tcBorders>
            <w:shd w:val="clear" w:color="auto" w:fill="auto"/>
            <w:noWrap/>
            <w:vAlign w:val="center"/>
            <w:hideMark/>
          </w:tcPr>
          <w:p w14:paraId="7768951B"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Камата</w:t>
            </w:r>
          </w:p>
        </w:tc>
        <w:tc>
          <w:tcPr>
            <w:tcW w:w="946" w:type="dxa"/>
            <w:tcBorders>
              <w:top w:val="nil"/>
              <w:left w:val="nil"/>
              <w:bottom w:val="single" w:sz="8" w:space="0" w:color="002060"/>
              <w:right w:val="nil"/>
            </w:tcBorders>
            <w:shd w:val="clear" w:color="auto" w:fill="auto"/>
            <w:noWrap/>
            <w:vAlign w:val="center"/>
            <w:hideMark/>
          </w:tcPr>
          <w:p w14:paraId="022D297E"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Укупно</w:t>
            </w:r>
          </w:p>
        </w:tc>
        <w:tc>
          <w:tcPr>
            <w:tcW w:w="994" w:type="dxa"/>
            <w:tcBorders>
              <w:top w:val="nil"/>
              <w:left w:val="nil"/>
              <w:bottom w:val="single" w:sz="8" w:space="0" w:color="002060"/>
              <w:right w:val="nil"/>
            </w:tcBorders>
            <w:shd w:val="clear" w:color="auto" w:fill="auto"/>
            <w:noWrap/>
            <w:vAlign w:val="center"/>
            <w:hideMark/>
          </w:tcPr>
          <w:p w14:paraId="199D83D8"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Главница</w:t>
            </w:r>
          </w:p>
        </w:tc>
        <w:tc>
          <w:tcPr>
            <w:tcW w:w="897" w:type="dxa"/>
            <w:tcBorders>
              <w:top w:val="nil"/>
              <w:left w:val="nil"/>
              <w:bottom w:val="single" w:sz="8" w:space="0" w:color="002060"/>
              <w:right w:val="nil"/>
            </w:tcBorders>
            <w:shd w:val="clear" w:color="auto" w:fill="auto"/>
            <w:noWrap/>
            <w:vAlign w:val="center"/>
            <w:hideMark/>
          </w:tcPr>
          <w:p w14:paraId="4AD7AA5F"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Камата</w:t>
            </w:r>
          </w:p>
        </w:tc>
        <w:tc>
          <w:tcPr>
            <w:tcW w:w="946" w:type="dxa"/>
            <w:tcBorders>
              <w:top w:val="nil"/>
              <w:left w:val="nil"/>
              <w:bottom w:val="single" w:sz="8" w:space="0" w:color="002060"/>
              <w:right w:val="nil"/>
            </w:tcBorders>
            <w:shd w:val="clear" w:color="auto" w:fill="auto"/>
            <w:noWrap/>
            <w:vAlign w:val="center"/>
            <w:hideMark/>
          </w:tcPr>
          <w:p w14:paraId="4EAFD222" w14:textId="77777777" w:rsidR="00412D34" w:rsidRPr="00F27A03" w:rsidRDefault="00412D34" w:rsidP="00A42963">
            <w:pPr>
              <w:spacing w:after="120" w:line="276" w:lineRule="auto"/>
              <w:jc w:val="center"/>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Укупно</w:t>
            </w:r>
          </w:p>
        </w:tc>
      </w:tr>
      <w:tr w:rsidR="00412D34" w:rsidRPr="00F27A03" w14:paraId="7B8DFD08" w14:textId="77777777" w:rsidTr="00A42963">
        <w:trPr>
          <w:trHeight w:hRule="exact" w:val="303"/>
        </w:trPr>
        <w:tc>
          <w:tcPr>
            <w:tcW w:w="3682" w:type="dxa"/>
            <w:tcBorders>
              <w:top w:val="nil"/>
              <w:left w:val="nil"/>
              <w:bottom w:val="nil"/>
              <w:right w:val="nil"/>
            </w:tcBorders>
            <w:shd w:val="clear" w:color="auto" w:fill="auto"/>
            <w:noWrap/>
            <w:vAlign w:val="center"/>
          </w:tcPr>
          <w:p w14:paraId="5CF1889D" w14:textId="77777777" w:rsidR="00412D34" w:rsidRPr="00F27A03" w:rsidRDefault="00412D34" w:rsidP="00A42963">
            <w:pPr>
              <w:spacing w:after="4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АД „Железнице Србије” Београд</w:t>
            </w:r>
          </w:p>
        </w:tc>
        <w:tc>
          <w:tcPr>
            <w:tcW w:w="996" w:type="dxa"/>
            <w:tcBorders>
              <w:top w:val="nil"/>
              <w:left w:val="nil"/>
              <w:bottom w:val="nil"/>
              <w:right w:val="nil"/>
            </w:tcBorders>
            <w:shd w:val="clear" w:color="auto" w:fill="auto"/>
            <w:noWrap/>
            <w:vAlign w:val="center"/>
            <w:hideMark/>
          </w:tcPr>
          <w:p w14:paraId="3912C487"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3,25</w:t>
            </w:r>
          </w:p>
        </w:tc>
        <w:tc>
          <w:tcPr>
            <w:tcW w:w="895" w:type="dxa"/>
            <w:tcBorders>
              <w:top w:val="nil"/>
              <w:left w:val="nil"/>
              <w:bottom w:val="nil"/>
              <w:right w:val="nil"/>
            </w:tcBorders>
            <w:shd w:val="clear" w:color="auto" w:fill="auto"/>
            <w:noWrap/>
            <w:vAlign w:val="center"/>
            <w:hideMark/>
          </w:tcPr>
          <w:p w14:paraId="200A528D"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0,36</w:t>
            </w:r>
          </w:p>
        </w:tc>
        <w:tc>
          <w:tcPr>
            <w:tcW w:w="946" w:type="dxa"/>
            <w:tcBorders>
              <w:top w:val="nil"/>
              <w:left w:val="nil"/>
              <w:bottom w:val="nil"/>
              <w:right w:val="nil"/>
            </w:tcBorders>
            <w:shd w:val="clear" w:color="auto" w:fill="auto"/>
            <w:noWrap/>
            <w:vAlign w:val="center"/>
            <w:hideMark/>
          </w:tcPr>
          <w:p w14:paraId="470DA717"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3,62</w:t>
            </w:r>
          </w:p>
        </w:tc>
        <w:tc>
          <w:tcPr>
            <w:tcW w:w="994" w:type="dxa"/>
            <w:tcBorders>
              <w:top w:val="nil"/>
              <w:left w:val="nil"/>
              <w:bottom w:val="nil"/>
              <w:right w:val="nil"/>
            </w:tcBorders>
            <w:shd w:val="clear" w:color="auto" w:fill="auto"/>
            <w:noWrap/>
          </w:tcPr>
          <w:p w14:paraId="71CFFC36"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5,11</w:t>
            </w:r>
          </w:p>
        </w:tc>
        <w:tc>
          <w:tcPr>
            <w:tcW w:w="897" w:type="dxa"/>
            <w:tcBorders>
              <w:top w:val="nil"/>
              <w:left w:val="nil"/>
              <w:bottom w:val="nil"/>
              <w:right w:val="nil"/>
            </w:tcBorders>
            <w:shd w:val="clear" w:color="auto" w:fill="auto"/>
            <w:noWrap/>
          </w:tcPr>
          <w:p w14:paraId="530BA22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0,28</w:t>
            </w:r>
          </w:p>
        </w:tc>
        <w:tc>
          <w:tcPr>
            <w:tcW w:w="946" w:type="dxa"/>
            <w:tcBorders>
              <w:top w:val="nil"/>
              <w:left w:val="nil"/>
              <w:bottom w:val="nil"/>
              <w:right w:val="nil"/>
            </w:tcBorders>
            <w:shd w:val="clear" w:color="auto" w:fill="auto"/>
            <w:noWrap/>
          </w:tcPr>
          <w:p w14:paraId="005943E3"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5,38</w:t>
            </w:r>
          </w:p>
        </w:tc>
      </w:tr>
      <w:tr w:rsidR="00412D34" w:rsidRPr="00F27A03" w14:paraId="6BB0D61E" w14:textId="77777777" w:rsidTr="00A42963">
        <w:trPr>
          <w:trHeight w:hRule="exact" w:val="698"/>
        </w:trPr>
        <w:tc>
          <w:tcPr>
            <w:tcW w:w="3682" w:type="dxa"/>
            <w:tcBorders>
              <w:top w:val="nil"/>
              <w:left w:val="nil"/>
              <w:bottom w:val="nil"/>
              <w:right w:val="nil"/>
            </w:tcBorders>
            <w:shd w:val="clear" w:color="auto" w:fill="auto"/>
            <w:noWrap/>
            <w:vAlign w:val="center"/>
          </w:tcPr>
          <w:p w14:paraId="11310423" w14:textId="77777777" w:rsidR="00412D34" w:rsidRPr="00F27A03" w:rsidRDefault="00412D34" w:rsidP="00A42963">
            <w:pPr>
              <w:spacing w:after="4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АД за управљање јавном железничком инфраструктуром „Инфраструктура железнице Србије”, Београд</w:t>
            </w:r>
          </w:p>
        </w:tc>
        <w:tc>
          <w:tcPr>
            <w:tcW w:w="996" w:type="dxa"/>
            <w:tcBorders>
              <w:top w:val="nil"/>
              <w:left w:val="nil"/>
              <w:bottom w:val="nil"/>
              <w:right w:val="nil"/>
            </w:tcBorders>
            <w:shd w:val="clear" w:color="auto" w:fill="auto"/>
            <w:noWrap/>
            <w:vAlign w:val="center"/>
            <w:hideMark/>
          </w:tcPr>
          <w:p w14:paraId="207867B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1,45</w:t>
            </w:r>
          </w:p>
        </w:tc>
        <w:tc>
          <w:tcPr>
            <w:tcW w:w="895" w:type="dxa"/>
            <w:tcBorders>
              <w:top w:val="nil"/>
              <w:left w:val="nil"/>
              <w:bottom w:val="nil"/>
              <w:right w:val="nil"/>
            </w:tcBorders>
            <w:shd w:val="clear" w:color="auto" w:fill="auto"/>
            <w:noWrap/>
            <w:vAlign w:val="center"/>
            <w:hideMark/>
          </w:tcPr>
          <w:p w14:paraId="462EB4E3"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0,04</w:t>
            </w:r>
          </w:p>
        </w:tc>
        <w:tc>
          <w:tcPr>
            <w:tcW w:w="946" w:type="dxa"/>
            <w:tcBorders>
              <w:top w:val="nil"/>
              <w:left w:val="nil"/>
              <w:bottom w:val="nil"/>
              <w:right w:val="nil"/>
            </w:tcBorders>
            <w:shd w:val="clear" w:color="auto" w:fill="auto"/>
            <w:noWrap/>
            <w:vAlign w:val="center"/>
            <w:hideMark/>
          </w:tcPr>
          <w:p w14:paraId="08DE3C2A"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1,49</w:t>
            </w:r>
          </w:p>
        </w:tc>
        <w:tc>
          <w:tcPr>
            <w:tcW w:w="994" w:type="dxa"/>
            <w:tcBorders>
              <w:top w:val="nil"/>
              <w:left w:val="nil"/>
              <w:bottom w:val="nil"/>
              <w:right w:val="nil"/>
            </w:tcBorders>
            <w:shd w:val="clear" w:color="auto" w:fill="auto"/>
            <w:noWrap/>
            <w:vAlign w:val="center"/>
          </w:tcPr>
          <w:p w14:paraId="50B6C69D"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1,47</w:t>
            </w:r>
          </w:p>
        </w:tc>
        <w:tc>
          <w:tcPr>
            <w:tcW w:w="897" w:type="dxa"/>
            <w:tcBorders>
              <w:top w:val="nil"/>
              <w:left w:val="nil"/>
              <w:bottom w:val="nil"/>
              <w:right w:val="nil"/>
            </w:tcBorders>
            <w:shd w:val="clear" w:color="auto" w:fill="auto"/>
            <w:noWrap/>
            <w:vAlign w:val="center"/>
          </w:tcPr>
          <w:p w14:paraId="0EEE4716"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0,03</w:t>
            </w:r>
          </w:p>
        </w:tc>
        <w:tc>
          <w:tcPr>
            <w:tcW w:w="946" w:type="dxa"/>
            <w:tcBorders>
              <w:top w:val="nil"/>
              <w:left w:val="nil"/>
              <w:bottom w:val="nil"/>
              <w:right w:val="nil"/>
            </w:tcBorders>
            <w:shd w:val="clear" w:color="auto" w:fill="auto"/>
            <w:noWrap/>
            <w:vAlign w:val="center"/>
          </w:tcPr>
          <w:p w14:paraId="6629C67F"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1,50</w:t>
            </w:r>
          </w:p>
        </w:tc>
      </w:tr>
      <w:tr w:rsidR="00412D34" w:rsidRPr="00F27A03" w14:paraId="01CA5EFC" w14:textId="77777777" w:rsidTr="00A42963">
        <w:trPr>
          <w:trHeight w:hRule="exact" w:val="425"/>
        </w:trPr>
        <w:tc>
          <w:tcPr>
            <w:tcW w:w="3682" w:type="dxa"/>
            <w:tcBorders>
              <w:top w:val="nil"/>
              <w:left w:val="nil"/>
              <w:bottom w:val="nil"/>
              <w:right w:val="nil"/>
            </w:tcBorders>
            <w:shd w:val="clear" w:color="auto" w:fill="auto"/>
            <w:noWrap/>
            <w:vAlign w:val="center"/>
          </w:tcPr>
          <w:p w14:paraId="7A1330E2" w14:textId="77777777" w:rsidR="00412D34" w:rsidRPr="00F27A03" w:rsidRDefault="00412D34" w:rsidP="00A42963">
            <w:pPr>
              <w:spacing w:after="4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АД железнички превоз путника „Србија Воз” Београд</w:t>
            </w:r>
          </w:p>
        </w:tc>
        <w:tc>
          <w:tcPr>
            <w:tcW w:w="996" w:type="dxa"/>
            <w:tcBorders>
              <w:top w:val="nil"/>
              <w:left w:val="nil"/>
              <w:bottom w:val="nil"/>
              <w:right w:val="nil"/>
            </w:tcBorders>
            <w:shd w:val="clear" w:color="auto" w:fill="auto"/>
            <w:noWrap/>
            <w:vAlign w:val="center"/>
            <w:hideMark/>
          </w:tcPr>
          <w:p w14:paraId="4D475532"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0,32</w:t>
            </w:r>
          </w:p>
        </w:tc>
        <w:tc>
          <w:tcPr>
            <w:tcW w:w="895" w:type="dxa"/>
            <w:tcBorders>
              <w:top w:val="nil"/>
              <w:left w:val="nil"/>
              <w:bottom w:val="nil"/>
              <w:right w:val="nil"/>
            </w:tcBorders>
            <w:shd w:val="clear" w:color="auto" w:fill="auto"/>
            <w:noWrap/>
            <w:vAlign w:val="center"/>
            <w:hideMark/>
          </w:tcPr>
          <w:p w14:paraId="449C4C2F"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0,03</w:t>
            </w:r>
          </w:p>
        </w:tc>
        <w:tc>
          <w:tcPr>
            <w:tcW w:w="946" w:type="dxa"/>
            <w:tcBorders>
              <w:top w:val="nil"/>
              <w:left w:val="nil"/>
              <w:bottom w:val="nil"/>
              <w:right w:val="nil"/>
            </w:tcBorders>
            <w:shd w:val="clear" w:color="auto" w:fill="auto"/>
            <w:noWrap/>
            <w:vAlign w:val="center"/>
            <w:hideMark/>
          </w:tcPr>
          <w:p w14:paraId="3B238BEE"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0,35</w:t>
            </w:r>
          </w:p>
        </w:tc>
        <w:tc>
          <w:tcPr>
            <w:tcW w:w="994" w:type="dxa"/>
            <w:tcBorders>
              <w:top w:val="nil"/>
              <w:left w:val="nil"/>
              <w:bottom w:val="nil"/>
              <w:right w:val="nil"/>
            </w:tcBorders>
            <w:shd w:val="clear" w:color="auto" w:fill="auto"/>
            <w:noWrap/>
            <w:vAlign w:val="center"/>
          </w:tcPr>
          <w:p w14:paraId="5DBBEFAB"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0,22</w:t>
            </w:r>
          </w:p>
        </w:tc>
        <w:tc>
          <w:tcPr>
            <w:tcW w:w="897" w:type="dxa"/>
            <w:tcBorders>
              <w:top w:val="nil"/>
              <w:left w:val="nil"/>
              <w:bottom w:val="nil"/>
              <w:right w:val="nil"/>
            </w:tcBorders>
            <w:shd w:val="clear" w:color="auto" w:fill="auto"/>
            <w:noWrap/>
            <w:vAlign w:val="center"/>
          </w:tcPr>
          <w:p w14:paraId="0DE6548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0,04</w:t>
            </w:r>
          </w:p>
        </w:tc>
        <w:tc>
          <w:tcPr>
            <w:tcW w:w="946" w:type="dxa"/>
            <w:tcBorders>
              <w:top w:val="nil"/>
              <w:left w:val="nil"/>
              <w:bottom w:val="nil"/>
              <w:right w:val="nil"/>
            </w:tcBorders>
            <w:shd w:val="clear" w:color="auto" w:fill="auto"/>
            <w:noWrap/>
            <w:vAlign w:val="center"/>
          </w:tcPr>
          <w:p w14:paraId="58459DFA"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0,26</w:t>
            </w:r>
          </w:p>
        </w:tc>
      </w:tr>
      <w:tr w:rsidR="00412D34" w:rsidRPr="00F27A03" w14:paraId="011AB7A3" w14:textId="77777777" w:rsidTr="00A42963">
        <w:trPr>
          <w:trHeight w:hRule="exact" w:val="431"/>
        </w:trPr>
        <w:tc>
          <w:tcPr>
            <w:tcW w:w="3682" w:type="dxa"/>
            <w:tcBorders>
              <w:top w:val="nil"/>
              <w:left w:val="nil"/>
              <w:bottom w:val="nil"/>
              <w:right w:val="nil"/>
            </w:tcBorders>
            <w:shd w:val="clear" w:color="auto" w:fill="auto"/>
            <w:noWrap/>
            <w:vAlign w:val="center"/>
          </w:tcPr>
          <w:p w14:paraId="4BAA90E2" w14:textId="77777777" w:rsidR="00412D34" w:rsidRPr="00F27A03" w:rsidRDefault="00412D34" w:rsidP="00A42963">
            <w:pPr>
              <w:spacing w:after="4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АД железнички превоз робе „Србија Карго” Београд</w:t>
            </w:r>
          </w:p>
        </w:tc>
        <w:tc>
          <w:tcPr>
            <w:tcW w:w="996" w:type="dxa"/>
            <w:tcBorders>
              <w:top w:val="nil"/>
              <w:left w:val="nil"/>
              <w:bottom w:val="nil"/>
              <w:right w:val="nil"/>
            </w:tcBorders>
            <w:shd w:val="clear" w:color="auto" w:fill="auto"/>
            <w:noWrap/>
            <w:vAlign w:val="center"/>
            <w:hideMark/>
          </w:tcPr>
          <w:p w14:paraId="698515CD"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1,23</w:t>
            </w:r>
          </w:p>
        </w:tc>
        <w:tc>
          <w:tcPr>
            <w:tcW w:w="895" w:type="dxa"/>
            <w:tcBorders>
              <w:top w:val="nil"/>
              <w:left w:val="nil"/>
              <w:bottom w:val="nil"/>
              <w:right w:val="nil"/>
            </w:tcBorders>
            <w:shd w:val="clear" w:color="auto" w:fill="auto"/>
            <w:noWrap/>
            <w:vAlign w:val="center"/>
            <w:hideMark/>
          </w:tcPr>
          <w:p w14:paraId="31A2594D"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0,03</w:t>
            </w:r>
          </w:p>
        </w:tc>
        <w:tc>
          <w:tcPr>
            <w:tcW w:w="946" w:type="dxa"/>
            <w:tcBorders>
              <w:top w:val="nil"/>
              <w:left w:val="nil"/>
              <w:bottom w:val="nil"/>
              <w:right w:val="nil"/>
            </w:tcBorders>
            <w:shd w:val="clear" w:color="auto" w:fill="auto"/>
            <w:noWrap/>
            <w:vAlign w:val="center"/>
            <w:hideMark/>
          </w:tcPr>
          <w:p w14:paraId="3C48B42B"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1,26</w:t>
            </w:r>
          </w:p>
        </w:tc>
        <w:tc>
          <w:tcPr>
            <w:tcW w:w="994" w:type="dxa"/>
            <w:tcBorders>
              <w:top w:val="nil"/>
              <w:left w:val="nil"/>
              <w:bottom w:val="nil"/>
              <w:right w:val="nil"/>
            </w:tcBorders>
            <w:shd w:val="clear" w:color="auto" w:fill="auto"/>
            <w:noWrap/>
            <w:vAlign w:val="center"/>
          </w:tcPr>
          <w:p w14:paraId="4C349D4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0,62</w:t>
            </w:r>
          </w:p>
        </w:tc>
        <w:tc>
          <w:tcPr>
            <w:tcW w:w="897" w:type="dxa"/>
            <w:tcBorders>
              <w:top w:val="nil"/>
              <w:left w:val="nil"/>
              <w:bottom w:val="nil"/>
              <w:right w:val="nil"/>
            </w:tcBorders>
            <w:shd w:val="clear" w:color="auto" w:fill="auto"/>
            <w:noWrap/>
            <w:vAlign w:val="center"/>
          </w:tcPr>
          <w:p w14:paraId="198192F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0,01</w:t>
            </w:r>
          </w:p>
        </w:tc>
        <w:tc>
          <w:tcPr>
            <w:tcW w:w="946" w:type="dxa"/>
            <w:tcBorders>
              <w:top w:val="nil"/>
              <w:left w:val="nil"/>
              <w:bottom w:val="nil"/>
              <w:right w:val="nil"/>
            </w:tcBorders>
            <w:shd w:val="clear" w:color="auto" w:fill="auto"/>
            <w:noWrap/>
            <w:vAlign w:val="center"/>
          </w:tcPr>
          <w:p w14:paraId="1AEFEB1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0,63</w:t>
            </w:r>
          </w:p>
        </w:tc>
      </w:tr>
      <w:tr w:rsidR="00412D34" w:rsidRPr="00F27A03" w14:paraId="36868AF3" w14:textId="77777777" w:rsidTr="00A42963">
        <w:trPr>
          <w:trHeight w:hRule="exact" w:val="227"/>
        </w:trPr>
        <w:tc>
          <w:tcPr>
            <w:tcW w:w="3682" w:type="dxa"/>
            <w:tcBorders>
              <w:top w:val="nil"/>
              <w:left w:val="nil"/>
              <w:bottom w:val="nil"/>
              <w:right w:val="nil"/>
            </w:tcBorders>
            <w:shd w:val="clear" w:color="auto" w:fill="auto"/>
            <w:noWrap/>
            <w:vAlign w:val="center"/>
          </w:tcPr>
          <w:p w14:paraId="7903995D" w14:textId="77777777" w:rsidR="00412D34" w:rsidRPr="00F27A03" w:rsidRDefault="00412D34" w:rsidP="00A42963">
            <w:pPr>
              <w:spacing w:after="12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„Скијалишта Србије” Београд</w:t>
            </w:r>
          </w:p>
          <w:p w14:paraId="1A1F8AFC" w14:textId="77777777" w:rsidR="00412D34" w:rsidRPr="00F27A03" w:rsidRDefault="00412D34" w:rsidP="00A42963">
            <w:pPr>
              <w:spacing w:after="120" w:line="240" w:lineRule="auto"/>
              <w:jc w:val="left"/>
              <w:rPr>
                <w:rFonts w:eastAsia="MS PGothic" w:cstheme="minorHAnsi"/>
                <w:color w:val="002060"/>
                <w:sz w:val="18"/>
                <w:szCs w:val="18"/>
                <w:lang w:val="sr-Cyrl-CS" w:eastAsia="ja-JP"/>
              </w:rPr>
            </w:pPr>
          </w:p>
        </w:tc>
        <w:tc>
          <w:tcPr>
            <w:tcW w:w="996" w:type="dxa"/>
            <w:tcBorders>
              <w:top w:val="nil"/>
              <w:left w:val="nil"/>
              <w:bottom w:val="nil"/>
              <w:right w:val="nil"/>
            </w:tcBorders>
            <w:shd w:val="clear" w:color="auto" w:fill="auto"/>
            <w:noWrap/>
            <w:vAlign w:val="center"/>
          </w:tcPr>
          <w:p w14:paraId="4723B0DA"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0,00</w:t>
            </w:r>
          </w:p>
        </w:tc>
        <w:tc>
          <w:tcPr>
            <w:tcW w:w="895" w:type="dxa"/>
            <w:tcBorders>
              <w:top w:val="nil"/>
              <w:left w:val="nil"/>
              <w:bottom w:val="nil"/>
              <w:right w:val="nil"/>
            </w:tcBorders>
            <w:shd w:val="clear" w:color="auto" w:fill="auto"/>
            <w:noWrap/>
            <w:vAlign w:val="center"/>
          </w:tcPr>
          <w:p w14:paraId="3F4463BA"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0,05</w:t>
            </w:r>
          </w:p>
        </w:tc>
        <w:tc>
          <w:tcPr>
            <w:tcW w:w="946" w:type="dxa"/>
            <w:tcBorders>
              <w:top w:val="nil"/>
              <w:left w:val="nil"/>
              <w:bottom w:val="nil"/>
              <w:right w:val="nil"/>
            </w:tcBorders>
            <w:shd w:val="clear" w:color="auto" w:fill="auto"/>
            <w:noWrap/>
            <w:vAlign w:val="center"/>
          </w:tcPr>
          <w:p w14:paraId="3DB2A9D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0,05</w:t>
            </w:r>
          </w:p>
        </w:tc>
        <w:tc>
          <w:tcPr>
            <w:tcW w:w="994" w:type="dxa"/>
            <w:tcBorders>
              <w:top w:val="nil"/>
              <w:left w:val="nil"/>
              <w:bottom w:val="nil"/>
              <w:right w:val="nil"/>
            </w:tcBorders>
            <w:shd w:val="clear" w:color="auto" w:fill="auto"/>
            <w:noWrap/>
            <w:vAlign w:val="center"/>
          </w:tcPr>
          <w:p w14:paraId="0A298933"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0,32</w:t>
            </w:r>
          </w:p>
        </w:tc>
        <w:tc>
          <w:tcPr>
            <w:tcW w:w="897" w:type="dxa"/>
            <w:tcBorders>
              <w:top w:val="nil"/>
              <w:left w:val="nil"/>
              <w:bottom w:val="nil"/>
              <w:right w:val="nil"/>
            </w:tcBorders>
            <w:shd w:val="clear" w:color="auto" w:fill="auto"/>
            <w:noWrap/>
            <w:vAlign w:val="center"/>
          </w:tcPr>
          <w:p w14:paraId="76812DEF"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0,09</w:t>
            </w:r>
          </w:p>
        </w:tc>
        <w:tc>
          <w:tcPr>
            <w:tcW w:w="946" w:type="dxa"/>
            <w:tcBorders>
              <w:top w:val="nil"/>
              <w:left w:val="nil"/>
              <w:bottom w:val="nil"/>
              <w:right w:val="nil"/>
            </w:tcBorders>
            <w:shd w:val="clear" w:color="auto" w:fill="auto"/>
            <w:noWrap/>
            <w:vAlign w:val="center"/>
          </w:tcPr>
          <w:p w14:paraId="54CC23CE"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0,41</w:t>
            </w:r>
          </w:p>
        </w:tc>
      </w:tr>
      <w:tr w:rsidR="00412D34" w:rsidRPr="00F27A03" w14:paraId="110CB6A3" w14:textId="77777777" w:rsidTr="00A42963">
        <w:trPr>
          <w:trHeight w:hRule="exact" w:val="227"/>
        </w:trPr>
        <w:tc>
          <w:tcPr>
            <w:tcW w:w="3682" w:type="dxa"/>
            <w:tcBorders>
              <w:top w:val="nil"/>
              <w:left w:val="nil"/>
              <w:bottom w:val="nil"/>
              <w:right w:val="nil"/>
            </w:tcBorders>
            <w:shd w:val="clear" w:color="auto" w:fill="auto"/>
            <w:noWrap/>
            <w:vAlign w:val="center"/>
          </w:tcPr>
          <w:p w14:paraId="628D6271" w14:textId="77777777" w:rsidR="00412D34" w:rsidRPr="00F27A03" w:rsidRDefault="00412D34" w:rsidP="00A42963">
            <w:pPr>
              <w:spacing w:after="12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„Емисиона техника и везе”</w:t>
            </w:r>
          </w:p>
        </w:tc>
        <w:tc>
          <w:tcPr>
            <w:tcW w:w="996" w:type="dxa"/>
            <w:tcBorders>
              <w:top w:val="nil"/>
              <w:left w:val="nil"/>
              <w:bottom w:val="nil"/>
              <w:right w:val="nil"/>
            </w:tcBorders>
            <w:shd w:val="clear" w:color="auto" w:fill="auto"/>
            <w:noWrap/>
            <w:vAlign w:val="center"/>
          </w:tcPr>
          <w:p w14:paraId="650684E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0,26</w:t>
            </w:r>
          </w:p>
        </w:tc>
        <w:tc>
          <w:tcPr>
            <w:tcW w:w="895" w:type="dxa"/>
            <w:tcBorders>
              <w:top w:val="nil"/>
              <w:left w:val="nil"/>
              <w:bottom w:val="nil"/>
              <w:right w:val="nil"/>
            </w:tcBorders>
            <w:shd w:val="clear" w:color="auto" w:fill="auto"/>
            <w:noWrap/>
            <w:vAlign w:val="center"/>
          </w:tcPr>
          <w:p w14:paraId="46259BC9"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0,01</w:t>
            </w:r>
          </w:p>
        </w:tc>
        <w:tc>
          <w:tcPr>
            <w:tcW w:w="946" w:type="dxa"/>
            <w:tcBorders>
              <w:top w:val="nil"/>
              <w:left w:val="nil"/>
              <w:bottom w:val="nil"/>
              <w:right w:val="nil"/>
            </w:tcBorders>
            <w:shd w:val="clear" w:color="auto" w:fill="auto"/>
            <w:noWrap/>
            <w:vAlign w:val="center"/>
          </w:tcPr>
          <w:p w14:paraId="2BD6504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0,27</w:t>
            </w:r>
          </w:p>
        </w:tc>
        <w:tc>
          <w:tcPr>
            <w:tcW w:w="994" w:type="dxa"/>
            <w:tcBorders>
              <w:top w:val="nil"/>
              <w:left w:val="nil"/>
              <w:bottom w:val="nil"/>
              <w:right w:val="nil"/>
            </w:tcBorders>
            <w:shd w:val="clear" w:color="auto" w:fill="auto"/>
            <w:noWrap/>
            <w:vAlign w:val="center"/>
          </w:tcPr>
          <w:p w14:paraId="57D1861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0,13</w:t>
            </w:r>
          </w:p>
        </w:tc>
        <w:tc>
          <w:tcPr>
            <w:tcW w:w="897" w:type="dxa"/>
            <w:tcBorders>
              <w:top w:val="nil"/>
              <w:left w:val="nil"/>
              <w:bottom w:val="nil"/>
              <w:right w:val="nil"/>
            </w:tcBorders>
            <w:shd w:val="clear" w:color="auto" w:fill="auto"/>
            <w:noWrap/>
            <w:vAlign w:val="center"/>
          </w:tcPr>
          <w:p w14:paraId="1C12B85D"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0,00</w:t>
            </w:r>
          </w:p>
        </w:tc>
        <w:tc>
          <w:tcPr>
            <w:tcW w:w="946" w:type="dxa"/>
            <w:tcBorders>
              <w:top w:val="nil"/>
              <w:left w:val="nil"/>
              <w:bottom w:val="nil"/>
              <w:right w:val="nil"/>
            </w:tcBorders>
            <w:shd w:val="clear" w:color="auto" w:fill="auto"/>
            <w:noWrap/>
            <w:vAlign w:val="center"/>
          </w:tcPr>
          <w:p w14:paraId="1537999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0,13</w:t>
            </w:r>
          </w:p>
        </w:tc>
      </w:tr>
      <w:tr w:rsidR="00412D34" w:rsidRPr="00F27A03" w14:paraId="5F43A8CD" w14:textId="77777777" w:rsidTr="00A42963">
        <w:trPr>
          <w:trHeight w:hRule="exact" w:val="227"/>
        </w:trPr>
        <w:tc>
          <w:tcPr>
            <w:tcW w:w="3682" w:type="dxa"/>
            <w:tcBorders>
              <w:top w:val="nil"/>
              <w:left w:val="nil"/>
              <w:bottom w:val="nil"/>
              <w:right w:val="nil"/>
            </w:tcBorders>
            <w:shd w:val="clear" w:color="auto" w:fill="auto"/>
            <w:noWrap/>
            <w:vAlign w:val="center"/>
          </w:tcPr>
          <w:p w14:paraId="2FC75133" w14:textId="77777777" w:rsidR="00412D34" w:rsidRPr="00F27A03" w:rsidRDefault="00412D34" w:rsidP="00A42963">
            <w:pPr>
              <w:spacing w:after="12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„Путеви Србије”</w:t>
            </w:r>
          </w:p>
        </w:tc>
        <w:tc>
          <w:tcPr>
            <w:tcW w:w="996" w:type="dxa"/>
            <w:tcBorders>
              <w:top w:val="nil"/>
              <w:left w:val="nil"/>
              <w:bottom w:val="nil"/>
              <w:right w:val="nil"/>
            </w:tcBorders>
            <w:shd w:val="clear" w:color="auto" w:fill="auto"/>
            <w:noWrap/>
            <w:vAlign w:val="center"/>
          </w:tcPr>
          <w:p w14:paraId="0C82DE0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3,61</w:t>
            </w:r>
          </w:p>
        </w:tc>
        <w:tc>
          <w:tcPr>
            <w:tcW w:w="895" w:type="dxa"/>
            <w:tcBorders>
              <w:top w:val="nil"/>
              <w:left w:val="nil"/>
              <w:bottom w:val="nil"/>
              <w:right w:val="nil"/>
            </w:tcBorders>
            <w:shd w:val="clear" w:color="auto" w:fill="auto"/>
            <w:noWrap/>
            <w:vAlign w:val="center"/>
          </w:tcPr>
          <w:p w14:paraId="138C9DD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1,13</w:t>
            </w:r>
          </w:p>
        </w:tc>
        <w:tc>
          <w:tcPr>
            <w:tcW w:w="946" w:type="dxa"/>
            <w:tcBorders>
              <w:top w:val="nil"/>
              <w:left w:val="nil"/>
              <w:bottom w:val="nil"/>
              <w:right w:val="nil"/>
            </w:tcBorders>
            <w:shd w:val="clear" w:color="auto" w:fill="auto"/>
            <w:noWrap/>
            <w:vAlign w:val="center"/>
          </w:tcPr>
          <w:p w14:paraId="14901F25"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4,74</w:t>
            </w:r>
          </w:p>
        </w:tc>
        <w:tc>
          <w:tcPr>
            <w:tcW w:w="994" w:type="dxa"/>
            <w:tcBorders>
              <w:top w:val="nil"/>
              <w:left w:val="nil"/>
              <w:bottom w:val="nil"/>
              <w:right w:val="nil"/>
            </w:tcBorders>
            <w:shd w:val="clear" w:color="auto" w:fill="auto"/>
            <w:noWrap/>
            <w:vAlign w:val="center"/>
          </w:tcPr>
          <w:p w14:paraId="78078057"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3,49</w:t>
            </w:r>
          </w:p>
        </w:tc>
        <w:tc>
          <w:tcPr>
            <w:tcW w:w="897" w:type="dxa"/>
            <w:tcBorders>
              <w:top w:val="nil"/>
              <w:left w:val="nil"/>
              <w:bottom w:val="nil"/>
              <w:right w:val="nil"/>
            </w:tcBorders>
            <w:shd w:val="clear" w:color="auto" w:fill="auto"/>
            <w:noWrap/>
            <w:vAlign w:val="center"/>
          </w:tcPr>
          <w:p w14:paraId="52D388C2"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1,00</w:t>
            </w:r>
          </w:p>
        </w:tc>
        <w:tc>
          <w:tcPr>
            <w:tcW w:w="946" w:type="dxa"/>
            <w:tcBorders>
              <w:top w:val="nil"/>
              <w:left w:val="nil"/>
              <w:bottom w:val="nil"/>
              <w:right w:val="nil"/>
            </w:tcBorders>
            <w:shd w:val="clear" w:color="auto" w:fill="auto"/>
            <w:noWrap/>
            <w:vAlign w:val="center"/>
          </w:tcPr>
          <w:p w14:paraId="18325DC2"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4,49</w:t>
            </w:r>
          </w:p>
        </w:tc>
      </w:tr>
      <w:tr w:rsidR="00412D34" w:rsidRPr="00F27A03" w14:paraId="6C2B3C33" w14:textId="77777777" w:rsidTr="00A42963">
        <w:trPr>
          <w:trHeight w:hRule="exact" w:val="227"/>
        </w:trPr>
        <w:tc>
          <w:tcPr>
            <w:tcW w:w="3682" w:type="dxa"/>
            <w:tcBorders>
              <w:top w:val="nil"/>
              <w:left w:val="nil"/>
              <w:bottom w:val="single" w:sz="8" w:space="0" w:color="002060"/>
              <w:right w:val="nil"/>
            </w:tcBorders>
            <w:shd w:val="clear" w:color="auto" w:fill="auto"/>
            <w:noWrap/>
            <w:vAlign w:val="center"/>
          </w:tcPr>
          <w:p w14:paraId="41AFABB2" w14:textId="77777777" w:rsidR="00412D34" w:rsidRPr="00F27A03" w:rsidRDefault="00412D34" w:rsidP="00A42963">
            <w:pPr>
              <w:spacing w:after="120" w:line="240" w:lineRule="auto"/>
              <w:jc w:val="lef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ЈП „Србијагас”</w:t>
            </w:r>
          </w:p>
        </w:tc>
        <w:tc>
          <w:tcPr>
            <w:tcW w:w="996" w:type="dxa"/>
            <w:tcBorders>
              <w:top w:val="nil"/>
              <w:left w:val="nil"/>
              <w:bottom w:val="single" w:sz="8" w:space="0" w:color="002060"/>
              <w:right w:val="nil"/>
            </w:tcBorders>
            <w:shd w:val="clear" w:color="auto" w:fill="auto"/>
            <w:noWrap/>
            <w:vAlign w:val="center"/>
          </w:tcPr>
          <w:p w14:paraId="0B5AA2B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1,13</w:t>
            </w:r>
          </w:p>
        </w:tc>
        <w:tc>
          <w:tcPr>
            <w:tcW w:w="895" w:type="dxa"/>
            <w:tcBorders>
              <w:top w:val="nil"/>
              <w:left w:val="nil"/>
              <w:bottom w:val="single" w:sz="8" w:space="0" w:color="002060"/>
              <w:right w:val="nil"/>
            </w:tcBorders>
            <w:shd w:val="clear" w:color="auto" w:fill="auto"/>
            <w:noWrap/>
            <w:vAlign w:val="center"/>
          </w:tcPr>
          <w:p w14:paraId="2F21BC52"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0,02</w:t>
            </w:r>
          </w:p>
        </w:tc>
        <w:tc>
          <w:tcPr>
            <w:tcW w:w="946" w:type="dxa"/>
            <w:tcBorders>
              <w:top w:val="nil"/>
              <w:left w:val="nil"/>
              <w:bottom w:val="single" w:sz="8" w:space="0" w:color="002060"/>
              <w:right w:val="nil"/>
            </w:tcBorders>
            <w:shd w:val="clear" w:color="auto" w:fill="auto"/>
            <w:noWrap/>
            <w:vAlign w:val="center"/>
          </w:tcPr>
          <w:p w14:paraId="3C426E34"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1,15</w:t>
            </w:r>
          </w:p>
        </w:tc>
        <w:tc>
          <w:tcPr>
            <w:tcW w:w="994" w:type="dxa"/>
            <w:tcBorders>
              <w:top w:val="nil"/>
              <w:left w:val="nil"/>
              <w:bottom w:val="single" w:sz="8" w:space="0" w:color="002060"/>
              <w:right w:val="nil"/>
            </w:tcBorders>
            <w:shd w:val="clear" w:color="auto" w:fill="auto"/>
            <w:noWrap/>
            <w:vAlign w:val="center"/>
          </w:tcPr>
          <w:p w14:paraId="5B8AA79E"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3,64</w:t>
            </w:r>
          </w:p>
        </w:tc>
        <w:tc>
          <w:tcPr>
            <w:tcW w:w="897" w:type="dxa"/>
            <w:tcBorders>
              <w:top w:val="nil"/>
              <w:left w:val="nil"/>
              <w:bottom w:val="single" w:sz="8" w:space="0" w:color="002060"/>
              <w:right w:val="nil"/>
            </w:tcBorders>
            <w:shd w:val="clear" w:color="auto" w:fill="auto"/>
            <w:noWrap/>
            <w:vAlign w:val="center"/>
          </w:tcPr>
          <w:p w14:paraId="714D335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0,14</w:t>
            </w:r>
          </w:p>
        </w:tc>
        <w:tc>
          <w:tcPr>
            <w:tcW w:w="946" w:type="dxa"/>
            <w:tcBorders>
              <w:top w:val="nil"/>
              <w:left w:val="nil"/>
              <w:bottom w:val="single" w:sz="8" w:space="0" w:color="002060"/>
              <w:right w:val="nil"/>
            </w:tcBorders>
            <w:shd w:val="clear" w:color="auto" w:fill="auto"/>
            <w:noWrap/>
            <w:vAlign w:val="center"/>
          </w:tcPr>
          <w:p w14:paraId="39B83DE5"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3,78</w:t>
            </w:r>
          </w:p>
        </w:tc>
      </w:tr>
      <w:tr w:rsidR="00412D34" w:rsidRPr="00F27A03" w14:paraId="6F93E9BE" w14:textId="77777777" w:rsidTr="00A42963">
        <w:trPr>
          <w:trHeight w:hRule="exact" w:val="227"/>
        </w:trPr>
        <w:tc>
          <w:tcPr>
            <w:tcW w:w="3682" w:type="dxa"/>
            <w:tcBorders>
              <w:top w:val="single" w:sz="8" w:space="0" w:color="002060"/>
              <w:left w:val="nil"/>
              <w:bottom w:val="single" w:sz="8" w:space="0" w:color="002060"/>
              <w:right w:val="nil"/>
            </w:tcBorders>
            <w:shd w:val="clear" w:color="auto" w:fill="auto"/>
            <w:noWrap/>
            <w:vAlign w:val="center"/>
            <w:hideMark/>
          </w:tcPr>
          <w:p w14:paraId="51B171B4" w14:textId="77777777" w:rsidR="00412D34" w:rsidRPr="00F27A03" w:rsidRDefault="00412D34" w:rsidP="00A42963">
            <w:pPr>
              <w:spacing w:after="120" w:line="240" w:lineRule="auto"/>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УКУПНО</w:t>
            </w:r>
          </w:p>
        </w:tc>
        <w:tc>
          <w:tcPr>
            <w:tcW w:w="996" w:type="dxa"/>
            <w:tcBorders>
              <w:top w:val="single" w:sz="8" w:space="0" w:color="002060"/>
              <w:left w:val="nil"/>
              <w:bottom w:val="single" w:sz="8" w:space="0" w:color="002060"/>
              <w:right w:val="nil"/>
            </w:tcBorders>
            <w:shd w:val="clear" w:color="auto" w:fill="auto"/>
            <w:noWrap/>
            <w:vAlign w:val="center"/>
            <w:hideMark/>
          </w:tcPr>
          <w:p w14:paraId="1F63E5ED"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11,3</w:t>
            </w:r>
          </w:p>
        </w:tc>
        <w:tc>
          <w:tcPr>
            <w:tcW w:w="895" w:type="dxa"/>
            <w:tcBorders>
              <w:top w:val="single" w:sz="8" w:space="0" w:color="002060"/>
              <w:left w:val="nil"/>
              <w:bottom w:val="single" w:sz="8" w:space="0" w:color="002060"/>
              <w:right w:val="nil"/>
            </w:tcBorders>
            <w:shd w:val="clear" w:color="auto" w:fill="auto"/>
            <w:noWrap/>
            <w:vAlign w:val="center"/>
            <w:hideMark/>
          </w:tcPr>
          <w:p w14:paraId="56787F47"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1,7</w:t>
            </w:r>
          </w:p>
        </w:tc>
        <w:tc>
          <w:tcPr>
            <w:tcW w:w="946" w:type="dxa"/>
            <w:tcBorders>
              <w:top w:val="single" w:sz="8" w:space="0" w:color="002060"/>
              <w:left w:val="nil"/>
              <w:bottom w:val="single" w:sz="8" w:space="0" w:color="002060"/>
              <w:right w:val="nil"/>
            </w:tcBorders>
            <w:shd w:val="clear" w:color="auto" w:fill="auto"/>
            <w:noWrap/>
            <w:vAlign w:val="center"/>
            <w:hideMark/>
          </w:tcPr>
          <w:p w14:paraId="67B799E3"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12,9</w:t>
            </w:r>
          </w:p>
        </w:tc>
        <w:tc>
          <w:tcPr>
            <w:tcW w:w="994" w:type="dxa"/>
            <w:tcBorders>
              <w:top w:val="single" w:sz="8" w:space="0" w:color="002060"/>
              <w:left w:val="nil"/>
              <w:bottom w:val="single" w:sz="8" w:space="0" w:color="002060"/>
              <w:right w:val="nil"/>
            </w:tcBorders>
            <w:shd w:val="clear" w:color="auto" w:fill="auto"/>
            <w:noWrap/>
          </w:tcPr>
          <w:p w14:paraId="0997842B"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15,0</w:t>
            </w:r>
          </w:p>
        </w:tc>
        <w:tc>
          <w:tcPr>
            <w:tcW w:w="897" w:type="dxa"/>
            <w:tcBorders>
              <w:top w:val="single" w:sz="8" w:space="0" w:color="002060"/>
              <w:left w:val="nil"/>
              <w:bottom w:val="single" w:sz="8" w:space="0" w:color="002060"/>
              <w:right w:val="nil"/>
            </w:tcBorders>
            <w:shd w:val="clear" w:color="auto" w:fill="auto"/>
            <w:noWrap/>
          </w:tcPr>
          <w:p w14:paraId="14B60BEA"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1,6</w:t>
            </w:r>
          </w:p>
        </w:tc>
        <w:tc>
          <w:tcPr>
            <w:tcW w:w="946" w:type="dxa"/>
            <w:tcBorders>
              <w:top w:val="single" w:sz="8" w:space="0" w:color="002060"/>
              <w:left w:val="nil"/>
              <w:bottom w:val="single" w:sz="8" w:space="0" w:color="002060"/>
              <w:right w:val="nil"/>
            </w:tcBorders>
            <w:shd w:val="clear" w:color="auto" w:fill="auto"/>
            <w:noWrap/>
          </w:tcPr>
          <w:p w14:paraId="26F3BC84"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16,2</w:t>
            </w:r>
          </w:p>
        </w:tc>
      </w:tr>
    </w:tbl>
    <w:p w14:paraId="187B1D67" w14:textId="77777777" w:rsidR="00412D34" w:rsidRPr="00F27A03" w:rsidRDefault="00412D34" w:rsidP="00A42963">
      <w:pPr>
        <w:spacing w:after="240" w:line="276" w:lineRule="auto"/>
        <w:rPr>
          <w:rFonts w:eastAsia="MS PGothic" w:cstheme="minorHAnsi"/>
          <w:sz w:val="18"/>
          <w:szCs w:val="18"/>
          <w:lang w:val="sr-Cyrl-CS" w:eastAsia="ja-JP"/>
        </w:rPr>
      </w:pPr>
      <w:r w:rsidRPr="00F27A03">
        <w:rPr>
          <w:rFonts w:eastAsia="MS PGothic" w:cstheme="minorHAnsi"/>
          <w:sz w:val="18"/>
          <w:szCs w:val="18"/>
          <w:lang w:val="sr-Cyrl-CS" w:eastAsia="ja-JP"/>
        </w:rPr>
        <w:t>Извор: Министарство финансија, Управа за јавни дуг</w:t>
      </w:r>
    </w:p>
    <w:p w14:paraId="4623CA2A" w14:textId="77777777" w:rsidR="00412D34" w:rsidRPr="00F27A03" w:rsidRDefault="00412D34" w:rsidP="00A42963">
      <w:pPr>
        <w:spacing w:after="120" w:line="257" w:lineRule="auto"/>
        <w:rPr>
          <w:rFonts w:eastAsia="MS PGothic" w:cstheme="minorHAnsi"/>
          <w:szCs w:val="20"/>
          <w:lang w:val="sr-Cyrl-CS" w:eastAsia="ja-JP"/>
        </w:rPr>
        <w:sectPr w:rsidR="00412D34" w:rsidRPr="00F27A03" w:rsidSect="00A42963">
          <w:type w:val="continuous"/>
          <w:pgSz w:w="12240" w:h="15840"/>
          <w:pgMar w:top="1440" w:right="1440" w:bottom="1440" w:left="1440" w:header="720" w:footer="720" w:gutter="0"/>
          <w:cols w:space="720"/>
          <w:docGrid w:linePitch="360"/>
          <w15:footnoteColumns w:val="1"/>
        </w:sectPr>
      </w:pPr>
    </w:p>
    <w:p w14:paraId="660F8D9D" w14:textId="77777777" w:rsidR="00412D34" w:rsidRPr="00F27A03" w:rsidRDefault="00412D34" w:rsidP="00A42963">
      <w:pPr>
        <w:spacing w:after="120" w:line="257" w:lineRule="auto"/>
        <w:rPr>
          <w:rFonts w:eastAsia="MS PGothic" w:cstheme="minorHAnsi"/>
          <w:szCs w:val="20"/>
          <w:lang w:val="sr-Cyrl-CS" w:eastAsia="ja-JP"/>
        </w:rPr>
      </w:pPr>
      <w:r w:rsidRPr="00F27A03">
        <w:rPr>
          <w:rFonts w:eastAsia="MS PGothic" w:cstheme="minorHAnsi"/>
          <w:szCs w:val="20"/>
          <w:lang w:val="sr-Cyrl-CS" w:eastAsia="ja-JP"/>
        </w:rPr>
        <w:t>План отплате по основу гаранција (укупно главница и камата) у ребалансу буџета Републике Србије за 2022. годину износи 24 млрд динара, од чега се у расходе који утичу на резултат укључује 18,2 млрд динара за отплату главнице по гаранцијама.</w:t>
      </w:r>
    </w:p>
    <w:p w14:paraId="7DB8B080" w14:textId="77777777" w:rsidR="00412D34" w:rsidRPr="00F27A03" w:rsidRDefault="00412D34" w:rsidP="00A42963">
      <w:pPr>
        <w:spacing w:after="120" w:line="257" w:lineRule="auto"/>
        <w:rPr>
          <w:rFonts w:eastAsia="MS PGothic" w:cstheme="minorHAnsi"/>
          <w:szCs w:val="20"/>
          <w:lang w:val="sr-Cyrl-CS" w:eastAsia="ja-JP"/>
        </w:rPr>
      </w:pPr>
      <w:r w:rsidRPr="00F27A03">
        <w:rPr>
          <w:rFonts w:eastAsia="MS PGothic" w:cstheme="minorHAnsi"/>
          <w:szCs w:val="20"/>
          <w:lang w:val="sr-Cyrl-CS" w:eastAsia="ja-JP"/>
        </w:rPr>
        <w:t xml:space="preserve">Индиректни дуг, те укључивање дела отплата по основу гаранција у буџетске расходе, и повећање дефицита по том основу, повећали су свест о растућим фискалним ризицима који произилазе по основу издатих гаранција. Стога су предузете </w:t>
      </w:r>
      <w:r w:rsidRPr="00F27A03">
        <w:rPr>
          <w:rFonts w:eastAsia="MS PGothic" w:cstheme="minorHAnsi"/>
          <w:szCs w:val="20"/>
          <w:lang w:val="sr-Cyrl-CS" w:eastAsia="ja-JP"/>
        </w:rPr>
        <w:t>активности које ограничавају издавање нових гаранција. Изменама Закона о јавном дугу забрањено је издавање нових гаранција за кредите за потребе ликвидности. Изменама Закона о Фонду за развој Републике Србије онемогућено је даље давање контрагаранција за гаранције издате од стране Фонда за развој Републике Србије.</w:t>
      </w:r>
    </w:p>
    <w:p w14:paraId="315810FE" w14:textId="77777777" w:rsidR="00412D34" w:rsidRPr="00F27A03" w:rsidRDefault="00412D34" w:rsidP="00A42963">
      <w:pPr>
        <w:spacing w:after="120" w:line="257" w:lineRule="auto"/>
        <w:rPr>
          <w:rFonts w:eastAsia="MS PGothic" w:cstheme="minorHAnsi"/>
          <w:szCs w:val="20"/>
          <w:lang w:val="sr-Cyrl-CS" w:eastAsia="ja-JP"/>
        </w:rPr>
      </w:pPr>
      <w:r w:rsidRPr="00F27A03">
        <w:rPr>
          <w:rFonts w:eastAsia="MS PGothic" w:cstheme="minorHAnsi"/>
          <w:szCs w:val="20"/>
          <w:lang w:val="sr-Cyrl-CS" w:eastAsia="ja-JP"/>
        </w:rPr>
        <w:t xml:space="preserve">Поред ограничења у издавању државних гаранција кључни корак у смањењу и отклањању фискалних ризика по овом основу је у реформи </w:t>
      </w:r>
      <w:r w:rsidRPr="00F27A03">
        <w:rPr>
          <w:rFonts w:eastAsia="MS PGothic" w:cstheme="minorHAnsi"/>
          <w:szCs w:val="20"/>
          <w:lang w:val="sr-Cyrl-CS" w:eastAsia="ja-JP"/>
        </w:rPr>
        <w:lastRenderedPageBreak/>
        <w:t>државних и јавних предузећа, корисника гаранција, како би били способни да отплаћују своје кредите. Већи број предузећа, која су и највећи корисници гаранција, налазе се у процесу реструктурирања, односно спровођења планова реструктурирања урађених у сарадњи са међународним финансијским институцијама.</w:t>
      </w:r>
    </w:p>
    <w:p w14:paraId="1A90A8BB" w14:textId="77777777" w:rsidR="00412D34" w:rsidRPr="00F27A03" w:rsidRDefault="00412D34" w:rsidP="00A42963">
      <w:pPr>
        <w:spacing w:after="120" w:line="257" w:lineRule="auto"/>
        <w:rPr>
          <w:rFonts w:eastAsia="MS PGothic" w:cstheme="minorHAnsi"/>
          <w:szCs w:val="20"/>
          <w:lang w:val="sr-Cyrl-CS" w:eastAsia="ja-JP"/>
        </w:rPr>
      </w:pPr>
      <w:r w:rsidRPr="00F27A03">
        <w:rPr>
          <w:rFonts w:eastAsia="MS PGothic" w:cstheme="minorHAnsi"/>
          <w:szCs w:val="20"/>
          <w:lang w:val="sr-Cyrl-CS" w:eastAsia="ja-JP"/>
        </w:rPr>
        <w:t>Ребалансом буџета Републике Србије за 2022. годину планирано је издавање гаранција највише до 143,1 млрд динара и то за кредите намењене реализацији инфраструктурних пројеката.</w:t>
      </w:r>
    </w:p>
    <w:p w14:paraId="3AA5DA36" w14:textId="77777777" w:rsidR="00412D34" w:rsidRPr="00F27A03" w:rsidRDefault="00412D34" w:rsidP="00A42963">
      <w:pPr>
        <w:spacing w:after="120" w:line="257" w:lineRule="auto"/>
        <w:rPr>
          <w:rFonts w:eastAsia="MS PGothic" w:cstheme="minorHAnsi"/>
          <w:szCs w:val="20"/>
          <w:lang w:val="sr-Cyrl-CS" w:eastAsia="ja-JP"/>
        </w:rPr>
      </w:pPr>
    </w:p>
    <w:p w14:paraId="07B12003" w14:textId="77777777" w:rsidR="00412D34" w:rsidRPr="00F27A03" w:rsidRDefault="00412D34" w:rsidP="00A42963">
      <w:pPr>
        <w:spacing w:after="120" w:line="257" w:lineRule="auto"/>
        <w:rPr>
          <w:rFonts w:eastAsia="MS PGothic" w:cstheme="minorHAnsi"/>
          <w:szCs w:val="20"/>
          <w:lang w:val="sr-Cyrl-CS" w:eastAsia="ja-JP"/>
        </w:rPr>
      </w:pPr>
    </w:p>
    <w:p w14:paraId="3125D720" w14:textId="77777777" w:rsidR="00412D34" w:rsidRPr="00F27A03" w:rsidRDefault="00412D34" w:rsidP="00A42963">
      <w:pPr>
        <w:spacing w:after="120" w:line="257" w:lineRule="auto"/>
        <w:rPr>
          <w:rFonts w:eastAsia="MS PGothic" w:cstheme="minorHAnsi"/>
          <w:szCs w:val="20"/>
          <w:lang w:val="sr-Cyrl-CS" w:eastAsia="ja-JP"/>
        </w:rPr>
      </w:pPr>
    </w:p>
    <w:p w14:paraId="13BABDC5" w14:textId="77777777" w:rsidR="00412D34" w:rsidRPr="00F27A03" w:rsidRDefault="00412D34" w:rsidP="00A42963">
      <w:pPr>
        <w:rPr>
          <w:lang w:val="sr-Cyrl-CS" w:eastAsia="ja-JP"/>
        </w:rPr>
        <w:sectPr w:rsidR="00412D34" w:rsidRPr="00F27A03" w:rsidSect="00A42963">
          <w:type w:val="continuous"/>
          <w:pgSz w:w="12240" w:h="15840"/>
          <w:pgMar w:top="1440" w:right="1440" w:bottom="1440" w:left="1440" w:header="720" w:footer="720" w:gutter="0"/>
          <w:cols w:num="2" w:space="720"/>
          <w:docGrid w:linePitch="360"/>
          <w15:footnoteColumns w:val="1"/>
        </w:sectPr>
      </w:pPr>
    </w:p>
    <w:p w14:paraId="7E0EEB8E" w14:textId="689F0AFA" w:rsidR="00412D34" w:rsidRPr="00F27A03" w:rsidRDefault="00412D34" w:rsidP="00A42963">
      <w:pPr>
        <w:spacing w:after="60" w:line="276" w:lineRule="auto"/>
        <w:jc w:val="center"/>
        <w:rPr>
          <w:rFonts w:eastAsia="MS PGothic" w:cstheme="minorHAnsi"/>
          <w:b/>
          <w:color w:val="002060"/>
          <w:szCs w:val="20"/>
          <w:lang w:val="sr-Cyrl-CS" w:eastAsia="ja-JP"/>
        </w:rPr>
      </w:pPr>
      <w:r w:rsidRPr="00F27A03">
        <w:rPr>
          <w:rFonts w:eastAsia="MS PGothic" w:cstheme="minorHAnsi"/>
          <w:b/>
          <w:color w:val="002060"/>
          <w:szCs w:val="20"/>
          <w:lang w:val="sr-Cyrl-CS" w:eastAsia="ja-JP"/>
        </w:rPr>
        <w:t>Табела 1</w:t>
      </w:r>
      <w:r w:rsidR="00EB3946" w:rsidRPr="00F27A03">
        <w:rPr>
          <w:rFonts w:eastAsia="MS PGothic" w:cstheme="minorHAnsi"/>
          <w:b/>
          <w:color w:val="002060"/>
          <w:szCs w:val="20"/>
          <w:lang w:val="sr-Cyrl-CS" w:eastAsia="ja-JP"/>
        </w:rPr>
        <w:t>4</w:t>
      </w:r>
      <w:r w:rsidRPr="00F27A03">
        <w:rPr>
          <w:rFonts w:eastAsia="MS PGothic" w:cstheme="minorHAnsi"/>
          <w:b/>
          <w:color w:val="002060"/>
          <w:szCs w:val="20"/>
          <w:lang w:val="sr-Cyrl-CS" w:eastAsia="ja-JP"/>
        </w:rPr>
        <w:t>. План издавања гаранција у 2022. години</w:t>
      </w:r>
    </w:p>
    <w:tbl>
      <w:tblPr>
        <w:tblW w:w="9288" w:type="dxa"/>
        <w:tblLook w:val="04A0" w:firstRow="1" w:lastRow="0" w:firstColumn="1" w:lastColumn="0" w:noHBand="0" w:noVBand="1"/>
      </w:tblPr>
      <w:tblGrid>
        <w:gridCol w:w="665"/>
        <w:gridCol w:w="4117"/>
        <w:gridCol w:w="1502"/>
        <w:gridCol w:w="1502"/>
        <w:gridCol w:w="1502"/>
      </w:tblGrid>
      <w:tr w:rsidR="00412D34" w:rsidRPr="00F27A03" w14:paraId="5C93364E" w14:textId="77777777" w:rsidTr="00A42963">
        <w:trPr>
          <w:trHeight w:val="585"/>
          <w:tblHeader/>
        </w:trPr>
        <w:tc>
          <w:tcPr>
            <w:tcW w:w="665" w:type="dxa"/>
            <w:tcBorders>
              <w:top w:val="single" w:sz="8" w:space="0" w:color="002060"/>
              <w:left w:val="nil"/>
              <w:bottom w:val="single" w:sz="8" w:space="0" w:color="002060"/>
              <w:right w:val="nil"/>
            </w:tcBorders>
            <w:shd w:val="clear" w:color="auto" w:fill="auto"/>
            <w:vAlign w:val="center"/>
            <w:hideMark/>
          </w:tcPr>
          <w:p w14:paraId="1D6FA13F"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Ред. број</w:t>
            </w:r>
          </w:p>
        </w:tc>
        <w:tc>
          <w:tcPr>
            <w:tcW w:w="4117" w:type="dxa"/>
            <w:tcBorders>
              <w:top w:val="single" w:sz="8" w:space="0" w:color="002060"/>
              <w:left w:val="nil"/>
              <w:bottom w:val="single" w:sz="8" w:space="0" w:color="002060"/>
              <w:right w:val="nil"/>
            </w:tcBorders>
            <w:shd w:val="clear" w:color="auto" w:fill="auto"/>
            <w:vAlign w:val="center"/>
            <w:hideMark/>
          </w:tcPr>
          <w:p w14:paraId="5E89AEB3"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 </w:t>
            </w:r>
          </w:p>
        </w:tc>
        <w:tc>
          <w:tcPr>
            <w:tcW w:w="1502" w:type="dxa"/>
            <w:tcBorders>
              <w:top w:val="single" w:sz="8" w:space="0" w:color="002060"/>
              <w:left w:val="nil"/>
              <w:bottom w:val="single" w:sz="8" w:space="0" w:color="002060"/>
              <w:right w:val="nil"/>
            </w:tcBorders>
            <w:shd w:val="clear" w:color="auto" w:fill="auto"/>
            <w:vAlign w:val="center"/>
            <w:hideMark/>
          </w:tcPr>
          <w:p w14:paraId="62FFE76F"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Износ у динарима</w:t>
            </w:r>
          </w:p>
        </w:tc>
        <w:tc>
          <w:tcPr>
            <w:tcW w:w="1502" w:type="dxa"/>
            <w:tcBorders>
              <w:top w:val="single" w:sz="8" w:space="0" w:color="002060"/>
              <w:left w:val="nil"/>
              <w:bottom w:val="single" w:sz="8" w:space="0" w:color="002060"/>
              <w:right w:val="nil"/>
            </w:tcBorders>
            <w:shd w:val="clear" w:color="auto" w:fill="auto"/>
            <w:vAlign w:val="center"/>
            <w:hideMark/>
          </w:tcPr>
          <w:p w14:paraId="0E5E886F"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Оригинална валута</w:t>
            </w:r>
          </w:p>
        </w:tc>
        <w:tc>
          <w:tcPr>
            <w:tcW w:w="1502" w:type="dxa"/>
            <w:tcBorders>
              <w:top w:val="single" w:sz="8" w:space="0" w:color="002060"/>
              <w:left w:val="nil"/>
              <w:bottom w:val="single" w:sz="8" w:space="0" w:color="002060"/>
              <w:right w:val="nil"/>
            </w:tcBorders>
            <w:shd w:val="clear" w:color="auto" w:fill="auto"/>
            <w:vAlign w:val="center"/>
            <w:hideMark/>
          </w:tcPr>
          <w:p w14:paraId="5BA4CE82"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Износ у оригиналној валути</w:t>
            </w:r>
          </w:p>
        </w:tc>
      </w:tr>
      <w:tr w:rsidR="00412D34" w:rsidRPr="00F27A03" w14:paraId="532DA413" w14:textId="77777777" w:rsidTr="00A42963">
        <w:trPr>
          <w:trHeight w:val="302"/>
        </w:trPr>
        <w:tc>
          <w:tcPr>
            <w:tcW w:w="665" w:type="dxa"/>
            <w:tcBorders>
              <w:top w:val="nil"/>
              <w:left w:val="nil"/>
              <w:bottom w:val="nil"/>
              <w:right w:val="nil"/>
            </w:tcBorders>
            <w:shd w:val="clear" w:color="000000" w:fill="E7E6E6"/>
            <w:vAlign w:val="center"/>
            <w:hideMark/>
          </w:tcPr>
          <w:p w14:paraId="16972974"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I.</w:t>
            </w:r>
          </w:p>
        </w:tc>
        <w:tc>
          <w:tcPr>
            <w:tcW w:w="4117" w:type="dxa"/>
            <w:tcBorders>
              <w:top w:val="nil"/>
              <w:left w:val="nil"/>
              <w:bottom w:val="nil"/>
              <w:right w:val="nil"/>
            </w:tcBorders>
            <w:shd w:val="clear" w:color="000000" w:fill="E7E6E6"/>
            <w:hideMark/>
          </w:tcPr>
          <w:p w14:paraId="401DF5D2"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Европској банци за обнову и развој</w:t>
            </w:r>
          </w:p>
        </w:tc>
        <w:tc>
          <w:tcPr>
            <w:tcW w:w="1502" w:type="dxa"/>
            <w:tcBorders>
              <w:top w:val="nil"/>
              <w:left w:val="nil"/>
              <w:bottom w:val="nil"/>
              <w:right w:val="nil"/>
            </w:tcBorders>
            <w:shd w:val="clear" w:color="000000" w:fill="E7E6E6"/>
            <w:hideMark/>
          </w:tcPr>
          <w:p w14:paraId="586C5959" w14:textId="7777777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hideMark/>
          </w:tcPr>
          <w:p w14:paraId="4FAC7FED" w14:textId="7777777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hideMark/>
          </w:tcPr>
          <w:p w14:paraId="27B483B6" w14:textId="7777777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r>
      <w:tr w:rsidR="00412D34" w:rsidRPr="00F27A03" w14:paraId="10CCCF40" w14:textId="77777777" w:rsidTr="00A42963">
        <w:trPr>
          <w:trHeight w:val="786"/>
        </w:trPr>
        <w:tc>
          <w:tcPr>
            <w:tcW w:w="665" w:type="dxa"/>
            <w:tcBorders>
              <w:top w:val="nil"/>
              <w:left w:val="nil"/>
              <w:bottom w:val="nil"/>
              <w:right w:val="nil"/>
            </w:tcBorders>
            <w:shd w:val="clear" w:color="auto" w:fill="auto"/>
            <w:hideMark/>
          </w:tcPr>
          <w:p w14:paraId="18FC4745"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tcPr>
          <w:p w14:paraId="2146D7CB" w14:textId="4785BF50"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Акционарско друштво за железнички превоз путника </w:t>
            </w:r>
            <w:r w:rsidR="008C08C6" w:rsidRPr="00F27A03">
              <w:rPr>
                <w:rFonts w:ascii="Calibri" w:eastAsia="Times New Roman" w:hAnsi="Calibri" w:cs="Calibri"/>
                <w:color w:val="002060"/>
                <w:sz w:val="18"/>
                <w:szCs w:val="18"/>
                <w:lang w:val="sr-Cyrl-CS" w:eastAsia="en-GB"/>
              </w:rPr>
              <w:t>„</w:t>
            </w:r>
            <w:r w:rsidRPr="00F27A03">
              <w:rPr>
                <w:rFonts w:ascii="Calibri" w:eastAsia="Times New Roman" w:hAnsi="Calibri" w:cs="Calibri"/>
                <w:color w:val="002060"/>
                <w:sz w:val="18"/>
                <w:szCs w:val="18"/>
                <w:lang w:val="sr-Cyrl-CS" w:eastAsia="en-GB"/>
              </w:rPr>
              <w:t>Србија Воз”, Београд - Реконструкција и модернизација регионалних депоа</w:t>
            </w:r>
          </w:p>
        </w:tc>
        <w:tc>
          <w:tcPr>
            <w:tcW w:w="1502" w:type="dxa"/>
            <w:tcBorders>
              <w:top w:val="nil"/>
              <w:left w:val="nil"/>
              <w:bottom w:val="nil"/>
              <w:right w:val="nil"/>
            </w:tcBorders>
            <w:shd w:val="clear" w:color="auto" w:fill="auto"/>
            <w:vAlign w:val="center"/>
            <w:hideMark/>
          </w:tcPr>
          <w:p w14:paraId="35D1434A"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2.937.500.000</w:t>
            </w:r>
          </w:p>
        </w:tc>
        <w:tc>
          <w:tcPr>
            <w:tcW w:w="1502" w:type="dxa"/>
            <w:tcBorders>
              <w:top w:val="nil"/>
              <w:left w:val="nil"/>
              <w:bottom w:val="nil"/>
              <w:right w:val="nil"/>
            </w:tcBorders>
            <w:shd w:val="clear" w:color="auto" w:fill="auto"/>
            <w:vAlign w:val="center"/>
            <w:hideMark/>
          </w:tcPr>
          <w:p w14:paraId="380F3EBB"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ЕUR</w:t>
            </w:r>
          </w:p>
        </w:tc>
        <w:tc>
          <w:tcPr>
            <w:tcW w:w="1502" w:type="dxa"/>
            <w:tcBorders>
              <w:top w:val="nil"/>
              <w:left w:val="nil"/>
              <w:bottom w:val="nil"/>
              <w:right w:val="nil"/>
            </w:tcBorders>
            <w:shd w:val="clear" w:color="auto" w:fill="auto"/>
            <w:vAlign w:val="center"/>
            <w:hideMark/>
          </w:tcPr>
          <w:p w14:paraId="3BE66566"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25.000.000</w:t>
            </w:r>
          </w:p>
        </w:tc>
      </w:tr>
      <w:tr w:rsidR="00412D34" w:rsidRPr="00F27A03" w14:paraId="7EF04007" w14:textId="77777777" w:rsidTr="00A42963">
        <w:trPr>
          <w:trHeight w:val="737"/>
        </w:trPr>
        <w:tc>
          <w:tcPr>
            <w:tcW w:w="665" w:type="dxa"/>
            <w:tcBorders>
              <w:top w:val="nil"/>
              <w:left w:val="nil"/>
              <w:bottom w:val="nil"/>
              <w:right w:val="nil"/>
            </w:tcBorders>
            <w:shd w:val="clear" w:color="auto" w:fill="auto"/>
            <w:hideMark/>
          </w:tcPr>
          <w:p w14:paraId="1C3791E2"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w:t>
            </w:r>
          </w:p>
        </w:tc>
        <w:tc>
          <w:tcPr>
            <w:tcW w:w="4117" w:type="dxa"/>
            <w:tcBorders>
              <w:top w:val="nil"/>
              <w:left w:val="nil"/>
              <w:bottom w:val="nil"/>
              <w:right w:val="nil"/>
            </w:tcBorders>
            <w:shd w:val="clear" w:color="auto" w:fill="auto"/>
            <w:hideMark/>
          </w:tcPr>
          <w:p w14:paraId="1AE45775" w14:textId="3715C16B"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Акционарско друштво за железнички превоз робе </w:t>
            </w:r>
            <w:r w:rsidR="008C08C6" w:rsidRPr="00F27A03">
              <w:rPr>
                <w:rFonts w:ascii="Calibri" w:eastAsia="Times New Roman" w:hAnsi="Calibri" w:cs="Calibri"/>
                <w:color w:val="002060"/>
                <w:sz w:val="18"/>
                <w:szCs w:val="18"/>
                <w:lang w:val="sr-Cyrl-CS" w:eastAsia="en-GB"/>
              </w:rPr>
              <w:t>„</w:t>
            </w:r>
            <w:r w:rsidRPr="00F27A03">
              <w:rPr>
                <w:rFonts w:ascii="Calibri" w:eastAsia="Times New Roman" w:hAnsi="Calibri" w:cs="Calibri"/>
                <w:color w:val="002060"/>
                <w:sz w:val="18"/>
                <w:szCs w:val="18"/>
                <w:lang w:val="sr-Cyrl-CS" w:eastAsia="en-GB"/>
              </w:rPr>
              <w:t>Србија Карго”, Београд - Набавка и реконструкција возних средстава</w:t>
            </w:r>
          </w:p>
        </w:tc>
        <w:tc>
          <w:tcPr>
            <w:tcW w:w="1502" w:type="dxa"/>
            <w:tcBorders>
              <w:top w:val="nil"/>
              <w:left w:val="nil"/>
              <w:bottom w:val="nil"/>
              <w:right w:val="nil"/>
            </w:tcBorders>
            <w:shd w:val="clear" w:color="auto" w:fill="auto"/>
            <w:vAlign w:val="center"/>
            <w:hideMark/>
          </w:tcPr>
          <w:p w14:paraId="44FBDA80"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5.052.500.000</w:t>
            </w:r>
          </w:p>
        </w:tc>
        <w:tc>
          <w:tcPr>
            <w:tcW w:w="1502" w:type="dxa"/>
            <w:tcBorders>
              <w:top w:val="nil"/>
              <w:left w:val="nil"/>
              <w:bottom w:val="nil"/>
              <w:right w:val="nil"/>
            </w:tcBorders>
            <w:shd w:val="clear" w:color="auto" w:fill="auto"/>
            <w:vAlign w:val="center"/>
            <w:hideMark/>
          </w:tcPr>
          <w:p w14:paraId="0CFA46C8"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787A17CE"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43.000.000</w:t>
            </w:r>
          </w:p>
        </w:tc>
      </w:tr>
      <w:tr w:rsidR="00412D34" w:rsidRPr="00F27A03" w14:paraId="2525F9DB" w14:textId="77777777" w:rsidTr="00A42963">
        <w:trPr>
          <w:trHeight w:val="510"/>
        </w:trPr>
        <w:tc>
          <w:tcPr>
            <w:tcW w:w="665" w:type="dxa"/>
            <w:tcBorders>
              <w:top w:val="nil"/>
              <w:left w:val="nil"/>
              <w:bottom w:val="nil"/>
              <w:right w:val="nil"/>
            </w:tcBorders>
            <w:shd w:val="clear" w:color="auto" w:fill="auto"/>
            <w:hideMark/>
          </w:tcPr>
          <w:p w14:paraId="61D55908"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w:t>
            </w:r>
          </w:p>
        </w:tc>
        <w:tc>
          <w:tcPr>
            <w:tcW w:w="4117" w:type="dxa"/>
            <w:tcBorders>
              <w:top w:val="nil"/>
              <w:left w:val="nil"/>
              <w:bottom w:val="nil"/>
              <w:right w:val="nil"/>
            </w:tcBorders>
            <w:shd w:val="clear" w:color="auto" w:fill="auto"/>
            <w:hideMark/>
          </w:tcPr>
          <w:p w14:paraId="50C577EC" w14:textId="7777777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Eлектродистрибуција Србије д.о.о. Београд - Пројекат за паметна бројила</w:t>
            </w:r>
          </w:p>
        </w:tc>
        <w:tc>
          <w:tcPr>
            <w:tcW w:w="1502" w:type="dxa"/>
            <w:tcBorders>
              <w:top w:val="nil"/>
              <w:left w:val="nil"/>
              <w:bottom w:val="nil"/>
              <w:right w:val="nil"/>
            </w:tcBorders>
            <w:shd w:val="clear" w:color="auto" w:fill="auto"/>
            <w:vAlign w:val="center"/>
            <w:hideMark/>
          </w:tcPr>
          <w:p w14:paraId="429687C7"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4.700.000.000</w:t>
            </w:r>
          </w:p>
        </w:tc>
        <w:tc>
          <w:tcPr>
            <w:tcW w:w="1502" w:type="dxa"/>
            <w:tcBorders>
              <w:top w:val="nil"/>
              <w:left w:val="nil"/>
              <w:bottom w:val="nil"/>
              <w:right w:val="nil"/>
            </w:tcBorders>
            <w:shd w:val="clear" w:color="auto" w:fill="auto"/>
            <w:vAlign w:val="center"/>
            <w:hideMark/>
          </w:tcPr>
          <w:p w14:paraId="23E3BE7A"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730F1859"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40.000.000</w:t>
            </w:r>
          </w:p>
        </w:tc>
      </w:tr>
      <w:tr w:rsidR="00412D34" w:rsidRPr="00F27A03" w14:paraId="078DDBE8" w14:textId="77777777" w:rsidTr="00A42963">
        <w:trPr>
          <w:trHeight w:val="302"/>
        </w:trPr>
        <w:tc>
          <w:tcPr>
            <w:tcW w:w="665" w:type="dxa"/>
            <w:tcBorders>
              <w:top w:val="nil"/>
              <w:left w:val="nil"/>
              <w:bottom w:val="nil"/>
              <w:right w:val="nil"/>
            </w:tcBorders>
            <w:shd w:val="clear" w:color="auto" w:fill="auto"/>
            <w:vAlign w:val="center"/>
            <w:hideMark/>
          </w:tcPr>
          <w:p w14:paraId="3CEF1336" w14:textId="77777777" w:rsidR="00412D34" w:rsidRPr="00F27A03" w:rsidRDefault="00412D34" w:rsidP="00A42963">
            <w:pPr>
              <w:spacing w:after="0" w:line="240" w:lineRule="auto"/>
              <w:jc w:val="center"/>
              <w:rPr>
                <w:rFonts w:ascii="Calibri" w:eastAsia="Times New Roman" w:hAnsi="Calibri" w:cs="Calibri"/>
                <w:color w:val="002060"/>
                <w:szCs w:val="20"/>
                <w:lang w:val="sr-Cyrl-CS" w:eastAsia="en-GB"/>
              </w:rPr>
            </w:pPr>
          </w:p>
        </w:tc>
        <w:tc>
          <w:tcPr>
            <w:tcW w:w="4117" w:type="dxa"/>
            <w:tcBorders>
              <w:top w:val="nil"/>
              <w:left w:val="nil"/>
              <w:bottom w:val="nil"/>
              <w:right w:val="nil"/>
            </w:tcBorders>
            <w:shd w:val="clear" w:color="auto" w:fill="auto"/>
            <w:hideMark/>
          </w:tcPr>
          <w:p w14:paraId="3AC0D17D" w14:textId="77777777" w:rsidR="00412D34" w:rsidRPr="00F27A03" w:rsidRDefault="00412D34" w:rsidP="00A42963">
            <w:pPr>
              <w:spacing w:after="0" w:line="240" w:lineRule="auto"/>
              <w:jc w:val="left"/>
              <w:rPr>
                <w:rFonts w:ascii="Calibri" w:eastAsia="Times New Roman" w:hAnsi="Calibri" w:cs="Calibri"/>
                <w:b/>
                <w:bCs/>
                <w:color w:val="002060"/>
                <w:szCs w:val="20"/>
                <w:lang w:val="sr-Cyrl-CS" w:eastAsia="en-GB"/>
              </w:rPr>
            </w:pPr>
            <w:r w:rsidRPr="00F27A03">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12317E35"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12.690.000.000</w:t>
            </w:r>
          </w:p>
        </w:tc>
        <w:tc>
          <w:tcPr>
            <w:tcW w:w="1502" w:type="dxa"/>
            <w:tcBorders>
              <w:top w:val="nil"/>
              <w:left w:val="nil"/>
              <w:bottom w:val="nil"/>
              <w:right w:val="nil"/>
            </w:tcBorders>
            <w:shd w:val="clear" w:color="auto" w:fill="auto"/>
            <w:vAlign w:val="center"/>
            <w:hideMark/>
          </w:tcPr>
          <w:p w14:paraId="0FC369E9"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56C2BB07"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108.000.000</w:t>
            </w:r>
          </w:p>
        </w:tc>
      </w:tr>
      <w:tr w:rsidR="00412D34" w:rsidRPr="00F27A03" w14:paraId="6E03CC40" w14:textId="77777777" w:rsidTr="00A42963">
        <w:trPr>
          <w:trHeight w:val="302"/>
        </w:trPr>
        <w:tc>
          <w:tcPr>
            <w:tcW w:w="665" w:type="dxa"/>
            <w:tcBorders>
              <w:top w:val="nil"/>
              <w:left w:val="nil"/>
              <w:bottom w:val="nil"/>
              <w:right w:val="nil"/>
            </w:tcBorders>
            <w:shd w:val="clear" w:color="000000" w:fill="E7E6E6"/>
            <w:vAlign w:val="center"/>
            <w:hideMark/>
          </w:tcPr>
          <w:p w14:paraId="6839F705"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II.</w:t>
            </w:r>
          </w:p>
        </w:tc>
        <w:tc>
          <w:tcPr>
            <w:tcW w:w="4117" w:type="dxa"/>
            <w:tcBorders>
              <w:top w:val="nil"/>
              <w:left w:val="nil"/>
              <w:bottom w:val="nil"/>
              <w:right w:val="nil"/>
            </w:tcBorders>
            <w:shd w:val="clear" w:color="000000" w:fill="E7E6E6"/>
            <w:hideMark/>
          </w:tcPr>
          <w:p w14:paraId="12C66D4F"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Немачкој развојној банци (KfW)</w:t>
            </w:r>
          </w:p>
        </w:tc>
        <w:tc>
          <w:tcPr>
            <w:tcW w:w="1502" w:type="dxa"/>
            <w:tcBorders>
              <w:top w:val="nil"/>
              <w:left w:val="nil"/>
              <w:bottom w:val="nil"/>
              <w:right w:val="nil"/>
            </w:tcBorders>
            <w:shd w:val="clear" w:color="000000" w:fill="E7E6E6"/>
            <w:vAlign w:val="center"/>
            <w:hideMark/>
          </w:tcPr>
          <w:p w14:paraId="615C3827"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29E322CF"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09BB3598"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r>
      <w:tr w:rsidR="00412D34" w:rsidRPr="00F27A03" w14:paraId="15B5B623" w14:textId="77777777" w:rsidTr="00A42963">
        <w:trPr>
          <w:trHeight w:val="714"/>
        </w:trPr>
        <w:tc>
          <w:tcPr>
            <w:tcW w:w="665" w:type="dxa"/>
            <w:tcBorders>
              <w:top w:val="nil"/>
              <w:left w:val="nil"/>
              <w:bottom w:val="nil"/>
              <w:right w:val="nil"/>
            </w:tcBorders>
            <w:shd w:val="clear" w:color="auto" w:fill="auto"/>
            <w:hideMark/>
          </w:tcPr>
          <w:p w14:paraId="22BFB0C2"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tcPr>
          <w:p w14:paraId="2EECBF8B" w14:textId="54EA5849"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АД </w:t>
            </w:r>
            <w:r w:rsidR="008C08C6" w:rsidRPr="00F27A03">
              <w:rPr>
                <w:rFonts w:ascii="Calibri" w:eastAsia="Times New Roman" w:hAnsi="Calibri" w:cs="Calibri"/>
                <w:color w:val="002060"/>
                <w:sz w:val="18"/>
                <w:szCs w:val="18"/>
                <w:lang w:val="sr-Cyrl-CS" w:eastAsia="en-GB"/>
              </w:rPr>
              <w:t>„</w:t>
            </w:r>
            <w:r w:rsidRPr="00F27A03">
              <w:rPr>
                <w:rFonts w:ascii="Calibri" w:eastAsia="Times New Roman" w:hAnsi="Calibri" w:cs="Calibri"/>
                <w:color w:val="002060"/>
                <w:sz w:val="18"/>
                <w:szCs w:val="18"/>
                <w:lang w:val="sr-Cyrl-CS" w:eastAsia="en-GB"/>
              </w:rPr>
              <w:t>Електромрежа Србије” - Трансбалкански коридор, секција 4 - 2x400 kV DV Бајина Башта (РС) - Пљевља (МЕ) - Вишеград (БиХ)</w:t>
            </w:r>
          </w:p>
        </w:tc>
        <w:tc>
          <w:tcPr>
            <w:tcW w:w="1502" w:type="dxa"/>
            <w:tcBorders>
              <w:top w:val="nil"/>
              <w:left w:val="nil"/>
              <w:bottom w:val="nil"/>
              <w:right w:val="nil"/>
            </w:tcBorders>
            <w:shd w:val="clear" w:color="auto" w:fill="auto"/>
            <w:vAlign w:val="center"/>
            <w:hideMark/>
          </w:tcPr>
          <w:p w14:paraId="4B7D12C2"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3.525.000.000</w:t>
            </w:r>
          </w:p>
        </w:tc>
        <w:tc>
          <w:tcPr>
            <w:tcW w:w="1502" w:type="dxa"/>
            <w:tcBorders>
              <w:top w:val="nil"/>
              <w:left w:val="nil"/>
              <w:bottom w:val="nil"/>
              <w:right w:val="nil"/>
            </w:tcBorders>
            <w:shd w:val="clear" w:color="auto" w:fill="auto"/>
            <w:vAlign w:val="center"/>
            <w:hideMark/>
          </w:tcPr>
          <w:p w14:paraId="18457F76"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3D378352"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30.000.000</w:t>
            </w:r>
          </w:p>
        </w:tc>
      </w:tr>
      <w:tr w:rsidR="00412D34" w:rsidRPr="00F27A03" w14:paraId="5E4958E7" w14:textId="77777777" w:rsidTr="00A42963">
        <w:trPr>
          <w:trHeight w:val="302"/>
        </w:trPr>
        <w:tc>
          <w:tcPr>
            <w:tcW w:w="665" w:type="dxa"/>
            <w:tcBorders>
              <w:top w:val="nil"/>
              <w:left w:val="nil"/>
              <w:bottom w:val="nil"/>
              <w:right w:val="nil"/>
            </w:tcBorders>
            <w:shd w:val="clear" w:color="auto" w:fill="auto"/>
            <w:vAlign w:val="center"/>
            <w:hideMark/>
          </w:tcPr>
          <w:p w14:paraId="77190BEB"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p>
        </w:tc>
        <w:tc>
          <w:tcPr>
            <w:tcW w:w="4117" w:type="dxa"/>
            <w:tcBorders>
              <w:top w:val="nil"/>
              <w:left w:val="nil"/>
              <w:bottom w:val="nil"/>
              <w:right w:val="nil"/>
            </w:tcBorders>
            <w:shd w:val="clear" w:color="auto" w:fill="auto"/>
            <w:hideMark/>
          </w:tcPr>
          <w:p w14:paraId="16EB20D9" w14:textId="77777777" w:rsidR="00412D34" w:rsidRPr="00F27A03" w:rsidRDefault="00412D34" w:rsidP="00A42963">
            <w:pPr>
              <w:spacing w:after="0" w:line="240" w:lineRule="auto"/>
              <w:jc w:val="left"/>
              <w:rPr>
                <w:rFonts w:ascii="Calibri" w:eastAsia="Times New Roman" w:hAnsi="Calibri" w:cs="Calibri"/>
                <w:b/>
                <w:bCs/>
                <w:color w:val="002060"/>
                <w:szCs w:val="20"/>
                <w:lang w:val="sr-Cyrl-CS" w:eastAsia="en-GB"/>
              </w:rPr>
            </w:pPr>
            <w:r w:rsidRPr="00F27A03">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5557DCA7"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3.525.000.000</w:t>
            </w:r>
          </w:p>
        </w:tc>
        <w:tc>
          <w:tcPr>
            <w:tcW w:w="1502" w:type="dxa"/>
            <w:tcBorders>
              <w:top w:val="nil"/>
              <w:left w:val="nil"/>
              <w:bottom w:val="nil"/>
              <w:right w:val="nil"/>
            </w:tcBorders>
            <w:shd w:val="clear" w:color="auto" w:fill="auto"/>
            <w:vAlign w:val="center"/>
            <w:hideMark/>
          </w:tcPr>
          <w:p w14:paraId="26B8D8DF"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1C64B390"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30.000.000</w:t>
            </w:r>
          </w:p>
        </w:tc>
      </w:tr>
      <w:tr w:rsidR="00412D34" w:rsidRPr="00F27A03" w14:paraId="3FE32ED3" w14:textId="77777777" w:rsidTr="00A42963">
        <w:trPr>
          <w:trHeight w:val="300"/>
        </w:trPr>
        <w:tc>
          <w:tcPr>
            <w:tcW w:w="665" w:type="dxa"/>
            <w:tcBorders>
              <w:top w:val="nil"/>
              <w:left w:val="nil"/>
              <w:bottom w:val="nil"/>
              <w:right w:val="nil"/>
            </w:tcBorders>
            <w:shd w:val="clear" w:color="000000" w:fill="E7E6E6"/>
            <w:vAlign w:val="center"/>
            <w:hideMark/>
          </w:tcPr>
          <w:p w14:paraId="3EE47B99"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III.</w:t>
            </w:r>
          </w:p>
        </w:tc>
        <w:tc>
          <w:tcPr>
            <w:tcW w:w="4117" w:type="dxa"/>
            <w:tcBorders>
              <w:top w:val="nil"/>
              <w:left w:val="nil"/>
              <w:bottom w:val="nil"/>
              <w:right w:val="nil"/>
            </w:tcBorders>
            <w:shd w:val="clear" w:color="000000" w:fill="E7E6E6"/>
            <w:hideMark/>
          </w:tcPr>
          <w:p w14:paraId="5E6662B7"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Домаћим и страним пословним банкама</w:t>
            </w:r>
          </w:p>
        </w:tc>
        <w:tc>
          <w:tcPr>
            <w:tcW w:w="1502" w:type="dxa"/>
            <w:tcBorders>
              <w:top w:val="nil"/>
              <w:left w:val="nil"/>
              <w:bottom w:val="nil"/>
              <w:right w:val="nil"/>
            </w:tcBorders>
            <w:shd w:val="clear" w:color="000000" w:fill="E7E6E6"/>
            <w:vAlign w:val="center"/>
            <w:hideMark/>
          </w:tcPr>
          <w:p w14:paraId="18E5E0EC"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45F27A6D"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024F8663"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r>
      <w:tr w:rsidR="00412D34" w:rsidRPr="00F27A03" w14:paraId="085436CE" w14:textId="77777777" w:rsidTr="00A42963">
        <w:trPr>
          <w:trHeight w:val="475"/>
        </w:trPr>
        <w:tc>
          <w:tcPr>
            <w:tcW w:w="665" w:type="dxa"/>
            <w:tcBorders>
              <w:top w:val="nil"/>
              <w:left w:val="nil"/>
              <w:bottom w:val="nil"/>
              <w:right w:val="nil"/>
            </w:tcBorders>
            <w:shd w:val="clear" w:color="auto" w:fill="auto"/>
            <w:hideMark/>
          </w:tcPr>
          <w:p w14:paraId="09882A9A"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tcPr>
          <w:p w14:paraId="47D7072C" w14:textId="4C7778A2"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ЈП </w:t>
            </w:r>
            <w:r w:rsidR="008C08C6" w:rsidRPr="00F27A03">
              <w:rPr>
                <w:rFonts w:ascii="Calibri" w:eastAsia="Times New Roman" w:hAnsi="Calibri" w:cs="Calibri"/>
                <w:color w:val="002060"/>
                <w:sz w:val="18"/>
                <w:szCs w:val="18"/>
                <w:lang w:val="sr-Cyrl-CS" w:eastAsia="en-GB"/>
              </w:rPr>
              <w:t>„</w:t>
            </w:r>
            <w:r w:rsidRPr="00F27A03">
              <w:rPr>
                <w:rFonts w:ascii="Calibri" w:eastAsia="Times New Roman" w:hAnsi="Calibri" w:cs="Calibri"/>
                <w:color w:val="002060"/>
                <w:sz w:val="18"/>
                <w:szCs w:val="18"/>
                <w:lang w:val="sr-Cyrl-CS" w:eastAsia="en-GB"/>
              </w:rPr>
              <w:t>Србијагас” - Jaчање транспортних капацитета гасовода у Републици Србији</w:t>
            </w:r>
          </w:p>
        </w:tc>
        <w:tc>
          <w:tcPr>
            <w:tcW w:w="1502" w:type="dxa"/>
            <w:tcBorders>
              <w:top w:val="nil"/>
              <w:left w:val="nil"/>
              <w:bottom w:val="nil"/>
              <w:right w:val="nil"/>
            </w:tcBorders>
            <w:shd w:val="clear" w:color="auto" w:fill="auto"/>
            <w:vAlign w:val="center"/>
            <w:hideMark/>
          </w:tcPr>
          <w:p w14:paraId="1F3B09CA"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21.150.000.000</w:t>
            </w:r>
          </w:p>
        </w:tc>
        <w:tc>
          <w:tcPr>
            <w:tcW w:w="1502" w:type="dxa"/>
            <w:tcBorders>
              <w:top w:val="nil"/>
              <w:left w:val="nil"/>
              <w:bottom w:val="nil"/>
              <w:right w:val="nil"/>
            </w:tcBorders>
            <w:shd w:val="clear" w:color="auto" w:fill="auto"/>
            <w:vAlign w:val="center"/>
            <w:hideMark/>
          </w:tcPr>
          <w:p w14:paraId="36F345F4"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2DCF64A1"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180.000.000</w:t>
            </w:r>
          </w:p>
        </w:tc>
      </w:tr>
      <w:tr w:rsidR="00412D34" w:rsidRPr="00F27A03" w14:paraId="027011BC" w14:textId="77777777" w:rsidTr="00A42963">
        <w:trPr>
          <w:trHeight w:val="716"/>
        </w:trPr>
        <w:tc>
          <w:tcPr>
            <w:tcW w:w="665" w:type="dxa"/>
            <w:tcBorders>
              <w:top w:val="nil"/>
              <w:left w:val="nil"/>
              <w:bottom w:val="nil"/>
              <w:right w:val="nil"/>
            </w:tcBorders>
            <w:shd w:val="clear" w:color="auto" w:fill="auto"/>
            <w:hideMark/>
          </w:tcPr>
          <w:p w14:paraId="21C726CC"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w:t>
            </w:r>
          </w:p>
        </w:tc>
        <w:tc>
          <w:tcPr>
            <w:tcW w:w="4117" w:type="dxa"/>
            <w:tcBorders>
              <w:top w:val="nil"/>
              <w:left w:val="nil"/>
              <w:bottom w:val="nil"/>
              <w:right w:val="nil"/>
            </w:tcBorders>
            <w:shd w:val="clear" w:color="auto" w:fill="auto"/>
            <w:hideMark/>
          </w:tcPr>
          <w:p w14:paraId="70282F28" w14:textId="4E9C8D6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ЈП </w:t>
            </w:r>
            <w:r w:rsidR="008C08C6" w:rsidRPr="00F27A03">
              <w:rPr>
                <w:rFonts w:ascii="Calibri" w:eastAsia="Times New Roman" w:hAnsi="Calibri" w:cs="Calibri"/>
                <w:color w:val="002060"/>
                <w:sz w:val="18"/>
                <w:szCs w:val="18"/>
                <w:lang w:val="sr-Cyrl-CS" w:eastAsia="en-GB"/>
              </w:rPr>
              <w:t>„</w:t>
            </w:r>
            <w:r w:rsidRPr="00F27A03">
              <w:rPr>
                <w:rFonts w:ascii="Calibri" w:eastAsia="Times New Roman" w:hAnsi="Calibri" w:cs="Calibri"/>
                <w:color w:val="002060"/>
                <w:sz w:val="18"/>
                <w:szCs w:val="18"/>
                <w:lang w:val="sr-Cyrl-CS" w:eastAsia="en-GB"/>
              </w:rPr>
              <w:t>Електропривреда Србије” - Пројекат изградње хидроелектране Бук Бијела у Републици Српској кроз улагање у капитал</w:t>
            </w:r>
          </w:p>
        </w:tc>
        <w:tc>
          <w:tcPr>
            <w:tcW w:w="1502" w:type="dxa"/>
            <w:tcBorders>
              <w:top w:val="nil"/>
              <w:left w:val="nil"/>
              <w:bottom w:val="nil"/>
              <w:right w:val="nil"/>
            </w:tcBorders>
            <w:shd w:val="clear" w:color="auto" w:fill="auto"/>
            <w:vAlign w:val="center"/>
            <w:hideMark/>
          </w:tcPr>
          <w:p w14:paraId="50A60392"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29.375.000.000</w:t>
            </w:r>
          </w:p>
        </w:tc>
        <w:tc>
          <w:tcPr>
            <w:tcW w:w="1502" w:type="dxa"/>
            <w:tcBorders>
              <w:top w:val="nil"/>
              <w:left w:val="nil"/>
              <w:bottom w:val="nil"/>
              <w:right w:val="nil"/>
            </w:tcBorders>
            <w:shd w:val="clear" w:color="auto" w:fill="auto"/>
            <w:vAlign w:val="center"/>
            <w:hideMark/>
          </w:tcPr>
          <w:p w14:paraId="0BE3E391"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409DD7E4"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250.000.000</w:t>
            </w:r>
          </w:p>
        </w:tc>
      </w:tr>
      <w:tr w:rsidR="00412D34" w:rsidRPr="00F27A03" w14:paraId="41C8A177" w14:textId="77777777" w:rsidTr="00A42963">
        <w:trPr>
          <w:trHeight w:val="680"/>
        </w:trPr>
        <w:tc>
          <w:tcPr>
            <w:tcW w:w="665" w:type="dxa"/>
            <w:tcBorders>
              <w:top w:val="nil"/>
              <w:left w:val="nil"/>
              <w:bottom w:val="nil"/>
              <w:right w:val="nil"/>
            </w:tcBorders>
            <w:shd w:val="clear" w:color="auto" w:fill="auto"/>
            <w:hideMark/>
          </w:tcPr>
          <w:p w14:paraId="20650CDA"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w:t>
            </w:r>
          </w:p>
        </w:tc>
        <w:tc>
          <w:tcPr>
            <w:tcW w:w="4117" w:type="dxa"/>
            <w:tcBorders>
              <w:top w:val="nil"/>
              <w:left w:val="nil"/>
              <w:bottom w:val="nil"/>
              <w:right w:val="nil"/>
            </w:tcBorders>
            <w:shd w:val="clear" w:color="auto" w:fill="auto"/>
            <w:hideMark/>
          </w:tcPr>
          <w:p w14:paraId="5FAAB979" w14:textId="1C0C89D3" w:rsidR="00412D34" w:rsidRPr="00F27A03" w:rsidRDefault="003A4382" w:rsidP="00A42963">
            <w:pPr>
              <w:spacing w:after="0" w:line="240" w:lineRule="auto"/>
              <w:jc w:val="left"/>
              <w:rPr>
                <w:rFonts w:ascii="Calibri" w:eastAsia="Times New Roman" w:hAnsi="Calibri" w:cs="Calibri"/>
                <w:color w:val="002060"/>
                <w:sz w:val="18"/>
                <w:szCs w:val="18"/>
                <w:lang w:val="sr-Cyrl-CS" w:eastAsia="en-GB"/>
              </w:rPr>
            </w:pPr>
            <w:r>
              <w:rPr>
                <w:rFonts w:ascii="Calibri" w:eastAsia="Times New Roman" w:hAnsi="Calibri" w:cs="Calibri"/>
                <w:color w:val="002060"/>
                <w:sz w:val="18"/>
                <w:szCs w:val="18"/>
                <w:lang w:val="sr-Cyrl-CS" w:eastAsia="en-GB"/>
              </w:rPr>
              <w:t>Електродистрибуција Србије</w:t>
            </w:r>
            <w:r w:rsidR="00412D34" w:rsidRPr="00F27A03">
              <w:rPr>
                <w:rFonts w:ascii="Calibri" w:eastAsia="Times New Roman" w:hAnsi="Calibri" w:cs="Calibri"/>
                <w:color w:val="002060"/>
                <w:sz w:val="18"/>
                <w:szCs w:val="18"/>
                <w:lang w:val="sr-Cyrl-CS" w:eastAsia="en-GB"/>
              </w:rPr>
              <w:t xml:space="preserve"> д.о.о. Београд - Пројекат аутоматизације средњенапонске дистрибутивне мреже</w:t>
            </w:r>
          </w:p>
        </w:tc>
        <w:tc>
          <w:tcPr>
            <w:tcW w:w="1502" w:type="dxa"/>
            <w:tcBorders>
              <w:top w:val="nil"/>
              <w:left w:val="nil"/>
              <w:bottom w:val="nil"/>
              <w:right w:val="nil"/>
            </w:tcBorders>
            <w:shd w:val="clear" w:color="auto" w:fill="auto"/>
            <w:vAlign w:val="center"/>
            <w:hideMark/>
          </w:tcPr>
          <w:p w14:paraId="339A433B"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11.415.328.040</w:t>
            </w:r>
          </w:p>
        </w:tc>
        <w:tc>
          <w:tcPr>
            <w:tcW w:w="1502" w:type="dxa"/>
            <w:tcBorders>
              <w:top w:val="nil"/>
              <w:left w:val="nil"/>
              <w:bottom w:val="nil"/>
              <w:right w:val="nil"/>
            </w:tcBorders>
            <w:shd w:val="clear" w:color="auto" w:fill="auto"/>
            <w:vAlign w:val="center"/>
            <w:hideMark/>
          </w:tcPr>
          <w:p w14:paraId="4011F3F8"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0BC93A27"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97.151.728</w:t>
            </w:r>
          </w:p>
        </w:tc>
      </w:tr>
      <w:tr w:rsidR="00412D34" w:rsidRPr="00F27A03" w14:paraId="005BC53E" w14:textId="77777777" w:rsidTr="00A42963">
        <w:trPr>
          <w:trHeight w:val="710"/>
        </w:trPr>
        <w:tc>
          <w:tcPr>
            <w:tcW w:w="665" w:type="dxa"/>
            <w:tcBorders>
              <w:top w:val="nil"/>
              <w:left w:val="nil"/>
              <w:bottom w:val="nil"/>
              <w:right w:val="nil"/>
            </w:tcBorders>
            <w:shd w:val="clear" w:color="auto" w:fill="auto"/>
            <w:hideMark/>
          </w:tcPr>
          <w:p w14:paraId="48E72E04"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w:t>
            </w:r>
          </w:p>
        </w:tc>
        <w:tc>
          <w:tcPr>
            <w:tcW w:w="4117" w:type="dxa"/>
            <w:tcBorders>
              <w:top w:val="nil"/>
              <w:left w:val="nil"/>
              <w:bottom w:val="nil"/>
              <w:right w:val="nil"/>
            </w:tcBorders>
            <w:shd w:val="clear" w:color="auto" w:fill="auto"/>
            <w:hideMark/>
          </w:tcPr>
          <w:p w14:paraId="67DD3CD9" w14:textId="1D5B13FA"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Акционарско друштво за железнички превоз робе </w:t>
            </w:r>
            <w:r w:rsidR="008C08C6" w:rsidRPr="00F27A03">
              <w:rPr>
                <w:rFonts w:ascii="Calibri" w:eastAsia="Times New Roman" w:hAnsi="Calibri" w:cs="Calibri"/>
                <w:color w:val="002060"/>
                <w:sz w:val="18"/>
                <w:szCs w:val="18"/>
                <w:lang w:val="sr-Cyrl-CS" w:eastAsia="en-GB"/>
              </w:rPr>
              <w:t>„</w:t>
            </w:r>
            <w:r w:rsidRPr="00F27A03">
              <w:rPr>
                <w:rFonts w:ascii="Calibri" w:eastAsia="Times New Roman" w:hAnsi="Calibri" w:cs="Calibri"/>
                <w:color w:val="002060"/>
                <w:sz w:val="18"/>
                <w:szCs w:val="18"/>
                <w:lang w:val="sr-Cyrl-CS" w:eastAsia="en-GB"/>
              </w:rPr>
              <w:t>Србија Карго”, Београд - Програм обнове возних средстава</w:t>
            </w:r>
          </w:p>
        </w:tc>
        <w:tc>
          <w:tcPr>
            <w:tcW w:w="1502" w:type="dxa"/>
            <w:tcBorders>
              <w:top w:val="nil"/>
              <w:left w:val="nil"/>
              <w:bottom w:val="nil"/>
              <w:right w:val="nil"/>
            </w:tcBorders>
            <w:shd w:val="clear" w:color="auto" w:fill="auto"/>
            <w:vAlign w:val="center"/>
            <w:hideMark/>
          </w:tcPr>
          <w:p w14:paraId="2D74322A"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     1.762.500.000</w:t>
            </w:r>
          </w:p>
        </w:tc>
        <w:tc>
          <w:tcPr>
            <w:tcW w:w="1502" w:type="dxa"/>
            <w:tcBorders>
              <w:top w:val="nil"/>
              <w:left w:val="nil"/>
              <w:bottom w:val="nil"/>
              <w:right w:val="nil"/>
            </w:tcBorders>
            <w:shd w:val="clear" w:color="auto" w:fill="auto"/>
            <w:vAlign w:val="center"/>
            <w:hideMark/>
          </w:tcPr>
          <w:p w14:paraId="5DB54D39"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0F6066FE"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15.000.000</w:t>
            </w:r>
          </w:p>
        </w:tc>
      </w:tr>
      <w:tr w:rsidR="00412D34" w:rsidRPr="00F27A03" w14:paraId="76A95121" w14:textId="77777777" w:rsidTr="00A42963">
        <w:trPr>
          <w:trHeight w:val="680"/>
        </w:trPr>
        <w:tc>
          <w:tcPr>
            <w:tcW w:w="665" w:type="dxa"/>
            <w:tcBorders>
              <w:top w:val="nil"/>
              <w:left w:val="nil"/>
              <w:bottom w:val="nil"/>
              <w:right w:val="nil"/>
            </w:tcBorders>
            <w:shd w:val="clear" w:color="auto" w:fill="auto"/>
            <w:hideMark/>
          </w:tcPr>
          <w:p w14:paraId="5BAA7A05"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w:t>
            </w:r>
          </w:p>
        </w:tc>
        <w:tc>
          <w:tcPr>
            <w:tcW w:w="4117" w:type="dxa"/>
            <w:tcBorders>
              <w:top w:val="nil"/>
              <w:left w:val="nil"/>
              <w:bottom w:val="nil"/>
              <w:right w:val="nil"/>
            </w:tcBorders>
            <w:shd w:val="clear" w:color="auto" w:fill="auto"/>
            <w:hideMark/>
          </w:tcPr>
          <w:p w14:paraId="3617E8E3" w14:textId="7777777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„Електропривреда Србије” - одсумпоравање димних гасова и израда постројења за пречишћавање отпадних вода на ТЕ Костолац А</w:t>
            </w:r>
          </w:p>
        </w:tc>
        <w:tc>
          <w:tcPr>
            <w:tcW w:w="1502" w:type="dxa"/>
            <w:tcBorders>
              <w:top w:val="nil"/>
              <w:left w:val="nil"/>
              <w:bottom w:val="nil"/>
              <w:right w:val="nil"/>
            </w:tcBorders>
            <w:shd w:val="clear" w:color="auto" w:fill="auto"/>
            <w:vAlign w:val="center"/>
            <w:hideMark/>
          </w:tcPr>
          <w:p w14:paraId="4E4E10E0"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14.100.000.000</w:t>
            </w:r>
          </w:p>
        </w:tc>
        <w:tc>
          <w:tcPr>
            <w:tcW w:w="1502" w:type="dxa"/>
            <w:tcBorders>
              <w:top w:val="nil"/>
              <w:left w:val="nil"/>
              <w:bottom w:val="nil"/>
              <w:right w:val="nil"/>
            </w:tcBorders>
            <w:shd w:val="clear" w:color="auto" w:fill="auto"/>
            <w:vAlign w:val="center"/>
            <w:hideMark/>
          </w:tcPr>
          <w:p w14:paraId="23EA34FF"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6AFFE962"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120.000.000</w:t>
            </w:r>
          </w:p>
        </w:tc>
      </w:tr>
      <w:tr w:rsidR="00412D34" w:rsidRPr="00F27A03" w14:paraId="16BE45FB" w14:textId="77777777" w:rsidTr="00A42963">
        <w:trPr>
          <w:trHeight w:val="302"/>
        </w:trPr>
        <w:tc>
          <w:tcPr>
            <w:tcW w:w="665" w:type="dxa"/>
            <w:tcBorders>
              <w:top w:val="nil"/>
              <w:left w:val="nil"/>
              <w:bottom w:val="nil"/>
              <w:right w:val="nil"/>
            </w:tcBorders>
            <w:shd w:val="clear" w:color="auto" w:fill="auto"/>
            <w:vAlign w:val="center"/>
            <w:hideMark/>
          </w:tcPr>
          <w:p w14:paraId="589A5AFE" w14:textId="77777777" w:rsidR="00412D34" w:rsidRPr="00F27A03" w:rsidRDefault="00412D34" w:rsidP="00A42963">
            <w:pPr>
              <w:spacing w:after="0" w:line="240" w:lineRule="auto"/>
              <w:jc w:val="center"/>
              <w:rPr>
                <w:rFonts w:ascii="Calibri" w:eastAsia="Times New Roman" w:hAnsi="Calibri" w:cs="Calibri"/>
                <w:color w:val="002060"/>
                <w:szCs w:val="20"/>
                <w:lang w:val="sr-Cyrl-CS" w:eastAsia="en-GB"/>
              </w:rPr>
            </w:pPr>
          </w:p>
        </w:tc>
        <w:tc>
          <w:tcPr>
            <w:tcW w:w="4117" w:type="dxa"/>
            <w:tcBorders>
              <w:top w:val="nil"/>
              <w:left w:val="nil"/>
              <w:bottom w:val="nil"/>
              <w:right w:val="nil"/>
            </w:tcBorders>
            <w:shd w:val="clear" w:color="auto" w:fill="auto"/>
            <w:hideMark/>
          </w:tcPr>
          <w:p w14:paraId="34A1B3CA" w14:textId="77777777" w:rsidR="00412D34" w:rsidRPr="00F27A03" w:rsidRDefault="00412D34" w:rsidP="00A42963">
            <w:pPr>
              <w:spacing w:after="0" w:line="240" w:lineRule="auto"/>
              <w:jc w:val="left"/>
              <w:rPr>
                <w:rFonts w:ascii="Calibri" w:eastAsia="Times New Roman" w:hAnsi="Calibri" w:cs="Calibri"/>
                <w:b/>
                <w:bCs/>
                <w:color w:val="002060"/>
                <w:szCs w:val="20"/>
                <w:lang w:val="sr-Cyrl-CS" w:eastAsia="en-GB"/>
              </w:rPr>
            </w:pPr>
            <w:r w:rsidRPr="00F27A03">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3A7B2D57"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77.802.828.040</w:t>
            </w:r>
          </w:p>
        </w:tc>
        <w:tc>
          <w:tcPr>
            <w:tcW w:w="1502" w:type="dxa"/>
            <w:tcBorders>
              <w:top w:val="nil"/>
              <w:left w:val="nil"/>
              <w:bottom w:val="nil"/>
              <w:right w:val="nil"/>
            </w:tcBorders>
            <w:shd w:val="clear" w:color="auto" w:fill="auto"/>
            <w:vAlign w:val="center"/>
            <w:hideMark/>
          </w:tcPr>
          <w:p w14:paraId="22873E18"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3965F03E"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662.151.728</w:t>
            </w:r>
          </w:p>
        </w:tc>
      </w:tr>
      <w:tr w:rsidR="00412D34" w:rsidRPr="00F27A03" w14:paraId="29B5B7AC" w14:textId="77777777" w:rsidTr="00A42963">
        <w:trPr>
          <w:trHeight w:val="483"/>
        </w:trPr>
        <w:tc>
          <w:tcPr>
            <w:tcW w:w="665" w:type="dxa"/>
            <w:tcBorders>
              <w:top w:val="nil"/>
              <w:left w:val="nil"/>
              <w:bottom w:val="nil"/>
              <w:right w:val="nil"/>
            </w:tcBorders>
            <w:shd w:val="clear" w:color="000000" w:fill="E7E6E6"/>
            <w:vAlign w:val="center"/>
            <w:hideMark/>
          </w:tcPr>
          <w:p w14:paraId="1C8F5E4A"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IV.</w:t>
            </w:r>
          </w:p>
        </w:tc>
        <w:tc>
          <w:tcPr>
            <w:tcW w:w="4117" w:type="dxa"/>
            <w:tcBorders>
              <w:top w:val="nil"/>
              <w:left w:val="nil"/>
              <w:bottom w:val="nil"/>
              <w:right w:val="nil"/>
            </w:tcBorders>
            <w:shd w:val="clear" w:color="000000" w:fill="E7E6E6"/>
            <w:hideMark/>
          </w:tcPr>
          <w:p w14:paraId="432107E3"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Руској Федерацији (Државна развојна корпорација „VEB.RF”)</w:t>
            </w:r>
          </w:p>
        </w:tc>
        <w:tc>
          <w:tcPr>
            <w:tcW w:w="1502" w:type="dxa"/>
            <w:tcBorders>
              <w:top w:val="nil"/>
              <w:left w:val="nil"/>
              <w:bottom w:val="nil"/>
              <w:right w:val="nil"/>
            </w:tcBorders>
            <w:shd w:val="clear" w:color="000000" w:fill="E7E6E6"/>
            <w:vAlign w:val="center"/>
            <w:hideMark/>
          </w:tcPr>
          <w:p w14:paraId="6538627C"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3F2712C7"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59082D11"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r>
      <w:tr w:rsidR="00412D34" w:rsidRPr="00F27A03" w14:paraId="38E86BFF" w14:textId="77777777" w:rsidTr="00A42963">
        <w:trPr>
          <w:trHeight w:val="496"/>
        </w:trPr>
        <w:tc>
          <w:tcPr>
            <w:tcW w:w="665" w:type="dxa"/>
            <w:tcBorders>
              <w:top w:val="nil"/>
              <w:left w:val="nil"/>
              <w:bottom w:val="nil"/>
              <w:right w:val="nil"/>
            </w:tcBorders>
            <w:shd w:val="clear" w:color="auto" w:fill="auto"/>
            <w:hideMark/>
          </w:tcPr>
          <w:p w14:paraId="3B541ACD"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hideMark/>
          </w:tcPr>
          <w:p w14:paraId="2494F1BB" w14:textId="7777777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„Електропривреда Србије”-Ревитализација хидроелектране „Ђердап 2”</w:t>
            </w:r>
          </w:p>
        </w:tc>
        <w:tc>
          <w:tcPr>
            <w:tcW w:w="1502" w:type="dxa"/>
            <w:tcBorders>
              <w:top w:val="nil"/>
              <w:left w:val="nil"/>
              <w:bottom w:val="nil"/>
              <w:right w:val="nil"/>
            </w:tcBorders>
            <w:shd w:val="clear" w:color="auto" w:fill="auto"/>
            <w:vAlign w:val="center"/>
            <w:hideMark/>
          </w:tcPr>
          <w:p w14:paraId="010A62D0"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19.975.000.000</w:t>
            </w:r>
          </w:p>
        </w:tc>
        <w:tc>
          <w:tcPr>
            <w:tcW w:w="1502" w:type="dxa"/>
            <w:tcBorders>
              <w:top w:val="nil"/>
              <w:left w:val="nil"/>
              <w:bottom w:val="nil"/>
              <w:right w:val="nil"/>
            </w:tcBorders>
            <w:shd w:val="clear" w:color="auto" w:fill="auto"/>
            <w:vAlign w:val="center"/>
            <w:hideMark/>
          </w:tcPr>
          <w:p w14:paraId="067D6ACE"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14771EE1"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170.000.000</w:t>
            </w:r>
          </w:p>
        </w:tc>
      </w:tr>
      <w:tr w:rsidR="00412D34" w:rsidRPr="00F27A03" w14:paraId="52100B97" w14:textId="77777777" w:rsidTr="00A42963">
        <w:trPr>
          <w:trHeight w:val="498"/>
        </w:trPr>
        <w:tc>
          <w:tcPr>
            <w:tcW w:w="665" w:type="dxa"/>
            <w:tcBorders>
              <w:top w:val="nil"/>
              <w:left w:val="nil"/>
              <w:bottom w:val="nil"/>
              <w:right w:val="nil"/>
            </w:tcBorders>
            <w:shd w:val="clear" w:color="auto" w:fill="auto"/>
            <w:hideMark/>
          </w:tcPr>
          <w:p w14:paraId="4783F06E"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w:t>
            </w:r>
          </w:p>
        </w:tc>
        <w:tc>
          <w:tcPr>
            <w:tcW w:w="4117" w:type="dxa"/>
            <w:tcBorders>
              <w:top w:val="nil"/>
              <w:left w:val="nil"/>
              <w:bottom w:val="nil"/>
              <w:right w:val="nil"/>
            </w:tcBorders>
            <w:shd w:val="clear" w:color="auto" w:fill="auto"/>
            <w:hideMark/>
          </w:tcPr>
          <w:p w14:paraId="2BAB935D" w14:textId="7777777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„Електропривреда Србије” - Ревитализација блокова ТЕНТ А1 и А2</w:t>
            </w:r>
          </w:p>
        </w:tc>
        <w:tc>
          <w:tcPr>
            <w:tcW w:w="1502" w:type="dxa"/>
            <w:tcBorders>
              <w:top w:val="nil"/>
              <w:left w:val="nil"/>
              <w:bottom w:val="nil"/>
              <w:right w:val="nil"/>
            </w:tcBorders>
            <w:shd w:val="clear" w:color="auto" w:fill="auto"/>
            <w:vAlign w:val="center"/>
            <w:hideMark/>
          </w:tcPr>
          <w:p w14:paraId="704123BC"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24.440.000.000</w:t>
            </w:r>
          </w:p>
        </w:tc>
        <w:tc>
          <w:tcPr>
            <w:tcW w:w="1502" w:type="dxa"/>
            <w:tcBorders>
              <w:top w:val="nil"/>
              <w:left w:val="nil"/>
              <w:bottom w:val="nil"/>
              <w:right w:val="nil"/>
            </w:tcBorders>
            <w:shd w:val="clear" w:color="auto" w:fill="auto"/>
            <w:vAlign w:val="center"/>
            <w:hideMark/>
          </w:tcPr>
          <w:p w14:paraId="0E04D20B"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69FAB574"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208.000.000</w:t>
            </w:r>
          </w:p>
        </w:tc>
      </w:tr>
      <w:tr w:rsidR="00412D34" w:rsidRPr="00F27A03" w14:paraId="60240AE0" w14:textId="77777777" w:rsidTr="00A42963">
        <w:trPr>
          <w:trHeight w:val="302"/>
        </w:trPr>
        <w:tc>
          <w:tcPr>
            <w:tcW w:w="665" w:type="dxa"/>
            <w:tcBorders>
              <w:top w:val="nil"/>
              <w:left w:val="nil"/>
              <w:bottom w:val="nil"/>
              <w:right w:val="nil"/>
            </w:tcBorders>
            <w:shd w:val="clear" w:color="auto" w:fill="auto"/>
            <w:vAlign w:val="center"/>
            <w:hideMark/>
          </w:tcPr>
          <w:p w14:paraId="4C9981A3"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p>
        </w:tc>
        <w:tc>
          <w:tcPr>
            <w:tcW w:w="4117" w:type="dxa"/>
            <w:tcBorders>
              <w:top w:val="nil"/>
              <w:left w:val="nil"/>
              <w:bottom w:val="nil"/>
              <w:right w:val="nil"/>
            </w:tcBorders>
            <w:shd w:val="clear" w:color="auto" w:fill="auto"/>
            <w:hideMark/>
          </w:tcPr>
          <w:p w14:paraId="380F25A1" w14:textId="77777777" w:rsidR="00412D34" w:rsidRPr="00F27A03" w:rsidRDefault="00412D34" w:rsidP="00A42963">
            <w:pPr>
              <w:spacing w:after="0" w:line="240" w:lineRule="auto"/>
              <w:jc w:val="left"/>
              <w:rPr>
                <w:rFonts w:ascii="Calibri" w:eastAsia="Times New Roman" w:hAnsi="Calibri" w:cs="Calibri"/>
                <w:b/>
                <w:bCs/>
                <w:color w:val="002060"/>
                <w:szCs w:val="20"/>
                <w:lang w:val="sr-Cyrl-CS" w:eastAsia="en-GB"/>
              </w:rPr>
            </w:pPr>
            <w:r w:rsidRPr="00F27A03">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38235C0B"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44.415.000.000</w:t>
            </w:r>
          </w:p>
        </w:tc>
        <w:tc>
          <w:tcPr>
            <w:tcW w:w="1502" w:type="dxa"/>
            <w:tcBorders>
              <w:top w:val="nil"/>
              <w:left w:val="nil"/>
              <w:bottom w:val="nil"/>
              <w:right w:val="nil"/>
            </w:tcBorders>
            <w:shd w:val="clear" w:color="auto" w:fill="auto"/>
            <w:vAlign w:val="center"/>
            <w:hideMark/>
          </w:tcPr>
          <w:p w14:paraId="3F8EE192"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67707421"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378.000.000</w:t>
            </w:r>
          </w:p>
        </w:tc>
      </w:tr>
      <w:tr w:rsidR="00412D34" w:rsidRPr="00F27A03" w14:paraId="49DF1599" w14:textId="77777777" w:rsidTr="00A42963">
        <w:trPr>
          <w:trHeight w:val="302"/>
        </w:trPr>
        <w:tc>
          <w:tcPr>
            <w:tcW w:w="665" w:type="dxa"/>
            <w:tcBorders>
              <w:top w:val="nil"/>
              <w:left w:val="nil"/>
              <w:bottom w:val="nil"/>
              <w:right w:val="nil"/>
            </w:tcBorders>
            <w:shd w:val="clear" w:color="000000" w:fill="E7E6E6"/>
            <w:vAlign w:val="center"/>
            <w:hideMark/>
          </w:tcPr>
          <w:p w14:paraId="61C21B00"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lastRenderedPageBreak/>
              <w:t>V.</w:t>
            </w:r>
          </w:p>
        </w:tc>
        <w:tc>
          <w:tcPr>
            <w:tcW w:w="4117" w:type="dxa"/>
            <w:tcBorders>
              <w:top w:val="nil"/>
              <w:left w:val="nil"/>
              <w:bottom w:val="nil"/>
              <w:right w:val="nil"/>
            </w:tcBorders>
            <w:shd w:val="clear" w:color="000000" w:fill="E7E6E6"/>
            <w:vAlign w:val="center"/>
            <w:hideMark/>
          </w:tcPr>
          <w:p w14:paraId="6E92B0DB"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Европској инвестиционој банци</w:t>
            </w:r>
          </w:p>
        </w:tc>
        <w:tc>
          <w:tcPr>
            <w:tcW w:w="1502" w:type="dxa"/>
            <w:tcBorders>
              <w:top w:val="nil"/>
              <w:left w:val="nil"/>
              <w:bottom w:val="nil"/>
              <w:right w:val="nil"/>
            </w:tcBorders>
            <w:shd w:val="clear" w:color="000000" w:fill="E7E6E6"/>
            <w:vAlign w:val="center"/>
            <w:hideMark/>
          </w:tcPr>
          <w:p w14:paraId="0C97A3F1"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30791B0F"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310FE55E"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w:t>
            </w:r>
          </w:p>
        </w:tc>
      </w:tr>
      <w:tr w:rsidR="00412D34" w:rsidRPr="00F27A03" w14:paraId="5889B979" w14:textId="77777777" w:rsidTr="00A42963">
        <w:trPr>
          <w:trHeight w:val="513"/>
        </w:trPr>
        <w:tc>
          <w:tcPr>
            <w:tcW w:w="665" w:type="dxa"/>
            <w:tcBorders>
              <w:top w:val="nil"/>
              <w:left w:val="nil"/>
              <w:bottom w:val="nil"/>
              <w:right w:val="nil"/>
            </w:tcBorders>
            <w:shd w:val="clear" w:color="auto" w:fill="auto"/>
            <w:hideMark/>
          </w:tcPr>
          <w:p w14:paraId="0E4C6F3E"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vAlign w:val="center"/>
            <w:hideMark/>
          </w:tcPr>
          <w:p w14:paraId="25545D24" w14:textId="77777777" w:rsidR="00412D34" w:rsidRPr="00F27A03" w:rsidRDefault="00412D34" w:rsidP="00A42963">
            <w:pPr>
              <w:spacing w:after="0" w:line="240" w:lineRule="auto"/>
              <w:jc w:val="lef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Електродистрибуција Србије д.о.о. Београд - Пројекат за паметна бројила</w:t>
            </w:r>
          </w:p>
        </w:tc>
        <w:tc>
          <w:tcPr>
            <w:tcW w:w="1502" w:type="dxa"/>
            <w:tcBorders>
              <w:top w:val="nil"/>
              <w:left w:val="nil"/>
              <w:bottom w:val="nil"/>
              <w:right w:val="nil"/>
            </w:tcBorders>
            <w:shd w:val="clear" w:color="auto" w:fill="auto"/>
            <w:vAlign w:val="center"/>
            <w:hideMark/>
          </w:tcPr>
          <w:p w14:paraId="3085E9B9"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4.700.000.000</w:t>
            </w:r>
          </w:p>
        </w:tc>
        <w:tc>
          <w:tcPr>
            <w:tcW w:w="1502" w:type="dxa"/>
            <w:tcBorders>
              <w:top w:val="nil"/>
              <w:left w:val="nil"/>
              <w:bottom w:val="nil"/>
              <w:right w:val="nil"/>
            </w:tcBorders>
            <w:shd w:val="clear" w:color="auto" w:fill="auto"/>
            <w:vAlign w:val="center"/>
            <w:hideMark/>
          </w:tcPr>
          <w:p w14:paraId="1C64282A"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49659173"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40.000.000</w:t>
            </w:r>
          </w:p>
        </w:tc>
      </w:tr>
      <w:tr w:rsidR="00412D34" w:rsidRPr="00F27A03" w14:paraId="1B9CB6B4" w14:textId="77777777" w:rsidTr="00A42963">
        <w:trPr>
          <w:trHeight w:val="302"/>
        </w:trPr>
        <w:tc>
          <w:tcPr>
            <w:tcW w:w="665" w:type="dxa"/>
            <w:tcBorders>
              <w:top w:val="nil"/>
              <w:left w:val="nil"/>
              <w:bottom w:val="single" w:sz="8" w:space="0" w:color="002060"/>
              <w:right w:val="nil"/>
            </w:tcBorders>
            <w:shd w:val="clear" w:color="auto" w:fill="auto"/>
            <w:vAlign w:val="center"/>
            <w:hideMark/>
          </w:tcPr>
          <w:p w14:paraId="369D48D9" w14:textId="77777777" w:rsidR="00412D34" w:rsidRPr="00F27A03" w:rsidRDefault="00412D34" w:rsidP="00A42963">
            <w:pPr>
              <w:spacing w:after="0" w:line="240" w:lineRule="auto"/>
              <w:jc w:val="center"/>
              <w:rPr>
                <w:rFonts w:ascii="Calibri" w:eastAsia="Times New Roman" w:hAnsi="Calibri" w:cs="Calibri"/>
                <w:color w:val="002060"/>
                <w:szCs w:val="20"/>
                <w:lang w:val="sr-Cyrl-CS" w:eastAsia="en-GB"/>
              </w:rPr>
            </w:pPr>
          </w:p>
        </w:tc>
        <w:tc>
          <w:tcPr>
            <w:tcW w:w="4117" w:type="dxa"/>
            <w:tcBorders>
              <w:top w:val="nil"/>
              <w:left w:val="nil"/>
              <w:bottom w:val="single" w:sz="8" w:space="0" w:color="002060"/>
              <w:right w:val="nil"/>
            </w:tcBorders>
            <w:shd w:val="clear" w:color="auto" w:fill="auto"/>
            <w:vAlign w:val="center"/>
            <w:hideMark/>
          </w:tcPr>
          <w:p w14:paraId="4B008A44" w14:textId="77777777" w:rsidR="00412D34" w:rsidRPr="00F27A03" w:rsidRDefault="00412D34" w:rsidP="00A42963">
            <w:pPr>
              <w:spacing w:after="0" w:line="240" w:lineRule="auto"/>
              <w:jc w:val="left"/>
              <w:rPr>
                <w:rFonts w:ascii="Calibri" w:eastAsia="Times New Roman" w:hAnsi="Calibri" w:cs="Calibri"/>
                <w:b/>
                <w:bCs/>
                <w:color w:val="002060"/>
                <w:szCs w:val="20"/>
                <w:lang w:val="sr-Cyrl-CS" w:eastAsia="en-GB"/>
              </w:rPr>
            </w:pPr>
            <w:r w:rsidRPr="00F27A03">
              <w:rPr>
                <w:rFonts w:ascii="Calibri" w:eastAsia="Times New Roman" w:hAnsi="Calibri" w:cs="Calibri"/>
                <w:b/>
                <w:bCs/>
                <w:color w:val="002060"/>
                <w:szCs w:val="20"/>
                <w:lang w:val="sr-Cyrl-CS" w:eastAsia="en-GB"/>
              </w:rPr>
              <w:t>Укупно:</w:t>
            </w:r>
          </w:p>
        </w:tc>
        <w:tc>
          <w:tcPr>
            <w:tcW w:w="1502" w:type="dxa"/>
            <w:tcBorders>
              <w:top w:val="nil"/>
              <w:left w:val="nil"/>
              <w:bottom w:val="single" w:sz="8" w:space="0" w:color="002060"/>
              <w:right w:val="nil"/>
            </w:tcBorders>
            <w:shd w:val="clear" w:color="auto" w:fill="auto"/>
            <w:vAlign w:val="center"/>
            <w:hideMark/>
          </w:tcPr>
          <w:p w14:paraId="6EC53FF2"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4.700.000.000</w:t>
            </w:r>
          </w:p>
        </w:tc>
        <w:tc>
          <w:tcPr>
            <w:tcW w:w="1502" w:type="dxa"/>
            <w:tcBorders>
              <w:top w:val="nil"/>
              <w:left w:val="nil"/>
              <w:bottom w:val="single" w:sz="8" w:space="0" w:color="002060"/>
              <w:right w:val="nil"/>
            </w:tcBorders>
            <w:shd w:val="clear" w:color="auto" w:fill="auto"/>
            <w:vAlign w:val="center"/>
            <w:hideMark/>
          </w:tcPr>
          <w:p w14:paraId="203320AD"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EUR</w:t>
            </w:r>
          </w:p>
        </w:tc>
        <w:tc>
          <w:tcPr>
            <w:tcW w:w="1502" w:type="dxa"/>
            <w:tcBorders>
              <w:top w:val="nil"/>
              <w:left w:val="nil"/>
              <w:bottom w:val="single" w:sz="8" w:space="0" w:color="002060"/>
              <w:right w:val="nil"/>
            </w:tcBorders>
            <w:shd w:val="clear" w:color="auto" w:fill="auto"/>
            <w:vAlign w:val="center"/>
            <w:hideMark/>
          </w:tcPr>
          <w:p w14:paraId="647946C4"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40.000.000</w:t>
            </w:r>
          </w:p>
        </w:tc>
      </w:tr>
      <w:tr w:rsidR="00412D34" w:rsidRPr="00F27A03" w14:paraId="2E80289A" w14:textId="77777777" w:rsidTr="00A42963">
        <w:trPr>
          <w:trHeight w:val="300"/>
        </w:trPr>
        <w:tc>
          <w:tcPr>
            <w:tcW w:w="665" w:type="dxa"/>
            <w:tcBorders>
              <w:top w:val="single" w:sz="8" w:space="0" w:color="002060"/>
              <w:left w:val="nil"/>
              <w:bottom w:val="single" w:sz="8" w:space="0" w:color="002060"/>
              <w:right w:val="nil"/>
            </w:tcBorders>
            <w:shd w:val="clear" w:color="000000" w:fill="E7E6E6"/>
            <w:vAlign w:val="center"/>
            <w:hideMark/>
          </w:tcPr>
          <w:p w14:paraId="6619E7A3" w14:textId="77777777" w:rsidR="00412D34" w:rsidRPr="00F27A03" w:rsidRDefault="00412D34" w:rsidP="00A42963">
            <w:pPr>
              <w:spacing w:after="0" w:line="240" w:lineRule="auto"/>
              <w:jc w:val="center"/>
              <w:rPr>
                <w:rFonts w:ascii="Calibri" w:eastAsia="Times New Roman" w:hAnsi="Calibri" w:cs="Calibri"/>
                <w:color w:val="002060"/>
                <w:sz w:val="18"/>
                <w:szCs w:val="18"/>
                <w:lang w:val="sr-Cyrl-CS" w:eastAsia="en-GB"/>
              </w:rPr>
            </w:pPr>
          </w:p>
        </w:tc>
        <w:tc>
          <w:tcPr>
            <w:tcW w:w="4117" w:type="dxa"/>
            <w:tcBorders>
              <w:top w:val="single" w:sz="8" w:space="0" w:color="002060"/>
              <w:left w:val="nil"/>
              <w:bottom w:val="single" w:sz="8" w:space="0" w:color="002060"/>
              <w:right w:val="nil"/>
            </w:tcBorders>
            <w:shd w:val="clear" w:color="000000" w:fill="E7E6E6"/>
            <w:vAlign w:val="center"/>
            <w:hideMark/>
          </w:tcPr>
          <w:p w14:paraId="0AD846AA" w14:textId="77777777" w:rsidR="00412D34" w:rsidRPr="00F27A03" w:rsidRDefault="00412D34" w:rsidP="00A42963">
            <w:pPr>
              <w:spacing w:after="0" w:line="240" w:lineRule="auto"/>
              <w:jc w:val="left"/>
              <w:rPr>
                <w:rFonts w:ascii="Calibri" w:eastAsia="Times New Roman" w:hAnsi="Calibri" w:cs="Calibri"/>
                <w:b/>
                <w:bCs/>
                <w:color w:val="002060"/>
                <w:szCs w:val="20"/>
                <w:lang w:val="sr-Cyrl-CS" w:eastAsia="en-GB"/>
              </w:rPr>
            </w:pPr>
            <w:r w:rsidRPr="00F27A03">
              <w:rPr>
                <w:rFonts w:ascii="Calibri" w:eastAsia="Times New Roman" w:hAnsi="Calibri" w:cs="Calibri"/>
                <w:b/>
                <w:bCs/>
                <w:color w:val="002060"/>
                <w:szCs w:val="20"/>
                <w:lang w:val="sr-Cyrl-CS" w:eastAsia="en-GB"/>
              </w:rPr>
              <w:t>УКУПНО:</w:t>
            </w:r>
          </w:p>
        </w:tc>
        <w:tc>
          <w:tcPr>
            <w:tcW w:w="1502" w:type="dxa"/>
            <w:tcBorders>
              <w:top w:val="single" w:sz="8" w:space="0" w:color="002060"/>
              <w:left w:val="nil"/>
              <w:bottom w:val="single" w:sz="8" w:space="0" w:color="002060"/>
              <w:right w:val="nil"/>
            </w:tcBorders>
            <w:shd w:val="clear" w:color="000000" w:fill="E7E6E6"/>
            <w:vAlign w:val="center"/>
            <w:hideMark/>
          </w:tcPr>
          <w:p w14:paraId="261B9132"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143.132.828.040</w:t>
            </w:r>
          </w:p>
        </w:tc>
        <w:tc>
          <w:tcPr>
            <w:tcW w:w="1502" w:type="dxa"/>
            <w:tcBorders>
              <w:top w:val="single" w:sz="8" w:space="0" w:color="002060"/>
              <w:left w:val="nil"/>
              <w:bottom w:val="single" w:sz="8" w:space="0" w:color="002060"/>
              <w:right w:val="nil"/>
            </w:tcBorders>
            <w:shd w:val="clear" w:color="000000" w:fill="E7E6E6"/>
            <w:vAlign w:val="center"/>
            <w:hideMark/>
          </w:tcPr>
          <w:p w14:paraId="0A9DEFCD"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ЕUR</w:t>
            </w:r>
          </w:p>
        </w:tc>
        <w:tc>
          <w:tcPr>
            <w:tcW w:w="1502" w:type="dxa"/>
            <w:tcBorders>
              <w:top w:val="single" w:sz="8" w:space="0" w:color="002060"/>
              <w:left w:val="nil"/>
              <w:bottom w:val="single" w:sz="8" w:space="0" w:color="002060"/>
              <w:right w:val="nil"/>
            </w:tcBorders>
            <w:shd w:val="clear" w:color="000000" w:fill="E7E6E6"/>
            <w:vAlign w:val="center"/>
            <w:hideMark/>
          </w:tcPr>
          <w:p w14:paraId="68054DA2"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1.218.151.728</w:t>
            </w:r>
          </w:p>
        </w:tc>
      </w:tr>
    </w:tbl>
    <w:p w14:paraId="05A2733E" w14:textId="77777777" w:rsidR="00412D34" w:rsidRPr="00F27A03" w:rsidRDefault="00412D34" w:rsidP="00412D34">
      <w:pPr>
        <w:spacing w:after="240" w:line="276" w:lineRule="auto"/>
        <w:rPr>
          <w:rFonts w:eastAsia="MS PGothic" w:cstheme="minorHAnsi"/>
          <w:sz w:val="18"/>
          <w:szCs w:val="18"/>
          <w:lang w:val="sr-Cyrl-CS" w:eastAsia="ja-JP"/>
        </w:rPr>
      </w:pPr>
      <w:r w:rsidRPr="00F27A03">
        <w:rPr>
          <w:rFonts w:eastAsia="MS PGothic" w:cstheme="minorHAnsi"/>
          <w:sz w:val="18"/>
          <w:szCs w:val="18"/>
          <w:lang w:val="sr-Cyrl-CS" w:eastAsia="ja-JP"/>
        </w:rPr>
        <w:t>Извор: Министарство финансија</w:t>
      </w:r>
    </w:p>
    <w:p w14:paraId="442BB617" w14:textId="77777777" w:rsidR="00412D34" w:rsidRPr="00F27A03" w:rsidRDefault="00412D34" w:rsidP="00412D34">
      <w:pPr>
        <w:spacing w:after="240"/>
        <w:rPr>
          <w:rFonts w:eastAsia="MS PGothic" w:cstheme="minorHAnsi"/>
          <w:szCs w:val="20"/>
          <w:lang w:val="sr-Cyrl-CS" w:eastAsia="ja-JP"/>
        </w:rPr>
        <w:sectPr w:rsidR="00412D34" w:rsidRPr="00F27A03" w:rsidSect="00A42963">
          <w:type w:val="continuous"/>
          <w:pgSz w:w="12240" w:h="15840"/>
          <w:pgMar w:top="1440" w:right="1440" w:bottom="1440" w:left="1440" w:header="720" w:footer="720" w:gutter="0"/>
          <w:cols w:space="720"/>
          <w:docGrid w:linePitch="360"/>
          <w15:footnoteColumns w:val="1"/>
        </w:sectPr>
      </w:pPr>
    </w:p>
    <w:p w14:paraId="5BF55C68"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У наредним годинама није планиран значајнији раст ове категорије расхода. Учешће ових расхода у БДП креће се у просеку око 0,3% БДП у средњем року.</w:t>
      </w:r>
    </w:p>
    <w:p w14:paraId="6EE6E9A1"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Структурне реформе јавних и државних предузећа, њихово оспособљавање за тржишну утакмицу и финансијску одрживост, с једне стране, и ограничено и циљано издавање нових гаранција, с друге стране, допринеће умањењу фискалних ризика по овом основу и одржавању расхода у планираним, тј. пројектованим оквирима у наредном средњорочном периоду.</w:t>
      </w:r>
    </w:p>
    <w:p w14:paraId="2B9DBC40" w14:textId="77777777" w:rsidR="00412D34" w:rsidRPr="00F27A03" w:rsidRDefault="00412D34" w:rsidP="00A42963">
      <w:pPr>
        <w:rPr>
          <w:rFonts w:cstheme="minorHAnsi"/>
          <w:b/>
          <w:bCs/>
          <w:color w:val="2F5496" w:themeColor="accent1" w:themeShade="BF"/>
          <w:sz w:val="22"/>
          <w:szCs w:val="20"/>
          <w:lang w:val="sr-Cyrl-CS"/>
        </w:rPr>
      </w:pPr>
      <w:r w:rsidRPr="00F27A03">
        <w:rPr>
          <w:rFonts w:cstheme="minorHAnsi"/>
          <w:b/>
          <w:bCs/>
          <w:color w:val="2F5496" w:themeColor="accent1" w:themeShade="BF"/>
          <w:sz w:val="22"/>
          <w:szCs w:val="20"/>
          <w:lang w:val="sr-Cyrl-CS"/>
        </w:rPr>
        <w:t>Јавна предузећа</w:t>
      </w:r>
    </w:p>
    <w:p w14:paraId="5D4BB957"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Пословање јавних предузећа представља значајан извор фискалних ризика, како на страни буџетских прихода, тако и на страни расхода. Јавна предузећа се у пословању суочавају са бројним проблемима, од наплате потраживања, до редовног измиривања обавеза према повериоцима, држави и запосленима и сл. Држава као оснивач и њихов једини власник је одговорна за пословање и њихово је последње уточиште у случају неликвидности. Постоји неколико канала кроз које се могу материјализовати фискални ризици везани за пословање јавних предузећа. Највећи, али не и једини ризик, су државне гаранције дате за кредите јавних предузећа. Одрживост, ефикасност и профитабилност јавних предузећа утичу на приходе буџета, односно на износ добити коју уплаћују у буџет. Квалитет производа и услуга које обезбеђују јавна предузећа утичу на ефикасност и профитабилност приватног сектора и у крајњој инстанци на ниво пореза које уплаћују у буџет.</w:t>
      </w:r>
    </w:p>
    <w:p w14:paraId="3D12337E"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 xml:space="preserve">Јавна предузећа представљају значајан сегмент српске привреде која запошљавају око 68 хиљада </w:t>
      </w:r>
      <w:r w:rsidRPr="00F27A03">
        <w:rPr>
          <w:rFonts w:eastAsia="MS PGothic" w:cstheme="minorHAnsi"/>
          <w:szCs w:val="20"/>
          <w:lang w:val="sr-Cyrl-CS" w:eastAsia="ja-JP"/>
        </w:rPr>
        <w:t>људи. Јавна предузећа се оснивају као друштва за обављање делатности од општег интереса. Њихов рад уређен је Законом о јавним предузећима, који је усвојен у фебруару 2016. године, као и подсекторским законима који дефинишу специфична подручја која нису обухваћена Законом о јавним предузећима (Закон о енергетици, Закон о привредним друштвима и др).</w:t>
      </w:r>
    </w:p>
    <w:p w14:paraId="7E4E5065" w14:textId="77777777" w:rsidR="00412D34" w:rsidRPr="00F27A03" w:rsidRDefault="00412D34" w:rsidP="00A42963">
      <w:pPr>
        <w:rPr>
          <w:rFonts w:cstheme="minorHAnsi"/>
          <w:b/>
          <w:bCs/>
          <w:color w:val="2F5496" w:themeColor="accent1" w:themeShade="BF"/>
          <w:sz w:val="22"/>
          <w:szCs w:val="20"/>
          <w:lang w:val="sr-Cyrl-CS"/>
        </w:rPr>
      </w:pPr>
      <w:r w:rsidRPr="00F27A03">
        <w:rPr>
          <w:rFonts w:cstheme="minorHAnsi"/>
          <w:b/>
          <w:bCs/>
          <w:color w:val="2F5496" w:themeColor="accent1" w:themeShade="BF"/>
          <w:sz w:val="22"/>
          <w:szCs w:val="20"/>
          <w:lang w:val="sr-Cyrl-CS"/>
        </w:rPr>
        <w:t>Кључни финансијски показатељи пословања јавних предузећа</w:t>
      </w:r>
    </w:p>
    <w:p w14:paraId="1D6F3AEA" w14:textId="77777777" w:rsidR="00412D34" w:rsidRPr="00F27A03" w:rsidRDefault="00412D34" w:rsidP="00A42963">
      <w:pPr>
        <w:jc w:val="left"/>
        <w:rPr>
          <w:b/>
          <w:color w:val="2F5496" w:themeColor="accent1" w:themeShade="BF"/>
          <w:lang w:val="sr-Cyrl-CS"/>
        </w:rPr>
      </w:pPr>
      <w:r w:rsidRPr="00F27A03">
        <w:rPr>
          <w:b/>
          <w:color w:val="2F5496" w:themeColor="accent1" w:themeShade="BF"/>
          <w:lang w:val="sr-Cyrl-CS"/>
        </w:rPr>
        <w:t>Резултати пословања јавних предузећа у 2021. години</w:t>
      </w:r>
    </w:p>
    <w:p w14:paraId="4F33DF2D"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Укупна имовина републичких јавних предузећа на крају 2021. године износила је 3.217 млрд динара, док је као крајњи резултат остварен нето губитак у износу од 12,7 млрд динара.</w:t>
      </w:r>
    </w:p>
    <w:p w14:paraId="140595B8" w14:textId="634447F0" w:rsidR="00412D34" w:rsidRPr="00F27A03" w:rsidRDefault="00412D34" w:rsidP="00EB3946">
      <w:pPr>
        <w:jc w:val="center"/>
        <w:rPr>
          <w:rFonts w:eastAsia="MS PGothic" w:cstheme="minorHAnsi"/>
          <w:szCs w:val="20"/>
          <w:lang w:val="sr-Cyrl-CS" w:eastAsia="ja-JP"/>
        </w:rPr>
      </w:pPr>
      <w:r w:rsidRPr="00F27A03">
        <w:rPr>
          <w:rFonts w:eastAsia="MS PGothic" w:cstheme="minorHAnsi"/>
          <w:b/>
          <w:bCs/>
          <w:color w:val="002060"/>
          <w:szCs w:val="20"/>
          <w:lang w:val="sr-Cyrl-CS" w:eastAsia="ja-JP"/>
        </w:rPr>
        <w:t>Табела 1</w:t>
      </w:r>
      <w:r w:rsidR="00EB3946" w:rsidRPr="00F27A03">
        <w:rPr>
          <w:rFonts w:eastAsia="MS PGothic" w:cstheme="minorHAnsi"/>
          <w:b/>
          <w:bCs/>
          <w:color w:val="002060"/>
          <w:szCs w:val="20"/>
          <w:lang w:val="sr-Cyrl-CS" w:eastAsia="ja-JP"/>
        </w:rPr>
        <w:t>5</w:t>
      </w:r>
      <w:r w:rsidRPr="00F27A03">
        <w:rPr>
          <w:rFonts w:eastAsia="MS PGothic" w:cstheme="minorHAnsi"/>
          <w:b/>
          <w:bCs/>
          <w:color w:val="002060"/>
          <w:szCs w:val="20"/>
          <w:lang w:val="sr-Cyrl-CS" w:eastAsia="ja-JP"/>
        </w:rPr>
        <w:t>. Главни финансијски показатељи пословања јавних предузећа, млрд дин.</w:t>
      </w:r>
    </w:p>
    <w:tbl>
      <w:tblPr>
        <w:tblW w:w="4312" w:type="dxa"/>
        <w:tblLook w:val="04A0" w:firstRow="1" w:lastRow="0" w:firstColumn="1" w:lastColumn="0" w:noHBand="0" w:noVBand="1"/>
      </w:tblPr>
      <w:tblGrid>
        <w:gridCol w:w="3020"/>
        <w:gridCol w:w="646"/>
        <w:gridCol w:w="646"/>
      </w:tblGrid>
      <w:tr w:rsidR="00412D34" w:rsidRPr="00F27A03" w14:paraId="547AE706" w14:textId="77777777" w:rsidTr="00A42963">
        <w:trPr>
          <w:trHeight w:hRule="exact" w:val="304"/>
        </w:trPr>
        <w:tc>
          <w:tcPr>
            <w:tcW w:w="0" w:type="auto"/>
            <w:tcBorders>
              <w:top w:val="single" w:sz="8" w:space="0" w:color="002060"/>
              <w:left w:val="nil"/>
              <w:bottom w:val="single" w:sz="8" w:space="0" w:color="002060"/>
              <w:right w:val="nil"/>
            </w:tcBorders>
            <w:shd w:val="clear" w:color="auto" w:fill="auto"/>
            <w:noWrap/>
            <w:vAlign w:val="center"/>
            <w:hideMark/>
          </w:tcPr>
          <w:p w14:paraId="354D7B8D" w14:textId="77777777" w:rsidR="00412D34" w:rsidRPr="00F27A03" w:rsidRDefault="00412D34" w:rsidP="00A42963">
            <w:pPr>
              <w:spacing w:after="120" w:line="276" w:lineRule="auto"/>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Опис</w:t>
            </w:r>
          </w:p>
        </w:tc>
        <w:tc>
          <w:tcPr>
            <w:tcW w:w="0" w:type="auto"/>
            <w:tcBorders>
              <w:top w:val="single" w:sz="8" w:space="0" w:color="002060"/>
              <w:left w:val="nil"/>
              <w:bottom w:val="single" w:sz="8" w:space="0" w:color="002060"/>
              <w:right w:val="nil"/>
            </w:tcBorders>
            <w:shd w:val="clear" w:color="auto" w:fill="auto"/>
            <w:noWrap/>
            <w:vAlign w:val="center"/>
            <w:hideMark/>
          </w:tcPr>
          <w:p w14:paraId="7889A38A"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2020</w:t>
            </w:r>
          </w:p>
        </w:tc>
        <w:tc>
          <w:tcPr>
            <w:tcW w:w="0" w:type="auto"/>
            <w:tcBorders>
              <w:top w:val="single" w:sz="8" w:space="0" w:color="002060"/>
              <w:left w:val="nil"/>
              <w:bottom w:val="single" w:sz="8" w:space="0" w:color="002060"/>
              <w:right w:val="nil"/>
            </w:tcBorders>
            <w:shd w:val="clear" w:color="auto" w:fill="auto"/>
            <w:noWrap/>
            <w:vAlign w:val="center"/>
            <w:hideMark/>
          </w:tcPr>
          <w:p w14:paraId="5353E4BC"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2021</w:t>
            </w:r>
          </w:p>
        </w:tc>
      </w:tr>
      <w:tr w:rsidR="00412D34" w:rsidRPr="00F27A03" w14:paraId="18552DBE" w14:textId="77777777" w:rsidTr="00A42963">
        <w:trPr>
          <w:trHeight w:hRule="exact" w:val="304"/>
        </w:trPr>
        <w:tc>
          <w:tcPr>
            <w:tcW w:w="0" w:type="auto"/>
            <w:tcBorders>
              <w:top w:val="nil"/>
              <w:left w:val="nil"/>
              <w:bottom w:val="nil"/>
              <w:right w:val="nil"/>
            </w:tcBorders>
            <w:shd w:val="clear" w:color="auto" w:fill="auto"/>
            <w:noWrap/>
            <w:vAlign w:val="center"/>
            <w:hideMark/>
          </w:tcPr>
          <w:p w14:paraId="09FDAC25"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Укупна имовина</w:t>
            </w:r>
          </w:p>
        </w:tc>
        <w:tc>
          <w:tcPr>
            <w:tcW w:w="0" w:type="auto"/>
            <w:tcBorders>
              <w:top w:val="nil"/>
              <w:left w:val="nil"/>
              <w:bottom w:val="nil"/>
              <w:right w:val="nil"/>
            </w:tcBorders>
            <w:shd w:val="clear" w:color="auto" w:fill="auto"/>
            <w:noWrap/>
            <w:vAlign w:val="center"/>
            <w:hideMark/>
          </w:tcPr>
          <w:p w14:paraId="63C1CE8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2.654</w:t>
            </w:r>
          </w:p>
        </w:tc>
        <w:tc>
          <w:tcPr>
            <w:tcW w:w="0" w:type="auto"/>
            <w:tcBorders>
              <w:top w:val="nil"/>
              <w:left w:val="nil"/>
              <w:bottom w:val="nil"/>
              <w:right w:val="nil"/>
            </w:tcBorders>
            <w:shd w:val="clear" w:color="auto" w:fill="auto"/>
            <w:noWrap/>
            <w:vAlign w:val="center"/>
          </w:tcPr>
          <w:p w14:paraId="1D1DB929"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3.217</w:t>
            </w:r>
          </w:p>
        </w:tc>
      </w:tr>
      <w:tr w:rsidR="00412D34" w:rsidRPr="00F27A03" w14:paraId="28F0E1AA" w14:textId="77777777" w:rsidTr="00A42963">
        <w:trPr>
          <w:trHeight w:hRule="exact" w:val="304"/>
        </w:trPr>
        <w:tc>
          <w:tcPr>
            <w:tcW w:w="0" w:type="auto"/>
            <w:tcBorders>
              <w:top w:val="nil"/>
              <w:left w:val="nil"/>
              <w:bottom w:val="nil"/>
              <w:right w:val="nil"/>
            </w:tcBorders>
            <w:shd w:val="clear" w:color="auto" w:fill="auto"/>
            <w:noWrap/>
            <w:vAlign w:val="center"/>
            <w:hideMark/>
          </w:tcPr>
          <w:p w14:paraId="16C88F51"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Сопствени капитал</w:t>
            </w:r>
          </w:p>
        </w:tc>
        <w:tc>
          <w:tcPr>
            <w:tcW w:w="0" w:type="auto"/>
            <w:tcBorders>
              <w:top w:val="nil"/>
              <w:left w:val="nil"/>
              <w:bottom w:val="nil"/>
              <w:right w:val="nil"/>
            </w:tcBorders>
            <w:shd w:val="clear" w:color="auto" w:fill="auto"/>
            <w:noWrap/>
            <w:vAlign w:val="center"/>
            <w:hideMark/>
          </w:tcPr>
          <w:p w14:paraId="272EE03B"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1.033</w:t>
            </w:r>
          </w:p>
        </w:tc>
        <w:tc>
          <w:tcPr>
            <w:tcW w:w="0" w:type="auto"/>
            <w:tcBorders>
              <w:top w:val="nil"/>
              <w:left w:val="nil"/>
              <w:bottom w:val="nil"/>
              <w:right w:val="nil"/>
            </w:tcBorders>
            <w:shd w:val="clear" w:color="auto" w:fill="auto"/>
            <w:noWrap/>
            <w:vAlign w:val="center"/>
          </w:tcPr>
          <w:p w14:paraId="4C5D0E0D"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1.140</w:t>
            </w:r>
          </w:p>
        </w:tc>
      </w:tr>
      <w:tr w:rsidR="00412D34" w:rsidRPr="00F27A03" w14:paraId="429B1DD6" w14:textId="77777777" w:rsidTr="00A42963">
        <w:trPr>
          <w:trHeight w:hRule="exact" w:val="304"/>
        </w:trPr>
        <w:tc>
          <w:tcPr>
            <w:tcW w:w="0" w:type="auto"/>
            <w:tcBorders>
              <w:top w:val="nil"/>
              <w:left w:val="nil"/>
              <w:bottom w:val="nil"/>
              <w:right w:val="nil"/>
            </w:tcBorders>
            <w:shd w:val="clear" w:color="auto" w:fill="auto"/>
            <w:noWrap/>
            <w:vAlign w:val="center"/>
            <w:hideMark/>
          </w:tcPr>
          <w:p w14:paraId="3C0E0189"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Укупни приходи</w:t>
            </w:r>
          </w:p>
        </w:tc>
        <w:tc>
          <w:tcPr>
            <w:tcW w:w="0" w:type="auto"/>
            <w:tcBorders>
              <w:top w:val="nil"/>
              <w:left w:val="nil"/>
              <w:bottom w:val="nil"/>
              <w:right w:val="nil"/>
            </w:tcBorders>
            <w:shd w:val="clear" w:color="auto" w:fill="auto"/>
            <w:noWrap/>
            <w:vAlign w:val="center"/>
            <w:hideMark/>
          </w:tcPr>
          <w:p w14:paraId="005DC94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536,4</w:t>
            </w:r>
          </w:p>
        </w:tc>
        <w:tc>
          <w:tcPr>
            <w:tcW w:w="0" w:type="auto"/>
            <w:tcBorders>
              <w:top w:val="nil"/>
              <w:left w:val="nil"/>
              <w:bottom w:val="nil"/>
              <w:right w:val="nil"/>
            </w:tcBorders>
            <w:shd w:val="clear" w:color="auto" w:fill="auto"/>
            <w:noWrap/>
            <w:vAlign w:val="center"/>
          </w:tcPr>
          <w:p w14:paraId="28FE65FB"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776</w:t>
            </w:r>
          </w:p>
        </w:tc>
      </w:tr>
      <w:tr w:rsidR="00412D34" w:rsidRPr="00F27A03" w14:paraId="75A42257" w14:textId="77777777" w:rsidTr="00A42963">
        <w:trPr>
          <w:trHeight w:hRule="exact" w:val="304"/>
        </w:trPr>
        <w:tc>
          <w:tcPr>
            <w:tcW w:w="0" w:type="auto"/>
            <w:tcBorders>
              <w:top w:val="nil"/>
              <w:left w:val="nil"/>
              <w:bottom w:val="nil"/>
              <w:right w:val="nil"/>
            </w:tcBorders>
            <w:shd w:val="clear" w:color="auto" w:fill="auto"/>
            <w:noWrap/>
            <w:vAlign w:val="center"/>
            <w:hideMark/>
          </w:tcPr>
          <w:p w14:paraId="53D45FD3"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Нето резултат</w:t>
            </w:r>
          </w:p>
        </w:tc>
        <w:tc>
          <w:tcPr>
            <w:tcW w:w="0" w:type="auto"/>
            <w:tcBorders>
              <w:top w:val="nil"/>
              <w:left w:val="nil"/>
              <w:bottom w:val="nil"/>
              <w:right w:val="nil"/>
            </w:tcBorders>
            <w:shd w:val="clear" w:color="auto" w:fill="auto"/>
            <w:noWrap/>
            <w:vAlign w:val="center"/>
            <w:hideMark/>
          </w:tcPr>
          <w:p w14:paraId="156D0DA0"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15,2</w:t>
            </w:r>
          </w:p>
        </w:tc>
        <w:tc>
          <w:tcPr>
            <w:tcW w:w="0" w:type="auto"/>
            <w:tcBorders>
              <w:top w:val="nil"/>
              <w:left w:val="nil"/>
              <w:bottom w:val="nil"/>
              <w:right w:val="nil"/>
            </w:tcBorders>
            <w:shd w:val="clear" w:color="auto" w:fill="auto"/>
            <w:noWrap/>
            <w:vAlign w:val="center"/>
          </w:tcPr>
          <w:p w14:paraId="13B08327"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-12,7</w:t>
            </w:r>
          </w:p>
        </w:tc>
      </w:tr>
      <w:tr w:rsidR="00412D34" w:rsidRPr="00F27A03" w14:paraId="166E70B7" w14:textId="77777777" w:rsidTr="00A42963">
        <w:trPr>
          <w:trHeight w:hRule="exact" w:val="304"/>
        </w:trPr>
        <w:tc>
          <w:tcPr>
            <w:tcW w:w="0" w:type="auto"/>
            <w:tcBorders>
              <w:top w:val="nil"/>
              <w:left w:val="nil"/>
              <w:bottom w:val="nil"/>
              <w:right w:val="nil"/>
            </w:tcBorders>
            <w:shd w:val="clear" w:color="auto" w:fill="auto"/>
            <w:noWrap/>
            <w:vAlign w:val="center"/>
            <w:hideMark/>
          </w:tcPr>
          <w:p w14:paraId="34C66622"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Субвенције</w:t>
            </w:r>
          </w:p>
        </w:tc>
        <w:tc>
          <w:tcPr>
            <w:tcW w:w="0" w:type="auto"/>
            <w:tcBorders>
              <w:top w:val="nil"/>
              <w:left w:val="nil"/>
              <w:bottom w:val="nil"/>
              <w:right w:val="nil"/>
            </w:tcBorders>
            <w:shd w:val="clear" w:color="auto" w:fill="auto"/>
            <w:noWrap/>
            <w:vAlign w:val="center"/>
            <w:hideMark/>
          </w:tcPr>
          <w:p w14:paraId="3A48EA03"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66,7</w:t>
            </w:r>
          </w:p>
        </w:tc>
        <w:tc>
          <w:tcPr>
            <w:tcW w:w="0" w:type="auto"/>
            <w:tcBorders>
              <w:top w:val="nil"/>
              <w:left w:val="nil"/>
              <w:bottom w:val="nil"/>
              <w:right w:val="nil"/>
            </w:tcBorders>
            <w:shd w:val="clear" w:color="auto" w:fill="auto"/>
            <w:noWrap/>
            <w:vAlign w:val="center"/>
          </w:tcPr>
          <w:p w14:paraId="1A464FC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67,3</w:t>
            </w:r>
          </w:p>
        </w:tc>
      </w:tr>
      <w:tr w:rsidR="00412D34" w:rsidRPr="00F27A03" w14:paraId="0292AF51" w14:textId="77777777" w:rsidTr="00A42963">
        <w:trPr>
          <w:trHeight w:hRule="exact" w:val="304"/>
        </w:trPr>
        <w:tc>
          <w:tcPr>
            <w:tcW w:w="0" w:type="auto"/>
            <w:tcBorders>
              <w:top w:val="nil"/>
              <w:left w:val="nil"/>
              <w:bottom w:val="single" w:sz="8" w:space="0" w:color="002060"/>
              <w:right w:val="nil"/>
            </w:tcBorders>
            <w:shd w:val="clear" w:color="auto" w:fill="auto"/>
            <w:noWrap/>
            <w:vAlign w:val="center"/>
            <w:hideMark/>
          </w:tcPr>
          <w:p w14:paraId="25E6C88A"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Субвенције, без ЈП „Путеви Србије”</w:t>
            </w:r>
          </w:p>
        </w:tc>
        <w:tc>
          <w:tcPr>
            <w:tcW w:w="0" w:type="auto"/>
            <w:tcBorders>
              <w:top w:val="nil"/>
              <w:left w:val="nil"/>
              <w:bottom w:val="single" w:sz="8" w:space="0" w:color="002060"/>
              <w:right w:val="nil"/>
            </w:tcBorders>
            <w:shd w:val="clear" w:color="auto" w:fill="auto"/>
            <w:noWrap/>
            <w:vAlign w:val="center"/>
            <w:hideMark/>
          </w:tcPr>
          <w:p w14:paraId="21A8287B"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39,8</w:t>
            </w:r>
          </w:p>
        </w:tc>
        <w:tc>
          <w:tcPr>
            <w:tcW w:w="0" w:type="auto"/>
            <w:tcBorders>
              <w:top w:val="nil"/>
              <w:left w:val="nil"/>
              <w:bottom w:val="single" w:sz="8" w:space="0" w:color="002060"/>
              <w:right w:val="nil"/>
            </w:tcBorders>
            <w:shd w:val="clear" w:color="auto" w:fill="auto"/>
            <w:noWrap/>
            <w:vAlign w:val="center"/>
          </w:tcPr>
          <w:p w14:paraId="4B25C210"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38,1</w:t>
            </w:r>
          </w:p>
        </w:tc>
      </w:tr>
    </w:tbl>
    <w:p w14:paraId="505C5F30" w14:textId="77777777" w:rsidR="00412D34" w:rsidRPr="00F27A03" w:rsidRDefault="00412D34" w:rsidP="00A42963">
      <w:pPr>
        <w:rPr>
          <w:rFonts w:eastAsia="MS PGothic" w:cstheme="minorHAnsi"/>
          <w:sz w:val="18"/>
          <w:szCs w:val="18"/>
          <w:lang w:val="sr-Cyrl-CS" w:eastAsia="ja-JP"/>
        </w:rPr>
      </w:pPr>
      <w:r w:rsidRPr="00F27A03">
        <w:rPr>
          <w:rFonts w:eastAsia="MS PGothic" w:cstheme="minorHAnsi"/>
          <w:sz w:val="18"/>
          <w:szCs w:val="18"/>
          <w:lang w:val="sr-Cyrl-CS" w:eastAsia="ja-JP"/>
        </w:rPr>
        <w:t>Извор: Финансијски извештаји за 2020. и 2021. годину</w:t>
      </w:r>
    </w:p>
    <w:p w14:paraId="02BC8717" w14:textId="77777777" w:rsidR="00412D34" w:rsidRPr="00F27A03" w:rsidRDefault="00412D34" w:rsidP="00A42963">
      <w:pPr>
        <w:spacing w:after="40"/>
        <w:rPr>
          <w:rFonts w:eastAsia="MS PGothic" w:cstheme="minorHAnsi"/>
          <w:szCs w:val="20"/>
          <w:lang w:val="sr-Cyrl-CS" w:eastAsia="ja-JP"/>
        </w:rPr>
      </w:pPr>
      <w:r w:rsidRPr="00F27A03">
        <w:rPr>
          <w:rFonts w:eastAsia="MS PGothic" w:cstheme="minorHAnsi"/>
          <w:szCs w:val="20"/>
          <w:lang w:val="sr-Cyrl-CS" w:eastAsia="ja-JP"/>
        </w:rPr>
        <w:t>У 2021. години субвенције су, изражене у проценту укупних прихода, на нижем нивоу у односу на претходну годину и чине 8,7% укупних прихода јавних предузећа. Одређене субвенције имају капитални карактер, као што су субвенције за ЈП „Путеви Србије</w:t>
      </w:r>
      <w:r w:rsidRPr="00F27A03">
        <w:rPr>
          <w:rFonts w:eastAsia="MS PGothic" w:cstheme="minorHAnsi"/>
          <w:bCs/>
          <w:szCs w:val="20"/>
          <w:lang w:val="sr-Cyrl-CS" w:eastAsia="ja-JP"/>
        </w:rPr>
        <w:t>”</w:t>
      </w:r>
      <w:r w:rsidRPr="00F27A03">
        <w:rPr>
          <w:rFonts w:eastAsia="MS PGothic" w:cstheme="minorHAnsi"/>
          <w:szCs w:val="20"/>
          <w:lang w:val="sr-Cyrl-CS" w:eastAsia="ja-JP"/>
        </w:rPr>
        <w:t>, које су намењене реконструкцији путне инфраструктуре.</w:t>
      </w:r>
    </w:p>
    <w:p w14:paraId="4988EAC9" w14:textId="4F56F194" w:rsidR="00412D34" w:rsidRPr="00F27A03" w:rsidRDefault="00412D34" w:rsidP="00A42963">
      <w:pPr>
        <w:jc w:val="left"/>
        <w:rPr>
          <w:b/>
          <w:color w:val="2F5496" w:themeColor="accent1" w:themeShade="BF"/>
          <w:lang w:val="sr-Cyrl-CS"/>
        </w:rPr>
      </w:pPr>
      <w:r w:rsidRPr="00F27A03">
        <w:rPr>
          <w:b/>
          <w:color w:val="2F5496" w:themeColor="accent1" w:themeShade="BF"/>
          <w:lang w:val="sr-Cyrl-CS"/>
        </w:rPr>
        <w:lastRenderedPageBreak/>
        <w:t xml:space="preserve">Резултати пословања јавних предузећа у </w:t>
      </w:r>
      <w:r w:rsidR="00F3559E" w:rsidRPr="00F27A03">
        <w:rPr>
          <w:b/>
          <w:color w:val="2F5496" w:themeColor="accent1" w:themeShade="BF"/>
          <w:lang w:val="sr-Cyrl-CS"/>
        </w:rPr>
        <w:t>првој половини</w:t>
      </w:r>
      <w:r w:rsidRPr="00F27A03">
        <w:rPr>
          <w:b/>
          <w:color w:val="2F5496" w:themeColor="accent1" w:themeShade="BF"/>
          <w:lang w:val="sr-Cyrl-CS"/>
        </w:rPr>
        <w:t xml:space="preserve"> 2022. године</w:t>
      </w:r>
    </w:p>
    <w:p w14:paraId="24A3FC6F" w14:textId="0F4280E5" w:rsidR="00412D34" w:rsidRPr="00F27A03" w:rsidRDefault="00412D34" w:rsidP="00A42963">
      <w:pPr>
        <w:spacing w:after="360"/>
        <w:rPr>
          <w:rFonts w:eastAsia="MS PGothic" w:cstheme="minorHAnsi"/>
          <w:szCs w:val="20"/>
          <w:lang w:val="sr-Cyrl-CS" w:eastAsia="ja-JP"/>
        </w:rPr>
      </w:pPr>
      <w:r w:rsidRPr="00F27A03">
        <w:rPr>
          <w:rFonts w:eastAsia="MS PGothic" w:cstheme="minorHAnsi"/>
          <w:szCs w:val="20"/>
          <w:lang w:val="sr-Cyrl-CS" w:eastAsia="ja-JP"/>
        </w:rPr>
        <w:t xml:space="preserve">Укупан нето резултат утврђен у </w:t>
      </w:r>
      <w:r w:rsidR="00F3559E" w:rsidRPr="00F27A03">
        <w:rPr>
          <w:rFonts w:eastAsia="MS PGothic" w:cstheme="minorHAnsi"/>
          <w:szCs w:val="20"/>
          <w:lang w:val="sr-Cyrl-CS" w:eastAsia="ja-JP"/>
        </w:rPr>
        <w:t>првој половини</w:t>
      </w:r>
      <w:r w:rsidRPr="00F27A03">
        <w:rPr>
          <w:rFonts w:eastAsia="MS PGothic" w:cstheme="minorHAnsi"/>
          <w:szCs w:val="20"/>
          <w:lang w:val="sr-Cyrl-CS" w:eastAsia="ja-JP"/>
        </w:rPr>
        <w:t xml:space="preserve"> 2022. године је губитак у износу од 42,9 млрд </w:t>
      </w:r>
      <w:r w:rsidRPr="00F27A03">
        <w:rPr>
          <w:rFonts w:eastAsia="MS PGothic" w:cstheme="minorHAnsi"/>
          <w:szCs w:val="20"/>
          <w:lang w:val="sr-Cyrl-CS" w:eastAsia="ja-JP"/>
        </w:rPr>
        <w:t>динара. Резултат текуће године је прецењен за трошкове амортизације ЈП „Путеви Србије</w:t>
      </w:r>
      <w:r w:rsidRPr="00F27A03">
        <w:rPr>
          <w:rFonts w:eastAsia="MS PGothic" w:cstheme="minorHAnsi"/>
          <w:bCs/>
          <w:szCs w:val="20"/>
          <w:lang w:val="sr-Cyrl-CS" w:eastAsia="ja-JP"/>
        </w:rPr>
        <w:t>”</w:t>
      </w:r>
      <w:r w:rsidRPr="00F27A03">
        <w:rPr>
          <w:rFonts w:eastAsia="MS PGothic" w:cstheme="minorHAnsi"/>
          <w:szCs w:val="20"/>
          <w:lang w:val="sr-Cyrl-CS" w:eastAsia="ja-JP"/>
        </w:rPr>
        <w:t>, јер предузеће ове трошкове књижи тек на крају године у целокупном износу за дату годину.</w:t>
      </w:r>
    </w:p>
    <w:p w14:paraId="4217F8E1" w14:textId="77777777" w:rsidR="00412D34" w:rsidRPr="00F27A03" w:rsidRDefault="00412D34" w:rsidP="00A42963">
      <w:pPr>
        <w:spacing w:after="0" w:line="276" w:lineRule="auto"/>
        <w:jc w:val="center"/>
        <w:rPr>
          <w:rFonts w:eastAsia="MS PGothic" w:cstheme="minorHAnsi"/>
          <w:b/>
          <w:bCs/>
          <w:color w:val="002060"/>
          <w:szCs w:val="20"/>
          <w:lang w:val="sr-Cyrl-CS" w:eastAsia="ja-JP"/>
        </w:rPr>
        <w:sectPr w:rsidR="00412D34" w:rsidRPr="00F27A03" w:rsidSect="00A42963">
          <w:type w:val="continuous"/>
          <w:pgSz w:w="12240" w:h="15840"/>
          <w:pgMar w:top="1440" w:right="1440" w:bottom="1440" w:left="1440" w:header="720" w:footer="720" w:gutter="0"/>
          <w:cols w:num="2" w:space="720"/>
          <w:docGrid w:linePitch="360"/>
          <w15:footnoteColumns w:val="1"/>
        </w:sectPr>
      </w:pPr>
    </w:p>
    <w:p w14:paraId="2CB39F50" w14:textId="1A1FAC72" w:rsidR="00412D34" w:rsidRPr="00F27A03" w:rsidRDefault="00412D34" w:rsidP="00A42963">
      <w:pPr>
        <w:spacing w:after="0" w:line="276" w:lineRule="auto"/>
        <w:jc w:val="center"/>
        <w:rPr>
          <w:rFonts w:eastAsia="MS PGothic" w:cstheme="minorHAnsi"/>
          <w:b/>
          <w:bCs/>
          <w:color w:val="002060"/>
          <w:szCs w:val="20"/>
          <w:lang w:val="sr-Cyrl-CS" w:eastAsia="ja-JP"/>
        </w:rPr>
      </w:pPr>
      <w:r w:rsidRPr="00F27A03">
        <w:rPr>
          <w:rFonts w:eastAsia="MS PGothic" w:cstheme="minorHAnsi"/>
          <w:b/>
          <w:bCs/>
          <w:color w:val="002060"/>
          <w:szCs w:val="20"/>
          <w:lang w:val="sr-Cyrl-CS" w:eastAsia="ja-JP"/>
        </w:rPr>
        <w:t>Табела 1</w:t>
      </w:r>
      <w:r w:rsidR="00EB3946" w:rsidRPr="00F27A03">
        <w:rPr>
          <w:rFonts w:eastAsia="MS PGothic" w:cstheme="minorHAnsi"/>
          <w:b/>
          <w:bCs/>
          <w:color w:val="002060"/>
          <w:szCs w:val="20"/>
          <w:lang w:val="sr-Cyrl-CS" w:eastAsia="ja-JP"/>
        </w:rPr>
        <w:t>6</w:t>
      </w:r>
      <w:r w:rsidRPr="00F27A03">
        <w:rPr>
          <w:rFonts w:eastAsia="MS PGothic" w:cstheme="minorHAnsi"/>
          <w:b/>
          <w:bCs/>
          <w:color w:val="002060"/>
          <w:szCs w:val="20"/>
          <w:lang w:val="sr-Cyrl-CS" w:eastAsia="ja-JP"/>
        </w:rPr>
        <w:t>. Основни показатељи пословања ЈП на дан 30.06.2022. године, у млрд динара</w:t>
      </w:r>
    </w:p>
    <w:tbl>
      <w:tblPr>
        <w:tblW w:w="9239" w:type="dxa"/>
        <w:tblLayout w:type="fixed"/>
        <w:tblLook w:val="04A0" w:firstRow="1" w:lastRow="0" w:firstColumn="1" w:lastColumn="0" w:noHBand="0" w:noVBand="1"/>
      </w:tblPr>
      <w:tblGrid>
        <w:gridCol w:w="3119"/>
        <w:gridCol w:w="2040"/>
        <w:gridCol w:w="2040"/>
        <w:gridCol w:w="2040"/>
      </w:tblGrid>
      <w:tr w:rsidR="00412D34" w:rsidRPr="00F27A03" w14:paraId="4B894D23" w14:textId="77777777" w:rsidTr="00A42963">
        <w:trPr>
          <w:trHeight w:hRule="exact" w:val="227"/>
          <w:tblHeader/>
        </w:trPr>
        <w:tc>
          <w:tcPr>
            <w:tcW w:w="3119" w:type="dxa"/>
            <w:tcBorders>
              <w:top w:val="single" w:sz="8" w:space="0" w:color="002060"/>
              <w:left w:val="nil"/>
              <w:bottom w:val="single" w:sz="8" w:space="0" w:color="002060"/>
              <w:right w:val="nil"/>
            </w:tcBorders>
            <w:shd w:val="clear" w:color="auto" w:fill="auto"/>
            <w:noWrap/>
            <w:vAlign w:val="center"/>
            <w:hideMark/>
          </w:tcPr>
          <w:p w14:paraId="01F39629" w14:textId="77777777" w:rsidR="00412D34" w:rsidRPr="00F27A03" w:rsidRDefault="00412D34" w:rsidP="00A42963">
            <w:pPr>
              <w:spacing w:after="120" w:line="276" w:lineRule="auto"/>
              <w:jc w:val="lef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Показатељи пословања</w:t>
            </w:r>
          </w:p>
        </w:tc>
        <w:tc>
          <w:tcPr>
            <w:tcW w:w="2040" w:type="dxa"/>
            <w:tcBorders>
              <w:top w:val="single" w:sz="8" w:space="0" w:color="002060"/>
              <w:left w:val="nil"/>
              <w:bottom w:val="single" w:sz="8" w:space="0" w:color="002060"/>
              <w:right w:val="nil"/>
            </w:tcBorders>
            <w:shd w:val="clear" w:color="auto" w:fill="auto"/>
            <w:noWrap/>
            <w:vAlign w:val="center"/>
            <w:hideMark/>
          </w:tcPr>
          <w:p w14:paraId="78D44B0E"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2020</w:t>
            </w:r>
          </w:p>
        </w:tc>
        <w:tc>
          <w:tcPr>
            <w:tcW w:w="2040" w:type="dxa"/>
            <w:tcBorders>
              <w:top w:val="single" w:sz="8" w:space="0" w:color="002060"/>
              <w:left w:val="nil"/>
              <w:bottom w:val="single" w:sz="8" w:space="0" w:color="002060"/>
              <w:right w:val="nil"/>
            </w:tcBorders>
            <w:shd w:val="clear" w:color="auto" w:fill="auto"/>
            <w:noWrap/>
            <w:vAlign w:val="center"/>
            <w:hideMark/>
          </w:tcPr>
          <w:p w14:paraId="03503FB8"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2021</w:t>
            </w:r>
          </w:p>
        </w:tc>
        <w:tc>
          <w:tcPr>
            <w:tcW w:w="2040" w:type="dxa"/>
            <w:tcBorders>
              <w:top w:val="single" w:sz="8" w:space="0" w:color="002060"/>
              <w:left w:val="nil"/>
              <w:bottom w:val="single" w:sz="8" w:space="0" w:color="002060"/>
              <w:right w:val="nil"/>
            </w:tcBorders>
            <w:shd w:val="clear" w:color="auto" w:fill="auto"/>
            <w:noWrap/>
            <w:vAlign w:val="center"/>
            <w:hideMark/>
          </w:tcPr>
          <w:p w14:paraId="38A921FA" w14:textId="77777777" w:rsidR="00412D34" w:rsidRPr="00F27A03" w:rsidRDefault="00412D34" w:rsidP="00A42963">
            <w:pPr>
              <w:spacing w:after="120" w:line="276" w:lineRule="auto"/>
              <w:jc w:val="right"/>
              <w:rPr>
                <w:rFonts w:eastAsia="MS PGothic" w:cstheme="minorHAnsi"/>
                <w:b/>
                <w:color w:val="002060"/>
                <w:sz w:val="18"/>
                <w:szCs w:val="18"/>
                <w:lang w:val="sr-Cyrl-CS" w:eastAsia="ja-JP"/>
              </w:rPr>
            </w:pPr>
            <w:r w:rsidRPr="00F27A03">
              <w:rPr>
                <w:rFonts w:eastAsia="MS PGothic" w:cstheme="minorHAnsi"/>
                <w:b/>
                <w:color w:val="002060"/>
                <w:sz w:val="18"/>
                <w:szCs w:val="18"/>
                <w:lang w:val="sr-Cyrl-CS" w:eastAsia="ja-JP"/>
              </w:rPr>
              <w:t>01.01–30.06.2022.</w:t>
            </w:r>
          </w:p>
        </w:tc>
      </w:tr>
      <w:tr w:rsidR="00412D34" w:rsidRPr="00F27A03" w14:paraId="38BBD24A" w14:textId="77777777" w:rsidTr="00A42963">
        <w:trPr>
          <w:trHeight w:hRule="exact" w:val="227"/>
        </w:trPr>
        <w:tc>
          <w:tcPr>
            <w:tcW w:w="3119" w:type="dxa"/>
            <w:tcBorders>
              <w:top w:val="nil"/>
              <w:left w:val="nil"/>
              <w:bottom w:val="nil"/>
              <w:right w:val="nil"/>
            </w:tcBorders>
            <w:shd w:val="clear" w:color="auto" w:fill="auto"/>
            <w:noWrap/>
            <w:vAlign w:val="center"/>
            <w:hideMark/>
          </w:tcPr>
          <w:p w14:paraId="6D6115F9"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Пословни приходи</w:t>
            </w:r>
          </w:p>
        </w:tc>
        <w:tc>
          <w:tcPr>
            <w:tcW w:w="2040" w:type="dxa"/>
            <w:tcBorders>
              <w:top w:val="nil"/>
              <w:left w:val="nil"/>
              <w:bottom w:val="nil"/>
              <w:right w:val="nil"/>
            </w:tcBorders>
            <w:shd w:val="clear" w:color="auto" w:fill="auto"/>
            <w:noWrap/>
            <w:vAlign w:val="center"/>
          </w:tcPr>
          <w:p w14:paraId="4094DEA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504,5</w:t>
            </w:r>
          </w:p>
        </w:tc>
        <w:tc>
          <w:tcPr>
            <w:tcW w:w="2040" w:type="dxa"/>
            <w:tcBorders>
              <w:top w:val="nil"/>
              <w:left w:val="nil"/>
              <w:bottom w:val="nil"/>
              <w:right w:val="nil"/>
            </w:tcBorders>
            <w:shd w:val="clear" w:color="auto" w:fill="auto"/>
            <w:noWrap/>
            <w:vAlign w:val="center"/>
          </w:tcPr>
          <w:p w14:paraId="2A2D92FE"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739,7</w:t>
            </w:r>
          </w:p>
        </w:tc>
        <w:tc>
          <w:tcPr>
            <w:tcW w:w="2040" w:type="dxa"/>
            <w:tcBorders>
              <w:top w:val="nil"/>
              <w:left w:val="nil"/>
              <w:bottom w:val="nil"/>
              <w:right w:val="nil"/>
            </w:tcBorders>
            <w:shd w:val="clear" w:color="auto" w:fill="auto"/>
            <w:noWrap/>
            <w:vAlign w:val="center"/>
          </w:tcPr>
          <w:p w14:paraId="316CDF35"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447,2</w:t>
            </w:r>
          </w:p>
        </w:tc>
      </w:tr>
      <w:tr w:rsidR="00412D34" w:rsidRPr="00F27A03" w14:paraId="6C9FB13D" w14:textId="77777777" w:rsidTr="00A42963">
        <w:trPr>
          <w:trHeight w:hRule="exact" w:val="227"/>
        </w:trPr>
        <w:tc>
          <w:tcPr>
            <w:tcW w:w="3119" w:type="dxa"/>
            <w:tcBorders>
              <w:top w:val="nil"/>
              <w:left w:val="nil"/>
              <w:bottom w:val="nil"/>
              <w:right w:val="nil"/>
            </w:tcBorders>
            <w:shd w:val="clear" w:color="auto" w:fill="auto"/>
            <w:noWrap/>
            <w:vAlign w:val="center"/>
            <w:hideMark/>
          </w:tcPr>
          <w:p w14:paraId="187F3927"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Пословни расходи</w:t>
            </w:r>
          </w:p>
        </w:tc>
        <w:tc>
          <w:tcPr>
            <w:tcW w:w="2040" w:type="dxa"/>
            <w:tcBorders>
              <w:top w:val="nil"/>
              <w:left w:val="nil"/>
              <w:bottom w:val="nil"/>
              <w:right w:val="nil"/>
            </w:tcBorders>
            <w:shd w:val="clear" w:color="auto" w:fill="auto"/>
            <w:noWrap/>
            <w:vAlign w:val="center"/>
          </w:tcPr>
          <w:p w14:paraId="63C03F98"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468,2</w:t>
            </w:r>
          </w:p>
          <w:p w14:paraId="61548D6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p>
        </w:tc>
        <w:tc>
          <w:tcPr>
            <w:tcW w:w="2040" w:type="dxa"/>
            <w:tcBorders>
              <w:top w:val="nil"/>
              <w:left w:val="nil"/>
              <w:bottom w:val="nil"/>
              <w:right w:val="nil"/>
            </w:tcBorders>
            <w:shd w:val="clear" w:color="auto" w:fill="auto"/>
            <w:noWrap/>
            <w:vAlign w:val="center"/>
          </w:tcPr>
          <w:p w14:paraId="03C254F6"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740,6</w:t>
            </w:r>
          </w:p>
        </w:tc>
        <w:tc>
          <w:tcPr>
            <w:tcW w:w="2040" w:type="dxa"/>
            <w:tcBorders>
              <w:top w:val="nil"/>
              <w:left w:val="nil"/>
              <w:bottom w:val="nil"/>
              <w:right w:val="nil"/>
            </w:tcBorders>
            <w:shd w:val="clear" w:color="auto" w:fill="auto"/>
            <w:noWrap/>
            <w:vAlign w:val="center"/>
          </w:tcPr>
          <w:p w14:paraId="514203F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472,7</w:t>
            </w:r>
          </w:p>
        </w:tc>
      </w:tr>
      <w:tr w:rsidR="00412D34" w:rsidRPr="00F27A03" w14:paraId="13376E55" w14:textId="77777777" w:rsidTr="00A42963">
        <w:trPr>
          <w:trHeight w:hRule="exact" w:val="227"/>
        </w:trPr>
        <w:tc>
          <w:tcPr>
            <w:tcW w:w="3119" w:type="dxa"/>
            <w:tcBorders>
              <w:top w:val="nil"/>
              <w:left w:val="nil"/>
              <w:bottom w:val="nil"/>
              <w:right w:val="nil"/>
            </w:tcBorders>
            <w:shd w:val="clear" w:color="auto" w:fill="auto"/>
            <w:noWrap/>
            <w:vAlign w:val="center"/>
            <w:hideMark/>
          </w:tcPr>
          <w:p w14:paraId="455F5112"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Пословни резултат</w:t>
            </w:r>
          </w:p>
        </w:tc>
        <w:tc>
          <w:tcPr>
            <w:tcW w:w="2040" w:type="dxa"/>
            <w:tcBorders>
              <w:top w:val="nil"/>
              <w:left w:val="nil"/>
              <w:bottom w:val="nil"/>
              <w:right w:val="nil"/>
            </w:tcBorders>
            <w:shd w:val="clear" w:color="auto" w:fill="auto"/>
            <w:noWrap/>
            <w:vAlign w:val="center"/>
          </w:tcPr>
          <w:p w14:paraId="74B5E632"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36,1</w:t>
            </w:r>
          </w:p>
        </w:tc>
        <w:tc>
          <w:tcPr>
            <w:tcW w:w="2040" w:type="dxa"/>
            <w:tcBorders>
              <w:top w:val="nil"/>
              <w:left w:val="nil"/>
              <w:bottom w:val="nil"/>
              <w:right w:val="nil"/>
            </w:tcBorders>
            <w:shd w:val="clear" w:color="auto" w:fill="auto"/>
            <w:noWrap/>
            <w:vAlign w:val="center"/>
          </w:tcPr>
          <w:p w14:paraId="014CF106"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-1,0</w:t>
            </w:r>
          </w:p>
        </w:tc>
        <w:tc>
          <w:tcPr>
            <w:tcW w:w="2040" w:type="dxa"/>
            <w:tcBorders>
              <w:top w:val="nil"/>
              <w:left w:val="nil"/>
              <w:bottom w:val="nil"/>
              <w:right w:val="nil"/>
            </w:tcBorders>
            <w:shd w:val="clear" w:color="auto" w:fill="auto"/>
            <w:noWrap/>
            <w:vAlign w:val="center"/>
          </w:tcPr>
          <w:p w14:paraId="7FC7132C"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-25,5</w:t>
            </w:r>
          </w:p>
        </w:tc>
      </w:tr>
      <w:tr w:rsidR="00412D34" w:rsidRPr="00F27A03" w14:paraId="66A4B551" w14:textId="77777777" w:rsidTr="00A42963">
        <w:trPr>
          <w:trHeight w:hRule="exact" w:val="227"/>
        </w:trPr>
        <w:tc>
          <w:tcPr>
            <w:tcW w:w="3119" w:type="dxa"/>
            <w:tcBorders>
              <w:top w:val="nil"/>
              <w:left w:val="nil"/>
              <w:bottom w:val="nil"/>
              <w:right w:val="nil"/>
            </w:tcBorders>
            <w:shd w:val="clear" w:color="auto" w:fill="auto"/>
            <w:noWrap/>
            <w:vAlign w:val="center"/>
            <w:hideMark/>
          </w:tcPr>
          <w:p w14:paraId="50906EBF"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Нето резултат</w:t>
            </w:r>
          </w:p>
        </w:tc>
        <w:tc>
          <w:tcPr>
            <w:tcW w:w="2040" w:type="dxa"/>
            <w:tcBorders>
              <w:top w:val="nil"/>
              <w:left w:val="nil"/>
              <w:bottom w:val="nil"/>
              <w:right w:val="nil"/>
            </w:tcBorders>
            <w:shd w:val="clear" w:color="auto" w:fill="auto"/>
            <w:noWrap/>
            <w:vAlign w:val="center"/>
          </w:tcPr>
          <w:p w14:paraId="4FF5743F"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15,2</w:t>
            </w:r>
          </w:p>
        </w:tc>
        <w:tc>
          <w:tcPr>
            <w:tcW w:w="2040" w:type="dxa"/>
            <w:tcBorders>
              <w:top w:val="nil"/>
              <w:left w:val="nil"/>
              <w:bottom w:val="nil"/>
              <w:right w:val="nil"/>
            </w:tcBorders>
            <w:shd w:val="clear" w:color="auto" w:fill="auto"/>
            <w:noWrap/>
            <w:vAlign w:val="center"/>
          </w:tcPr>
          <w:p w14:paraId="16796D15"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-12,7</w:t>
            </w:r>
          </w:p>
        </w:tc>
        <w:tc>
          <w:tcPr>
            <w:tcW w:w="2040" w:type="dxa"/>
            <w:tcBorders>
              <w:top w:val="nil"/>
              <w:left w:val="nil"/>
              <w:bottom w:val="nil"/>
              <w:right w:val="nil"/>
            </w:tcBorders>
            <w:shd w:val="clear" w:color="auto" w:fill="auto"/>
            <w:noWrap/>
            <w:vAlign w:val="center"/>
          </w:tcPr>
          <w:p w14:paraId="4B5A6A16"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-42,9</w:t>
            </w:r>
          </w:p>
        </w:tc>
      </w:tr>
      <w:tr w:rsidR="00412D34" w:rsidRPr="00F27A03" w14:paraId="5EB8CC5B" w14:textId="77777777" w:rsidTr="00A42963">
        <w:trPr>
          <w:trHeight w:hRule="exact" w:val="227"/>
        </w:trPr>
        <w:tc>
          <w:tcPr>
            <w:tcW w:w="3119" w:type="dxa"/>
            <w:tcBorders>
              <w:top w:val="nil"/>
              <w:left w:val="nil"/>
              <w:bottom w:val="nil"/>
              <w:right w:val="nil"/>
            </w:tcBorders>
            <w:shd w:val="clear" w:color="auto" w:fill="auto"/>
            <w:noWrap/>
            <w:vAlign w:val="center"/>
            <w:hideMark/>
          </w:tcPr>
          <w:p w14:paraId="57CCD0C5"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Трошкови зарада*</w:t>
            </w:r>
          </w:p>
        </w:tc>
        <w:tc>
          <w:tcPr>
            <w:tcW w:w="2040" w:type="dxa"/>
            <w:tcBorders>
              <w:top w:val="nil"/>
              <w:left w:val="nil"/>
              <w:bottom w:val="nil"/>
              <w:right w:val="nil"/>
            </w:tcBorders>
            <w:shd w:val="clear" w:color="auto" w:fill="auto"/>
            <w:noWrap/>
            <w:vAlign w:val="center"/>
          </w:tcPr>
          <w:p w14:paraId="6772086E"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110,8</w:t>
            </w:r>
          </w:p>
        </w:tc>
        <w:tc>
          <w:tcPr>
            <w:tcW w:w="2040" w:type="dxa"/>
            <w:tcBorders>
              <w:top w:val="nil"/>
              <w:left w:val="nil"/>
              <w:bottom w:val="nil"/>
              <w:right w:val="nil"/>
            </w:tcBorders>
            <w:shd w:val="clear" w:color="auto" w:fill="auto"/>
            <w:noWrap/>
            <w:vAlign w:val="center"/>
          </w:tcPr>
          <w:p w14:paraId="1CBA4F43"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115,0</w:t>
            </w:r>
          </w:p>
        </w:tc>
        <w:tc>
          <w:tcPr>
            <w:tcW w:w="2040" w:type="dxa"/>
            <w:tcBorders>
              <w:top w:val="nil"/>
              <w:left w:val="nil"/>
              <w:bottom w:val="nil"/>
              <w:right w:val="nil"/>
            </w:tcBorders>
            <w:shd w:val="clear" w:color="auto" w:fill="auto"/>
            <w:noWrap/>
            <w:vAlign w:val="center"/>
          </w:tcPr>
          <w:p w14:paraId="327F7503"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58,6</w:t>
            </w:r>
          </w:p>
        </w:tc>
      </w:tr>
      <w:tr w:rsidR="00412D34" w:rsidRPr="00F27A03" w14:paraId="3B0DE54E" w14:textId="77777777" w:rsidTr="00A42963">
        <w:trPr>
          <w:trHeight w:hRule="exact" w:val="229"/>
        </w:trPr>
        <w:tc>
          <w:tcPr>
            <w:tcW w:w="3119" w:type="dxa"/>
            <w:tcBorders>
              <w:top w:val="nil"/>
              <w:left w:val="nil"/>
              <w:bottom w:val="single" w:sz="8" w:space="0" w:color="002060"/>
              <w:right w:val="nil"/>
            </w:tcBorders>
            <w:shd w:val="clear" w:color="auto" w:fill="auto"/>
            <w:noWrap/>
            <w:vAlign w:val="center"/>
            <w:hideMark/>
          </w:tcPr>
          <w:p w14:paraId="728497D9" w14:textId="77777777" w:rsidR="00412D34" w:rsidRPr="00F27A03" w:rsidRDefault="00412D34" w:rsidP="00A42963">
            <w:pPr>
              <w:spacing w:after="120" w:line="276" w:lineRule="auto"/>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 xml:space="preserve">Број ЈП која су остварила добит </w:t>
            </w:r>
          </w:p>
        </w:tc>
        <w:tc>
          <w:tcPr>
            <w:tcW w:w="2040" w:type="dxa"/>
            <w:tcBorders>
              <w:top w:val="nil"/>
              <w:left w:val="nil"/>
              <w:bottom w:val="single" w:sz="8" w:space="0" w:color="002060"/>
              <w:right w:val="nil"/>
            </w:tcBorders>
            <w:shd w:val="clear" w:color="auto" w:fill="auto"/>
            <w:noWrap/>
            <w:vAlign w:val="center"/>
          </w:tcPr>
          <w:p w14:paraId="63C24309"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25</w:t>
            </w:r>
          </w:p>
        </w:tc>
        <w:tc>
          <w:tcPr>
            <w:tcW w:w="2040" w:type="dxa"/>
            <w:tcBorders>
              <w:top w:val="nil"/>
              <w:left w:val="nil"/>
              <w:bottom w:val="single" w:sz="8" w:space="0" w:color="002060"/>
              <w:right w:val="nil"/>
            </w:tcBorders>
            <w:shd w:val="clear" w:color="auto" w:fill="auto"/>
            <w:noWrap/>
            <w:vAlign w:val="center"/>
          </w:tcPr>
          <w:p w14:paraId="2E929CFE"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26</w:t>
            </w:r>
          </w:p>
        </w:tc>
        <w:tc>
          <w:tcPr>
            <w:tcW w:w="2040" w:type="dxa"/>
            <w:tcBorders>
              <w:top w:val="nil"/>
              <w:left w:val="nil"/>
              <w:bottom w:val="single" w:sz="8" w:space="0" w:color="002060"/>
              <w:right w:val="nil"/>
            </w:tcBorders>
            <w:shd w:val="clear" w:color="auto" w:fill="auto"/>
            <w:noWrap/>
            <w:vAlign w:val="center"/>
          </w:tcPr>
          <w:p w14:paraId="499D8541" w14:textId="77777777" w:rsidR="00412D34" w:rsidRPr="00F27A03" w:rsidRDefault="00412D34" w:rsidP="00A42963">
            <w:pPr>
              <w:spacing w:after="120" w:line="276" w:lineRule="auto"/>
              <w:jc w:val="right"/>
              <w:rPr>
                <w:rFonts w:eastAsia="MS PGothic" w:cstheme="minorHAnsi"/>
                <w:color w:val="002060"/>
                <w:sz w:val="18"/>
                <w:szCs w:val="18"/>
                <w:lang w:val="sr-Cyrl-CS" w:eastAsia="ja-JP"/>
              </w:rPr>
            </w:pPr>
            <w:r w:rsidRPr="00F27A03">
              <w:rPr>
                <w:rFonts w:eastAsia="MS PGothic" w:cstheme="minorHAnsi"/>
                <w:color w:val="002060"/>
                <w:sz w:val="18"/>
                <w:szCs w:val="18"/>
                <w:lang w:val="sr-Cyrl-CS" w:eastAsia="ja-JP"/>
              </w:rPr>
              <w:t>24</w:t>
            </w:r>
          </w:p>
        </w:tc>
      </w:tr>
    </w:tbl>
    <w:p w14:paraId="1F22C13F" w14:textId="77777777" w:rsidR="00412D34" w:rsidRPr="00F27A03" w:rsidRDefault="00412D34" w:rsidP="00A42963">
      <w:pPr>
        <w:spacing w:before="40" w:after="0" w:line="276" w:lineRule="auto"/>
        <w:rPr>
          <w:rFonts w:eastAsia="MS PGothic" w:cstheme="minorHAnsi"/>
          <w:sz w:val="18"/>
          <w:szCs w:val="18"/>
          <w:lang w:val="sr-Cyrl-CS" w:eastAsia="ja-JP"/>
        </w:rPr>
      </w:pPr>
      <w:r w:rsidRPr="00F27A03">
        <w:rPr>
          <w:rFonts w:eastAsia="MS PGothic" w:cstheme="minorHAnsi"/>
          <w:sz w:val="18"/>
          <w:szCs w:val="18"/>
          <w:lang w:val="sr-Cyrl-CS" w:eastAsia="ja-JP"/>
        </w:rPr>
        <w:t>* Трошкови зарада, накнада зарада и остали лични расходи</w:t>
      </w:r>
    </w:p>
    <w:p w14:paraId="135C548C" w14:textId="77777777" w:rsidR="00412D34" w:rsidRPr="00F27A03" w:rsidRDefault="00412D34" w:rsidP="00A42963">
      <w:pPr>
        <w:spacing w:line="276" w:lineRule="auto"/>
        <w:rPr>
          <w:rFonts w:eastAsia="MS PGothic" w:cstheme="minorHAnsi"/>
          <w:sz w:val="16"/>
          <w:szCs w:val="20"/>
          <w:lang w:val="sr-Cyrl-CS" w:eastAsia="ja-JP"/>
        </w:rPr>
      </w:pPr>
      <w:r w:rsidRPr="00F27A03">
        <w:rPr>
          <w:rFonts w:eastAsia="MS PGothic" w:cstheme="minorHAnsi"/>
          <w:sz w:val="18"/>
          <w:szCs w:val="18"/>
          <w:lang w:val="sr-Cyrl-CS" w:eastAsia="ja-JP"/>
        </w:rPr>
        <w:t>Извор: Финансијски извештаји за 2020. и 2021. годину и квартални извештаји Министарства привреде за 2022. годину</w:t>
      </w:r>
    </w:p>
    <w:p w14:paraId="58243D59" w14:textId="77777777" w:rsidR="00412D34" w:rsidRPr="00F27A03" w:rsidRDefault="00412D34" w:rsidP="00A42963">
      <w:pPr>
        <w:spacing w:after="360"/>
        <w:rPr>
          <w:rFonts w:eastAsia="MS PGothic" w:cstheme="minorHAnsi"/>
          <w:szCs w:val="20"/>
          <w:lang w:val="sr-Cyrl-CS" w:eastAsia="ja-JP"/>
        </w:rPr>
        <w:sectPr w:rsidR="00412D34" w:rsidRPr="00F27A03" w:rsidSect="00A42963">
          <w:type w:val="continuous"/>
          <w:pgSz w:w="12240" w:h="15840"/>
          <w:pgMar w:top="1440" w:right="1440" w:bottom="1440" w:left="1440" w:header="720" w:footer="720" w:gutter="0"/>
          <w:cols w:space="720"/>
          <w:docGrid w:linePitch="360"/>
          <w15:footnoteColumns w:val="1"/>
        </w:sectPr>
      </w:pPr>
    </w:p>
    <w:p w14:paraId="01526BE8" w14:textId="799F38CA" w:rsidR="00412D34" w:rsidRPr="00F27A03" w:rsidRDefault="00412D34" w:rsidP="00A42963">
      <w:pPr>
        <w:spacing w:after="360"/>
        <w:rPr>
          <w:rFonts w:eastAsia="MS PGothic" w:cstheme="minorHAnsi"/>
          <w:szCs w:val="20"/>
          <w:lang w:val="sr-Cyrl-CS" w:eastAsia="ja-JP"/>
        </w:rPr>
      </w:pPr>
      <w:r w:rsidRPr="00F27A03">
        <w:rPr>
          <w:rFonts w:eastAsia="MS PGothic" w:cstheme="minorHAnsi"/>
          <w:szCs w:val="20"/>
          <w:lang w:val="sr-Cyrl-CS" w:eastAsia="ja-JP"/>
        </w:rPr>
        <w:t xml:space="preserve">У </w:t>
      </w:r>
      <w:r w:rsidR="00F3559E" w:rsidRPr="00F27A03">
        <w:rPr>
          <w:rFonts w:eastAsia="MS PGothic" w:cstheme="minorHAnsi"/>
          <w:szCs w:val="20"/>
          <w:lang w:val="sr-Cyrl-CS" w:eastAsia="ja-JP"/>
        </w:rPr>
        <w:t>првој половини</w:t>
      </w:r>
      <w:r w:rsidRPr="00F27A03">
        <w:rPr>
          <w:rFonts w:eastAsia="MS PGothic" w:cstheme="minorHAnsi"/>
          <w:szCs w:val="20"/>
          <w:lang w:val="sr-Cyrl-CS" w:eastAsia="ja-JP"/>
        </w:rPr>
        <w:t xml:space="preserve"> текуће године добит је остварило 24 предузећа у укупном износу од 10,4 млрд динара, то је мање у односу на планирано (планирана вредност износи 19,5 млрд динара). </w:t>
      </w:r>
      <w:r w:rsidRPr="00F27A03">
        <w:rPr>
          <w:rFonts w:eastAsia="MS PGothic" w:cstheme="minorHAnsi"/>
          <w:szCs w:val="20"/>
          <w:lang w:val="sr-Cyrl-CS" w:eastAsia="ja-JP"/>
        </w:rPr>
        <w:t>Највећи утицај на позитиван нето резултат у посматраном периоду има „Електромрежа Србије” а.д. које је остварило нето добит у износу од 3,8 млрд динара.</w:t>
      </w:r>
    </w:p>
    <w:p w14:paraId="52025E53" w14:textId="77777777" w:rsidR="00412D34" w:rsidRPr="00F27A03" w:rsidRDefault="00412D34" w:rsidP="00A42963">
      <w:pPr>
        <w:spacing w:after="0"/>
        <w:rPr>
          <w:rFonts w:eastAsia="MS PGothic" w:cstheme="minorHAnsi"/>
          <w:b/>
          <w:bCs/>
          <w:color w:val="002060"/>
          <w:szCs w:val="20"/>
          <w:lang w:val="sr-Cyrl-CS" w:eastAsia="ja-JP"/>
        </w:rPr>
        <w:sectPr w:rsidR="00412D34" w:rsidRPr="00F27A03" w:rsidSect="00A42963">
          <w:type w:val="continuous"/>
          <w:pgSz w:w="12240" w:h="15840"/>
          <w:pgMar w:top="1440" w:right="1440" w:bottom="1440" w:left="1440" w:header="720" w:footer="720" w:gutter="0"/>
          <w:cols w:num="2" w:space="720"/>
          <w:docGrid w:linePitch="360"/>
          <w15:footnoteColumns w:val="1"/>
        </w:sectPr>
      </w:pPr>
    </w:p>
    <w:p w14:paraId="3FE97517" w14:textId="77152A2A" w:rsidR="00412D34" w:rsidRPr="00F27A03" w:rsidRDefault="00412D34" w:rsidP="00A42963">
      <w:pPr>
        <w:spacing w:after="0"/>
        <w:jc w:val="center"/>
        <w:rPr>
          <w:rFonts w:eastAsia="MS PGothic" w:cstheme="minorHAnsi"/>
          <w:b/>
          <w:bCs/>
          <w:color w:val="002060"/>
          <w:szCs w:val="20"/>
          <w:lang w:val="sr-Cyrl-CS" w:eastAsia="ja-JP"/>
        </w:rPr>
      </w:pPr>
      <w:r w:rsidRPr="00F27A03">
        <w:rPr>
          <w:rFonts w:eastAsia="MS PGothic" w:cstheme="minorHAnsi"/>
          <w:b/>
          <w:bCs/>
          <w:color w:val="002060"/>
          <w:szCs w:val="20"/>
          <w:lang w:val="sr-Cyrl-CS" w:eastAsia="ja-JP"/>
        </w:rPr>
        <w:t>Табела 1</w:t>
      </w:r>
      <w:r w:rsidR="00EB3946" w:rsidRPr="00F27A03">
        <w:rPr>
          <w:rFonts w:eastAsia="MS PGothic" w:cstheme="minorHAnsi"/>
          <w:b/>
          <w:bCs/>
          <w:color w:val="002060"/>
          <w:szCs w:val="20"/>
          <w:lang w:val="sr-Cyrl-CS" w:eastAsia="ja-JP"/>
        </w:rPr>
        <w:t>7</w:t>
      </w:r>
      <w:r w:rsidRPr="00F27A03">
        <w:rPr>
          <w:rFonts w:eastAsia="MS PGothic" w:cstheme="minorHAnsi"/>
          <w:b/>
          <w:bCs/>
          <w:color w:val="002060"/>
          <w:szCs w:val="20"/>
          <w:lang w:val="sr-Cyrl-CS" w:eastAsia="ja-JP"/>
        </w:rPr>
        <w:t xml:space="preserve">. Јавна предузећа која су остварила нето добит у периоду </w:t>
      </w:r>
      <w:r w:rsidR="00BE1938" w:rsidRPr="00F27A03">
        <w:rPr>
          <w:rFonts w:eastAsia="MS PGothic" w:cstheme="minorHAnsi"/>
          <w:b/>
          <w:bCs/>
          <w:color w:val="002060"/>
          <w:szCs w:val="20"/>
          <w:lang w:val="sr-Cyrl-CS" w:eastAsia="ja-JP"/>
        </w:rPr>
        <w:br w:type="textWrapping" w:clear="all"/>
      </w:r>
      <w:r w:rsidRPr="00F27A03">
        <w:rPr>
          <w:rFonts w:eastAsia="MS PGothic" w:cstheme="minorHAnsi"/>
          <w:b/>
          <w:bCs/>
          <w:color w:val="002060"/>
          <w:szCs w:val="20"/>
          <w:lang w:val="sr-Cyrl-CS" w:eastAsia="ja-JP"/>
        </w:rPr>
        <w:t>01.01–30.06.2022. године, у хиљ. динара</w:t>
      </w:r>
    </w:p>
    <w:tbl>
      <w:tblPr>
        <w:tblpPr w:leftFromText="180" w:rightFromText="180" w:vertAnchor="text" w:horzAnchor="margin" w:tblpXSpec="center" w:tblpY="109"/>
        <w:tblW w:w="9137" w:type="dxa"/>
        <w:tblLook w:val="04A0" w:firstRow="1" w:lastRow="0" w:firstColumn="1" w:lastColumn="0" w:noHBand="0" w:noVBand="1"/>
      </w:tblPr>
      <w:tblGrid>
        <w:gridCol w:w="4093"/>
        <w:gridCol w:w="1466"/>
        <w:gridCol w:w="1812"/>
        <w:gridCol w:w="1766"/>
      </w:tblGrid>
      <w:tr w:rsidR="00412D34" w:rsidRPr="00F27A03" w14:paraId="21327C2E" w14:textId="77777777" w:rsidTr="00A42963">
        <w:trPr>
          <w:trHeight w:val="220"/>
        </w:trPr>
        <w:tc>
          <w:tcPr>
            <w:tcW w:w="4093" w:type="dxa"/>
            <w:tcBorders>
              <w:top w:val="single" w:sz="8" w:space="0" w:color="002060"/>
              <w:left w:val="nil"/>
              <w:bottom w:val="single" w:sz="8" w:space="0" w:color="002060"/>
              <w:right w:val="nil"/>
            </w:tcBorders>
            <w:shd w:val="clear" w:color="auto" w:fill="auto"/>
            <w:noWrap/>
            <w:vAlign w:val="center"/>
            <w:hideMark/>
          </w:tcPr>
          <w:p w14:paraId="7A3DB79D"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Предузеће</w:t>
            </w:r>
          </w:p>
        </w:tc>
        <w:tc>
          <w:tcPr>
            <w:tcW w:w="1466" w:type="dxa"/>
            <w:tcBorders>
              <w:top w:val="single" w:sz="8" w:space="0" w:color="002060"/>
              <w:left w:val="nil"/>
              <w:bottom w:val="single" w:sz="8" w:space="0" w:color="002060"/>
              <w:right w:val="nil"/>
            </w:tcBorders>
            <w:shd w:val="clear" w:color="auto" w:fill="auto"/>
            <w:vAlign w:val="center"/>
            <w:hideMark/>
          </w:tcPr>
          <w:p w14:paraId="2CB9EE15"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Реализација 2021</w:t>
            </w:r>
          </w:p>
        </w:tc>
        <w:tc>
          <w:tcPr>
            <w:tcW w:w="1812" w:type="dxa"/>
            <w:tcBorders>
              <w:top w:val="single" w:sz="8" w:space="0" w:color="002060"/>
              <w:left w:val="nil"/>
              <w:bottom w:val="single" w:sz="8" w:space="0" w:color="002060"/>
              <w:right w:val="nil"/>
            </w:tcBorders>
            <w:shd w:val="clear" w:color="auto" w:fill="auto"/>
            <w:vAlign w:val="center"/>
            <w:hideMark/>
          </w:tcPr>
          <w:p w14:paraId="73EF72C5"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 xml:space="preserve">План </w:t>
            </w:r>
            <w:r w:rsidRPr="00F27A03">
              <w:rPr>
                <w:rFonts w:ascii="Calibri" w:eastAsia="Times New Roman" w:hAnsi="Calibri" w:cs="Calibri"/>
                <w:b/>
                <w:bCs/>
                <w:color w:val="002060"/>
                <w:sz w:val="18"/>
                <w:szCs w:val="18"/>
                <w:lang w:val="sr-Cyrl-CS" w:eastAsia="en-GB"/>
              </w:rPr>
              <w:br w:type="textWrapping" w:clear="all"/>
              <w:t>01.01–30.06.2022.</w:t>
            </w:r>
          </w:p>
        </w:tc>
        <w:tc>
          <w:tcPr>
            <w:tcW w:w="1766" w:type="dxa"/>
            <w:tcBorders>
              <w:top w:val="single" w:sz="8" w:space="0" w:color="002060"/>
              <w:left w:val="nil"/>
              <w:bottom w:val="single" w:sz="8" w:space="0" w:color="002060"/>
              <w:right w:val="nil"/>
            </w:tcBorders>
            <w:shd w:val="clear" w:color="auto" w:fill="auto"/>
            <w:vAlign w:val="center"/>
            <w:hideMark/>
          </w:tcPr>
          <w:p w14:paraId="4412D2EC"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 xml:space="preserve">Реализација </w:t>
            </w:r>
            <w:r w:rsidRPr="00F27A03">
              <w:rPr>
                <w:rFonts w:ascii="Calibri" w:eastAsia="Times New Roman" w:hAnsi="Calibri" w:cs="Calibri"/>
                <w:b/>
                <w:bCs/>
                <w:color w:val="002060"/>
                <w:sz w:val="18"/>
                <w:szCs w:val="18"/>
                <w:lang w:val="sr-Cyrl-CS" w:eastAsia="en-GB"/>
              </w:rPr>
              <w:br w:type="textWrapping" w:clear="all"/>
              <w:t>01.01–30.06.2022.</w:t>
            </w:r>
          </w:p>
        </w:tc>
      </w:tr>
      <w:tr w:rsidR="00412D34" w:rsidRPr="00F27A03" w14:paraId="386D0CD5" w14:textId="77777777" w:rsidTr="00A42963">
        <w:trPr>
          <w:trHeight w:val="170"/>
        </w:trPr>
        <w:tc>
          <w:tcPr>
            <w:tcW w:w="4093" w:type="dxa"/>
            <w:tcBorders>
              <w:top w:val="nil"/>
              <w:left w:val="nil"/>
              <w:bottom w:val="nil"/>
              <w:right w:val="nil"/>
            </w:tcBorders>
            <w:shd w:val="clear" w:color="auto" w:fill="auto"/>
            <w:noWrap/>
            <w:vAlign w:val="center"/>
            <w:hideMark/>
          </w:tcPr>
          <w:p w14:paraId="28D2BF63"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„Србијагас”</w:t>
            </w:r>
          </w:p>
        </w:tc>
        <w:tc>
          <w:tcPr>
            <w:tcW w:w="1466" w:type="dxa"/>
            <w:tcBorders>
              <w:top w:val="nil"/>
              <w:left w:val="nil"/>
              <w:bottom w:val="nil"/>
              <w:right w:val="nil"/>
            </w:tcBorders>
            <w:shd w:val="clear" w:color="auto" w:fill="auto"/>
            <w:noWrap/>
            <w:vAlign w:val="center"/>
            <w:hideMark/>
          </w:tcPr>
          <w:p w14:paraId="3805082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3.772.985</w:t>
            </w:r>
          </w:p>
        </w:tc>
        <w:tc>
          <w:tcPr>
            <w:tcW w:w="1812" w:type="dxa"/>
            <w:tcBorders>
              <w:top w:val="nil"/>
              <w:left w:val="nil"/>
              <w:bottom w:val="nil"/>
              <w:right w:val="nil"/>
            </w:tcBorders>
            <w:shd w:val="clear" w:color="auto" w:fill="auto"/>
            <w:noWrap/>
          </w:tcPr>
          <w:p w14:paraId="34170CE0"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6.916.626</w:t>
            </w:r>
          </w:p>
        </w:tc>
        <w:tc>
          <w:tcPr>
            <w:tcW w:w="1766" w:type="dxa"/>
            <w:tcBorders>
              <w:top w:val="nil"/>
              <w:left w:val="nil"/>
              <w:bottom w:val="nil"/>
              <w:right w:val="nil"/>
            </w:tcBorders>
            <w:shd w:val="clear" w:color="auto" w:fill="auto"/>
            <w:noWrap/>
          </w:tcPr>
          <w:p w14:paraId="7355AA24"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1.923.264</w:t>
            </w:r>
          </w:p>
        </w:tc>
      </w:tr>
      <w:tr w:rsidR="00412D34" w:rsidRPr="00F27A03" w14:paraId="76719F6C" w14:textId="77777777" w:rsidTr="00A42963">
        <w:trPr>
          <w:trHeight w:val="170"/>
        </w:trPr>
        <w:tc>
          <w:tcPr>
            <w:tcW w:w="4093" w:type="dxa"/>
            <w:tcBorders>
              <w:top w:val="nil"/>
              <w:left w:val="nil"/>
              <w:bottom w:val="nil"/>
              <w:right w:val="nil"/>
            </w:tcBorders>
            <w:shd w:val="clear" w:color="auto" w:fill="auto"/>
            <w:noWrap/>
            <w:vAlign w:val="center"/>
            <w:hideMark/>
          </w:tcPr>
          <w:p w14:paraId="4A9214A1"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„Мрежа-Мост”</w:t>
            </w:r>
          </w:p>
        </w:tc>
        <w:tc>
          <w:tcPr>
            <w:tcW w:w="1466" w:type="dxa"/>
            <w:tcBorders>
              <w:top w:val="nil"/>
              <w:left w:val="nil"/>
              <w:bottom w:val="nil"/>
              <w:right w:val="nil"/>
            </w:tcBorders>
            <w:shd w:val="clear" w:color="auto" w:fill="auto"/>
            <w:noWrap/>
            <w:vAlign w:val="center"/>
            <w:hideMark/>
          </w:tcPr>
          <w:p w14:paraId="612E48BE"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7.495</w:t>
            </w:r>
          </w:p>
        </w:tc>
        <w:tc>
          <w:tcPr>
            <w:tcW w:w="1812" w:type="dxa"/>
            <w:tcBorders>
              <w:top w:val="nil"/>
              <w:left w:val="nil"/>
              <w:bottom w:val="nil"/>
              <w:right w:val="nil"/>
            </w:tcBorders>
            <w:shd w:val="clear" w:color="auto" w:fill="auto"/>
            <w:noWrap/>
          </w:tcPr>
          <w:p w14:paraId="47A97C3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0</w:t>
            </w:r>
          </w:p>
        </w:tc>
        <w:tc>
          <w:tcPr>
            <w:tcW w:w="1766" w:type="dxa"/>
            <w:tcBorders>
              <w:top w:val="nil"/>
              <w:left w:val="nil"/>
              <w:bottom w:val="nil"/>
              <w:right w:val="nil"/>
            </w:tcBorders>
            <w:shd w:val="clear" w:color="auto" w:fill="auto"/>
            <w:noWrap/>
          </w:tcPr>
          <w:p w14:paraId="4C0EFFA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4.450</w:t>
            </w:r>
          </w:p>
        </w:tc>
      </w:tr>
      <w:tr w:rsidR="00412D34" w:rsidRPr="00F27A03" w14:paraId="173AA773" w14:textId="77777777" w:rsidTr="00A42963">
        <w:trPr>
          <w:trHeight w:val="170"/>
        </w:trPr>
        <w:tc>
          <w:tcPr>
            <w:tcW w:w="4093" w:type="dxa"/>
            <w:tcBorders>
              <w:top w:val="nil"/>
              <w:left w:val="nil"/>
              <w:bottom w:val="nil"/>
              <w:right w:val="nil"/>
            </w:tcBorders>
            <w:shd w:val="clear" w:color="auto" w:fill="auto"/>
            <w:noWrap/>
            <w:vAlign w:val="center"/>
            <w:hideMark/>
          </w:tcPr>
          <w:p w14:paraId="7FFDED90"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„Национални парк Ђердап”</w:t>
            </w:r>
          </w:p>
        </w:tc>
        <w:tc>
          <w:tcPr>
            <w:tcW w:w="1466" w:type="dxa"/>
            <w:tcBorders>
              <w:top w:val="nil"/>
              <w:left w:val="nil"/>
              <w:bottom w:val="nil"/>
              <w:right w:val="nil"/>
            </w:tcBorders>
            <w:shd w:val="clear" w:color="auto" w:fill="auto"/>
            <w:noWrap/>
            <w:vAlign w:val="center"/>
            <w:hideMark/>
          </w:tcPr>
          <w:p w14:paraId="4B8FACE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14.116</w:t>
            </w:r>
          </w:p>
        </w:tc>
        <w:tc>
          <w:tcPr>
            <w:tcW w:w="1812" w:type="dxa"/>
            <w:tcBorders>
              <w:top w:val="nil"/>
              <w:left w:val="nil"/>
              <w:bottom w:val="nil"/>
              <w:right w:val="nil"/>
            </w:tcBorders>
            <w:shd w:val="clear" w:color="auto" w:fill="auto"/>
            <w:noWrap/>
          </w:tcPr>
          <w:p w14:paraId="61E973BC"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4.679</w:t>
            </w:r>
          </w:p>
        </w:tc>
        <w:tc>
          <w:tcPr>
            <w:tcW w:w="1766" w:type="dxa"/>
            <w:tcBorders>
              <w:top w:val="nil"/>
              <w:left w:val="nil"/>
              <w:bottom w:val="nil"/>
              <w:right w:val="nil"/>
            </w:tcBorders>
            <w:shd w:val="clear" w:color="auto" w:fill="auto"/>
            <w:noWrap/>
          </w:tcPr>
          <w:p w14:paraId="5409CE4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27.854</w:t>
            </w:r>
          </w:p>
        </w:tc>
      </w:tr>
      <w:tr w:rsidR="00412D34" w:rsidRPr="00F27A03" w14:paraId="04DAC2FC" w14:textId="77777777" w:rsidTr="00A42963">
        <w:trPr>
          <w:trHeight w:val="170"/>
        </w:trPr>
        <w:tc>
          <w:tcPr>
            <w:tcW w:w="4093" w:type="dxa"/>
            <w:tcBorders>
              <w:top w:val="nil"/>
              <w:left w:val="nil"/>
              <w:bottom w:val="nil"/>
              <w:right w:val="nil"/>
            </w:tcBorders>
            <w:shd w:val="clear" w:color="auto" w:fill="auto"/>
            <w:noWrap/>
            <w:vAlign w:val="center"/>
            <w:hideMark/>
          </w:tcPr>
          <w:p w14:paraId="4036A8B7"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„Скијалишта Србије”</w:t>
            </w:r>
          </w:p>
        </w:tc>
        <w:tc>
          <w:tcPr>
            <w:tcW w:w="1466" w:type="dxa"/>
            <w:tcBorders>
              <w:top w:val="nil"/>
              <w:left w:val="nil"/>
              <w:bottom w:val="nil"/>
              <w:right w:val="nil"/>
            </w:tcBorders>
            <w:shd w:val="clear" w:color="auto" w:fill="auto"/>
            <w:noWrap/>
            <w:vAlign w:val="center"/>
            <w:hideMark/>
          </w:tcPr>
          <w:p w14:paraId="0BF34854"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244.263</w:t>
            </w:r>
          </w:p>
        </w:tc>
        <w:tc>
          <w:tcPr>
            <w:tcW w:w="1812" w:type="dxa"/>
            <w:tcBorders>
              <w:top w:val="nil"/>
              <w:left w:val="nil"/>
              <w:bottom w:val="nil"/>
              <w:right w:val="nil"/>
            </w:tcBorders>
            <w:shd w:val="clear" w:color="auto" w:fill="auto"/>
            <w:noWrap/>
          </w:tcPr>
          <w:p w14:paraId="0F2A7BCF"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522.273</w:t>
            </w:r>
          </w:p>
        </w:tc>
        <w:tc>
          <w:tcPr>
            <w:tcW w:w="1766" w:type="dxa"/>
            <w:tcBorders>
              <w:top w:val="nil"/>
              <w:left w:val="nil"/>
              <w:bottom w:val="nil"/>
              <w:right w:val="nil"/>
            </w:tcBorders>
            <w:shd w:val="clear" w:color="auto" w:fill="auto"/>
            <w:noWrap/>
          </w:tcPr>
          <w:p w14:paraId="6BDC7E00"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884.488</w:t>
            </w:r>
          </w:p>
        </w:tc>
      </w:tr>
      <w:tr w:rsidR="00412D34" w:rsidRPr="00F27A03" w14:paraId="479E662B" w14:textId="77777777" w:rsidTr="00A42963">
        <w:trPr>
          <w:trHeight w:val="170"/>
        </w:trPr>
        <w:tc>
          <w:tcPr>
            <w:tcW w:w="4093" w:type="dxa"/>
            <w:tcBorders>
              <w:top w:val="nil"/>
              <w:left w:val="nil"/>
              <w:bottom w:val="nil"/>
              <w:right w:val="nil"/>
            </w:tcBorders>
            <w:shd w:val="clear" w:color="auto" w:fill="auto"/>
            <w:noWrap/>
            <w:vAlign w:val="center"/>
            <w:hideMark/>
          </w:tcPr>
          <w:p w14:paraId="5776F01F"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„Стара планина” Књажевац</w:t>
            </w:r>
          </w:p>
        </w:tc>
        <w:tc>
          <w:tcPr>
            <w:tcW w:w="1466" w:type="dxa"/>
            <w:tcBorders>
              <w:top w:val="nil"/>
              <w:left w:val="nil"/>
              <w:bottom w:val="nil"/>
              <w:right w:val="nil"/>
            </w:tcBorders>
            <w:shd w:val="clear" w:color="auto" w:fill="auto"/>
            <w:noWrap/>
            <w:vAlign w:val="center"/>
            <w:hideMark/>
          </w:tcPr>
          <w:p w14:paraId="08E6C668"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3.776</w:t>
            </w:r>
          </w:p>
        </w:tc>
        <w:tc>
          <w:tcPr>
            <w:tcW w:w="1812" w:type="dxa"/>
            <w:tcBorders>
              <w:top w:val="nil"/>
              <w:left w:val="nil"/>
              <w:bottom w:val="nil"/>
              <w:right w:val="nil"/>
            </w:tcBorders>
            <w:shd w:val="clear" w:color="auto" w:fill="auto"/>
            <w:noWrap/>
          </w:tcPr>
          <w:p w14:paraId="185641E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1.209</w:t>
            </w:r>
          </w:p>
        </w:tc>
        <w:tc>
          <w:tcPr>
            <w:tcW w:w="1766" w:type="dxa"/>
            <w:tcBorders>
              <w:top w:val="nil"/>
              <w:left w:val="nil"/>
              <w:bottom w:val="nil"/>
              <w:right w:val="nil"/>
            </w:tcBorders>
            <w:shd w:val="clear" w:color="auto" w:fill="auto"/>
            <w:noWrap/>
          </w:tcPr>
          <w:p w14:paraId="402ADE49"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1.364</w:t>
            </w:r>
          </w:p>
        </w:tc>
      </w:tr>
      <w:tr w:rsidR="00412D34" w:rsidRPr="00F27A03" w14:paraId="49C1FEE6" w14:textId="77777777" w:rsidTr="00A42963">
        <w:trPr>
          <w:trHeight w:val="170"/>
        </w:trPr>
        <w:tc>
          <w:tcPr>
            <w:tcW w:w="4093" w:type="dxa"/>
            <w:tcBorders>
              <w:top w:val="nil"/>
              <w:left w:val="nil"/>
              <w:bottom w:val="nil"/>
              <w:right w:val="nil"/>
            </w:tcBorders>
            <w:shd w:val="clear" w:color="auto" w:fill="auto"/>
            <w:noWrap/>
            <w:vAlign w:val="center"/>
            <w:hideMark/>
          </w:tcPr>
          <w:p w14:paraId="22C25CAF"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„Метохија” д.o.o.</w:t>
            </w:r>
          </w:p>
        </w:tc>
        <w:tc>
          <w:tcPr>
            <w:tcW w:w="1466" w:type="dxa"/>
            <w:tcBorders>
              <w:top w:val="nil"/>
              <w:left w:val="nil"/>
              <w:bottom w:val="nil"/>
              <w:right w:val="nil"/>
            </w:tcBorders>
            <w:shd w:val="clear" w:color="auto" w:fill="auto"/>
            <w:noWrap/>
            <w:vAlign w:val="center"/>
            <w:hideMark/>
          </w:tcPr>
          <w:p w14:paraId="156A6FFB"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554</w:t>
            </w:r>
          </w:p>
        </w:tc>
        <w:tc>
          <w:tcPr>
            <w:tcW w:w="1812" w:type="dxa"/>
            <w:tcBorders>
              <w:top w:val="nil"/>
              <w:left w:val="nil"/>
              <w:bottom w:val="nil"/>
              <w:right w:val="nil"/>
            </w:tcBorders>
            <w:shd w:val="clear" w:color="auto" w:fill="auto"/>
            <w:noWrap/>
          </w:tcPr>
          <w:p w14:paraId="2F56B1D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5.500</w:t>
            </w:r>
          </w:p>
        </w:tc>
        <w:tc>
          <w:tcPr>
            <w:tcW w:w="1766" w:type="dxa"/>
            <w:tcBorders>
              <w:top w:val="nil"/>
              <w:left w:val="nil"/>
              <w:bottom w:val="nil"/>
              <w:right w:val="nil"/>
            </w:tcBorders>
            <w:shd w:val="clear" w:color="auto" w:fill="auto"/>
            <w:noWrap/>
          </w:tcPr>
          <w:p w14:paraId="2BF0A3A0"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1.926</w:t>
            </w:r>
          </w:p>
        </w:tc>
      </w:tr>
      <w:tr w:rsidR="00412D34" w:rsidRPr="00F27A03" w14:paraId="489F6BBC" w14:textId="77777777" w:rsidTr="00A42963">
        <w:trPr>
          <w:trHeight w:val="170"/>
        </w:trPr>
        <w:tc>
          <w:tcPr>
            <w:tcW w:w="4093" w:type="dxa"/>
            <w:tcBorders>
              <w:top w:val="nil"/>
              <w:left w:val="nil"/>
              <w:bottom w:val="nil"/>
              <w:right w:val="nil"/>
            </w:tcBorders>
            <w:shd w:val="clear" w:color="auto" w:fill="auto"/>
            <w:noWrap/>
            <w:vAlign w:val="center"/>
            <w:hideMark/>
          </w:tcPr>
          <w:p w14:paraId="325CAC3A"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„Коридори Србије” д.о.о.</w:t>
            </w:r>
          </w:p>
        </w:tc>
        <w:tc>
          <w:tcPr>
            <w:tcW w:w="1466" w:type="dxa"/>
            <w:tcBorders>
              <w:top w:val="nil"/>
              <w:left w:val="nil"/>
              <w:bottom w:val="nil"/>
              <w:right w:val="nil"/>
            </w:tcBorders>
            <w:shd w:val="clear" w:color="auto" w:fill="auto"/>
            <w:noWrap/>
            <w:vAlign w:val="center"/>
            <w:hideMark/>
          </w:tcPr>
          <w:p w14:paraId="2847EB6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0</w:t>
            </w:r>
          </w:p>
        </w:tc>
        <w:tc>
          <w:tcPr>
            <w:tcW w:w="1812" w:type="dxa"/>
            <w:tcBorders>
              <w:top w:val="nil"/>
              <w:left w:val="nil"/>
              <w:bottom w:val="nil"/>
              <w:right w:val="nil"/>
            </w:tcBorders>
            <w:shd w:val="clear" w:color="auto" w:fill="auto"/>
            <w:noWrap/>
          </w:tcPr>
          <w:p w14:paraId="6A1EF9C7"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0</w:t>
            </w:r>
          </w:p>
        </w:tc>
        <w:tc>
          <w:tcPr>
            <w:tcW w:w="1766" w:type="dxa"/>
            <w:tcBorders>
              <w:top w:val="nil"/>
              <w:left w:val="nil"/>
              <w:bottom w:val="nil"/>
              <w:right w:val="nil"/>
            </w:tcBorders>
            <w:shd w:val="clear" w:color="auto" w:fill="auto"/>
            <w:noWrap/>
          </w:tcPr>
          <w:p w14:paraId="416130F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207.977</w:t>
            </w:r>
          </w:p>
        </w:tc>
      </w:tr>
      <w:tr w:rsidR="00412D34" w:rsidRPr="00F27A03" w14:paraId="39FF453B" w14:textId="77777777" w:rsidTr="00A42963">
        <w:trPr>
          <w:trHeight w:val="170"/>
        </w:trPr>
        <w:tc>
          <w:tcPr>
            <w:tcW w:w="4093" w:type="dxa"/>
            <w:tcBorders>
              <w:top w:val="nil"/>
              <w:left w:val="nil"/>
              <w:bottom w:val="nil"/>
              <w:right w:val="nil"/>
            </w:tcBorders>
            <w:shd w:val="clear" w:color="auto" w:fill="auto"/>
            <w:noWrap/>
            <w:vAlign w:val="center"/>
            <w:hideMark/>
          </w:tcPr>
          <w:p w14:paraId="26F4F180"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Tранснафта АД</w:t>
            </w:r>
          </w:p>
        </w:tc>
        <w:tc>
          <w:tcPr>
            <w:tcW w:w="1466" w:type="dxa"/>
            <w:tcBorders>
              <w:top w:val="nil"/>
              <w:left w:val="nil"/>
              <w:bottom w:val="nil"/>
              <w:right w:val="nil"/>
            </w:tcBorders>
            <w:shd w:val="clear" w:color="auto" w:fill="auto"/>
            <w:noWrap/>
            <w:vAlign w:val="center"/>
            <w:hideMark/>
          </w:tcPr>
          <w:p w14:paraId="1DE18C0D"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179.593</w:t>
            </w:r>
          </w:p>
        </w:tc>
        <w:tc>
          <w:tcPr>
            <w:tcW w:w="1812" w:type="dxa"/>
            <w:tcBorders>
              <w:top w:val="nil"/>
              <w:left w:val="nil"/>
              <w:bottom w:val="nil"/>
              <w:right w:val="nil"/>
            </w:tcBorders>
            <w:shd w:val="clear" w:color="auto" w:fill="auto"/>
            <w:noWrap/>
          </w:tcPr>
          <w:p w14:paraId="70C68C50"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13.783</w:t>
            </w:r>
          </w:p>
        </w:tc>
        <w:tc>
          <w:tcPr>
            <w:tcW w:w="1766" w:type="dxa"/>
            <w:tcBorders>
              <w:top w:val="nil"/>
              <w:left w:val="nil"/>
              <w:bottom w:val="nil"/>
              <w:right w:val="nil"/>
            </w:tcBorders>
            <w:shd w:val="clear" w:color="auto" w:fill="auto"/>
            <w:noWrap/>
          </w:tcPr>
          <w:p w14:paraId="0C01BEBE"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107.656</w:t>
            </w:r>
          </w:p>
        </w:tc>
      </w:tr>
      <w:tr w:rsidR="00412D34" w:rsidRPr="00F27A03" w14:paraId="7E910C1C" w14:textId="77777777" w:rsidTr="00A42963">
        <w:trPr>
          <w:trHeight w:val="170"/>
        </w:trPr>
        <w:tc>
          <w:tcPr>
            <w:tcW w:w="4093" w:type="dxa"/>
            <w:tcBorders>
              <w:top w:val="nil"/>
              <w:left w:val="nil"/>
              <w:bottom w:val="nil"/>
              <w:right w:val="nil"/>
            </w:tcBorders>
            <w:shd w:val="clear" w:color="auto" w:fill="auto"/>
            <w:noWrap/>
            <w:vAlign w:val="center"/>
            <w:hideMark/>
          </w:tcPr>
          <w:p w14:paraId="110FC9D8"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„Пошта Србије”</w:t>
            </w:r>
          </w:p>
        </w:tc>
        <w:tc>
          <w:tcPr>
            <w:tcW w:w="1466" w:type="dxa"/>
            <w:tcBorders>
              <w:top w:val="nil"/>
              <w:left w:val="nil"/>
              <w:bottom w:val="nil"/>
              <w:right w:val="nil"/>
            </w:tcBorders>
            <w:shd w:val="clear" w:color="auto" w:fill="auto"/>
            <w:noWrap/>
            <w:vAlign w:val="center"/>
            <w:hideMark/>
          </w:tcPr>
          <w:p w14:paraId="25BF1C0B"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3.283.600</w:t>
            </w:r>
          </w:p>
        </w:tc>
        <w:tc>
          <w:tcPr>
            <w:tcW w:w="1812" w:type="dxa"/>
            <w:tcBorders>
              <w:top w:val="nil"/>
              <w:left w:val="nil"/>
              <w:bottom w:val="nil"/>
              <w:right w:val="nil"/>
            </w:tcBorders>
            <w:shd w:val="clear" w:color="auto" w:fill="auto"/>
            <w:noWrap/>
          </w:tcPr>
          <w:p w14:paraId="2FA38ACB"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4.185.374</w:t>
            </w:r>
          </w:p>
        </w:tc>
        <w:tc>
          <w:tcPr>
            <w:tcW w:w="1766" w:type="dxa"/>
            <w:tcBorders>
              <w:top w:val="nil"/>
              <w:left w:val="nil"/>
              <w:bottom w:val="nil"/>
              <w:right w:val="nil"/>
            </w:tcBorders>
            <w:shd w:val="clear" w:color="auto" w:fill="auto"/>
            <w:noWrap/>
          </w:tcPr>
          <w:p w14:paraId="30105B73"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971.002</w:t>
            </w:r>
          </w:p>
        </w:tc>
      </w:tr>
      <w:tr w:rsidR="00412D34" w:rsidRPr="00F27A03" w14:paraId="2AAFBD14" w14:textId="77777777" w:rsidTr="00A42963">
        <w:trPr>
          <w:trHeight w:val="170"/>
        </w:trPr>
        <w:tc>
          <w:tcPr>
            <w:tcW w:w="4093" w:type="dxa"/>
            <w:tcBorders>
              <w:top w:val="nil"/>
              <w:left w:val="nil"/>
              <w:bottom w:val="nil"/>
              <w:right w:val="nil"/>
            </w:tcBorders>
            <w:shd w:val="clear" w:color="auto" w:fill="auto"/>
            <w:noWrap/>
            <w:vAlign w:val="center"/>
            <w:hideMark/>
          </w:tcPr>
          <w:p w14:paraId="1D8A9D5D"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Привредно друштво „Просветни преглед” д.о.о.</w:t>
            </w:r>
          </w:p>
        </w:tc>
        <w:tc>
          <w:tcPr>
            <w:tcW w:w="1466" w:type="dxa"/>
            <w:tcBorders>
              <w:top w:val="nil"/>
              <w:left w:val="nil"/>
              <w:bottom w:val="nil"/>
              <w:right w:val="nil"/>
            </w:tcBorders>
            <w:shd w:val="clear" w:color="auto" w:fill="auto"/>
            <w:noWrap/>
            <w:vAlign w:val="center"/>
            <w:hideMark/>
          </w:tcPr>
          <w:p w14:paraId="69C3B0C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19.630</w:t>
            </w:r>
          </w:p>
        </w:tc>
        <w:tc>
          <w:tcPr>
            <w:tcW w:w="1812" w:type="dxa"/>
            <w:tcBorders>
              <w:top w:val="nil"/>
              <w:left w:val="nil"/>
              <w:bottom w:val="nil"/>
              <w:right w:val="nil"/>
            </w:tcBorders>
            <w:shd w:val="clear" w:color="auto" w:fill="auto"/>
            <w:noWrap/>
          </w:tcPr>
          <w:p w14:paraId="1360D04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18.308</w:t>
            </w:r>
          </w:p>
        </w:tc>
        <w:tc>
          <w:tcPr>
            <w:tcW w:w="1766" w:type="dxa"/>
            <w:tcBorders>
              <w:top w:val="nil"/>
              <w:left w:val="nil"/>
              <w:bottom w:val="nil"/>
              <w:right w:val="nil"/>
            </w:tcBorders>
            <w:shd w:val="clear" w:color="auto" w:fill="auto"/>
            <w:noWrap/>
          </w:tcPr>
          <w:p w14:paraId="042215EC"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21.644</w:t>
            </w:r>
          </w:p>
        </w:tc>
      </w:tr>
      <w:tr w:rsidR="00412D34" w:rsidRPr="00F27A03" w14:paraId="41837E6E" w14:textId="77777777" w:rsidTr="00A42963">
        <w:trPr>
          <w:trHeight w:val="170"/>
        </w:trPr>
        <w:tc>
          <w:tcPr>
            <w:tcW w:w="4093" w:type="dxa"/>
            <w:tcBorders>
              <w:top w:val="nil"/>
              <w:left w:val="nil"/>
              <w:bottom w:val="nil"/>
              <w:right w:val="nil"/>
            </w:tcBorders>
            <w:shd w:val="clear" w:color="auto" w:fill="auto"/>
            <w:noWrap/>
            <w:vAlign w:val="center"/>
            <w:hideMark/>
          </w:tcPr>
          <w:p w14:paraId="32F5608A"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„Службени гласник”</w:t>
            </w:r>
          </w:p>
        </w:tc>
        <w:tc>
          <w:tcPr>
            <w:tcW w:w="1466" w:type="dxa"/>
            <w:tcBorders>
              <w:top w:val="nil"/>
              <w:left w:val="nil"/>
              <w:bottom w:val="nil"/>
              <w:right w:val="nil"/>
            </w:tcBorders>
            <w:shd w:val="clear" w:color="auto" w:fill="auto"/>
            <w:noWrap/>
            <w:vAlign w:val="center"/>
            <w:hideMark/>
          </w:tcPr>
          <w:p w14:paraId="0A85516C"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6.625</w:t>
            </w:r>
          </w:p>
        </w:tc>
        <w:tc>
          <w:tcPr>
            <w:tcW w:w="1812" w:type="dxa"/>
            <w:tcBorders>
              <w:top w:val="nil"/>
              <w:left w:val="nil"/>
              <w:bottom w:val="nil"/>
              <w:right w:val="nil"/>
            </w:tcBorders>
            <w:shd w:val="clear" w:color="auto" w:fill="auto"/>
            <w:noWrap/>
          </w:tcPr>
          <w:p w14:paraId="3791540F"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49.097</w:t>
            </w:r>
          </w:p>
        </w:tc>
        <w:tc>
          <w:tcPr>
            <w:tcW w:w="1766" w:type="dxa"/>
            <w:tcBorders>
              <w:top w:val="nil"/>
              <w:left w:val="nil"/>
              <w:bottom w:val="nil"/>
              <w:right w:val="nil"/>
            </w:tcBorders>
            <w:shd w:val="clear" w:color="auto" w:fill="auto"/>
            <w:noWrap/>
          </w:tcPr>
          <w:p w14:paraId="5D528349"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88.705</w:t>
            </w:r>
          </w:p>
        </w:tc>
      </w:tr>
      <w:tr w:rsidR="00412D34" w:rsidRPr="00F27A03" w14:paraId="314878C4" w14:textId="77777777" w:rsidTr="00A42963">
        <w:trPr>
          <w:trHeight w:val="170"/>
        </w:trPr>
        <w:tc>
          <w:tcPr>
            <w:tcW w:w="4093" w:type="dxa"/>
            <w:tcBorders>
              <w:top w:val="nil"/>
              <w:left w:val="nil"/>
              <w:bottom w:val="nil"/>
              <w:right w:val="nil"/>
            </w:tcBorders>
            <w:shd w:val="clear" w:color="auto" w:fill="auto"/>
            <w:noWrap/>
            <w:vAlign w:val="center"/>
            <w:hideMark/>
          </w:tcPr>
          <w:p w14:paraId="6C9625EA"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„Национални парк Фрушка гора”</w:t>
            </w:r>
          </w:p>
        </w:tc>
        <w:tc>
          <w:tcPr>
            <w:tcW w:w="1466" w:type="dxa"/>
            <w:tcBorders>
              <w:top w:val="nil"/>
              <w:left w:val="nil"/>
              <w:bottom w:val="nil"/>
              <w:right w:val="nil"/>
            </w:tcBorders>
            <w:shd w:val="clear" w:color="auto" w:fill="auto"/>
            <w:noWrap/>
            <w:vAlign w:val="center"/>
            <w:hideMark/>
          </w:tcPr>
          <w:p w14:paraId="573967AF"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1.884</w:t>
            </w:r>
          </w:p>
        </w:tc>
        <w:tc>
          <w:tcPr>
            <w:tcW w:w="1812" w:type="dxa"/>
            <w:tcBorders>
              <w:top w:val="nil"/>
              <w:left w:val="nil"/>
              <w:bottom w:val="nil"/>
              <w:right w:val="nil"/>
            </w:tcBorders>
            <w:shd w:val="clear" w:color="auto" w:fill="auto"/>
            <w:noWrap/>
          </w:tcPr>
          <w:p w14:paraId="504B9125"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5.789</w:t>
            </w:r>
          </w:p>
        </w:tc>
        <w:tc>
          <w:tcPr>
            <w:tcW w:w="1766" w:type="dxa"/>
            <w:tcBorders>
              <w:top w:val="nil"/>
              <w:left w:val="nil"/>
              <w:bottom w:val="nil"/>
              <w:right w:val="nil"/>
            </w:tcBorders>
            <w:shd w:val="clear" w:color="auto" w:fill="auto"/>
            <w:noWrap/>
          </w:tcPr>
          <w:p w14:paraId="7E0C19D8"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8.009</w:t>
            </w:r>
          </w:p>
        </w:tc>
      </w:tr>
      <w:tr w:rsidR="00412D34" w:rsidRPr="00F27A03" w14:paraId="3F16D81E" w14:textId="77777777" w:rsidTr="00A42963">
        <w:trPr>
          <w:trHeight w:val="170"/>
        </w:trPr>
        <w:tc>
          <w:tcPr>
            <w:tcW w:w="4093" w:type="dxa"/>
            <w:tcBorders>
              <w:top w:val="nil"/>
              <w:left w:val="nil"/>
              <w:bottom w:val="nil"/>
              <w:right w:val="nil"/>
            </w:tcBorders>
            <w:shd w:val="clear" w:color="auto" w:fill="auto"/>
            <w:noWrap/>
            <w:vAlign w:val="center"/>
            <w:hideMark/>
          </w:tcPr>
          <w:p w14:paraId="444DD670"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„Дипос” д.o.o.</w:t>
            </w:r>
          </w:p>
        </w:tc>
        <w:tc>
          <w:tcPr>
            <w:tcW w:w="1466" w:type="dxa"/>
            <w:tcBorders>
              <w:top w:val="nil"/>
              <w:left w:val="nil"/>
              <w:bottom w:val="nil"/>
              <w:right w:val="nil"/>
            </w:tcBorders>
            <w:shd w:val="clear" w:color="auto" w:fill="auto"/>
            <w:noWrap/>
            <w:vAlign w:val="center"/>
            <w:hideMark/>
          </w:tcPr>
          <w:p w14:paraId="79285B5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132.047</w:t>
            </w:r>
          </w:p>
        </w:tc>
        <w:tc>
          <w:tcPr>
            <w:tcW w:w="1812" w:type="dxa"/>
            <w:tcBorders>
              <w:top w:val="nil"/>
              <w:left w:val="nil"/>
              <w:bottom w:val="nil"/>
              <w:right w:val="nil"/>
            </w:tcBorders>
            <w:shd w:val="clear" w:color="auto" w:fill="auto"/>
            <w:noWrap/>
          </w:tcPr>
          <w:p w14:paraId="1C4595A4"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59.321</w:t>
            </w:r>
          </w:p>
        </w:tc>
        <w:tc>
          <w:tcPr>
            <w:tcW w:w="1766" w:type="dxa"/>
            <w:tcBorders>
              <w:top w:val="nil"/>
              <w:left w:val="nil"/>
              <w:bottom w:val="nil"/>
              <w:right w:val="nil"/>
            </w:tcBorders>
            <w:shd w:val="clear" w:color="auto" w:fill="auto"/>
            <w:noWrap/>
          </w:tcPr>
          <w:p w14:paraId="348A777D"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154.635</w:t>
            </w:r>
          </w:p>
        </w:tc>
      </w:tr>
      <w:tr w:rsidR="00412D34" w:rsidRPr="00F27A03" w14:paraId="03DB316F" w14:textId="77777777" w:rsidTr="00A42963">
        <w:trPr>
          <w:trHeight w:val="170"/>
        </w:trPr>
        <w:tc>
          <w:tcPr>
            <w:tcW w:w="4093" w:type="dxa"/>
            <w:tcBorders>
              <w:top w:val="nil"/>
              <w:left w:val="nil"/>
              <w:bottom w:val="nil"/>
              <w:right w:val="nil"/>
            </w:tcBorders>
            <w:shd w:val="clear" w:color="auto" w:fill="auto"/>
            <w:noWrap/>
            <w:vAlign w:val="center"/>
            <w:hideMark/>
          </w:tcPr>
          <w:p w14:paraId="6A6DCB57"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„Електромрежа Србије” a.д.</w:t>
            </w:r>
          </w:p>
        </w:tc>
        <w:tc>
          <w:tcPr>
            <w:tcW w:w="1466" w:type="dxa"/>
            <w:tcBorders>
              <w:top w:val="nil"/>
              <w:left w:val="nil"/>
              <w:bottom w:val="nil"/>
              <w:right w:val="nil"/>
            </w:tcBorders>
            <w:shd w:val="clear" w:color="auto" w:fill="auto"/>
            <w:noWrap/>
            <w:vAlign w:val="center"/>
            <w:hideMark/>
          </w:tcPr>
          <w:p w14:paraId="111EBDA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2.320.668</w:t>
            </w:r>
          </w:p>
        </w:tc>
        <w:tc>
          <w:tcPr>
            <w:tcW w:w="1812" w:type="dxa"/>
            <w:tcBorders>
              <w:top w:val="nil"/>
              <w:left w:val="nil"/>
              <w:bottom w:val="nil"/>
              <w:right w:val="nil"/>
            </w:tcBorders>
            <w:shd w:val="clear" w:color="auto" w:fill="auto"/>
            <w:noWrap/>
          </w:tcPr>
          <w:p w14:paraId="635E3224"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1.475.460</w:t>
            </w:r>
          </w:p>
        </w:tc>
        <w:tc>
          <w:tcPr>
            <w:tcW w:w="1766" w:type="dxa"/>
            <w:tcBorders>
              <w:top w:val="nil"/>
              <w:left w:val="nil"/>
              <w:bottom w:val="nil"/>
              <w:right w:val="nil"/>
            </w:tcBorders>
            <w:shd w:val="clear" w:color="auto" w:fill="auto"/>
            <w:noWrap/>
          </w:tcPr>
          <w:p w14:paraId="2FB668B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3.803.554</w:t>
            </w:r>
          </w:p>
        </w:tc>
      </w:tr>
      <w:tr w:rsidR="00412D34" w:rsidRPr="00F27A03" w14:paraId="5EBAF6CE" w14:textId="77777777" w:rsidTr="00A42963">
        <w:trPr>
          <w:trHeight w:val="170"/>
        </w:trPr>
        <w:tc>
          <w:tcPr>
            <w:tcW w:w="4093" w:type="dxa"/>
            <w:tcBorders>
              <w:top w:val="nil"/>
              <w:left w:val="nil"/>
              <w:bottom w:val="nil"/>
              <w:right w:val="nil"/>
            </w:tcBorders>
            <w:shd w:val="clear" w:color="auto" w:fill="auto"/>
            <w:noWrap/>
            <w:vAlign w:val="center"/>
            <w:hideMark/>
          </w:tcPr>
          <w:p w14:paraId="0B042EB8"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„Национални парк Копаоник”</w:t>
            </w:r>
          </w:p>
        </w:tc>
        <w:tc>
          <w:tcPr>
            <w:tcW w:w="1466" w:type="dxa"/>
            <w:tcBorders>
              <w:top w:val="nil"/>
              <w:left w:val="nil"/>
              <w:bottom w:val="nil"/>
              <w:right w:val="nil"/>
            </w:tcBorders>
            <w:shd w:val="clear" w:color="auto" w:fill="auto"/>
            <w:noWrap/>
            <w:vAlign w:val="center"/>
            <w:hideMark/>
          </w:tcPr>
          <w:p w14:paraId="3A80EF95"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20.193</w:t>
            </w:r>
          </w:p>
        </w:tc>
        <w:tc>
          <w:tcPr>
            <w:tcW w:w="1812" w:type="dxa"/>
            <w:tcBorders>
              <w:top w:val="nil"/>
              <w:left w:val="nil"/>
              <w:bottom w:val="nil"/>
              <w:right w:val="nil"/>
            </w:tcBorders>
            <w:shd w:val="clear" w:color="auto" w:fill="auto"/>
            <w:noWrap/>
          </w:tcPr>
          <w:p w14:paraId="7F73FD7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39.687</w:t>
            </w:r>
          </w:p>
        </w:tc>
        <w:tc>
          <w:tcPr>
            <w:tcW w:w="1766" w:type="dxa"/>
            <w:tcBorders>
              <w:top w:val="nil"/>
              <w:left w:val="nil"/>
              <w:bottom w:val="nil"/>
              <w:right w:val="nil"/>
            </w:tcBorders>
            <w:shd w:val="clear" w:color="auto" w:fill="auto"/>
            <w:noWrap/>
          </w:tcPr>
          <w:p w14:paraId="1FCEE1D9"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49.059</w:t>
            </w:r>
          </w:p>
        </w:tc>
      </w:tr>
      <w:tr w:rsidR="00412D34" w:rsidRPr="00F27A03" w14:paraId="4F464D45" w14:textId="77777777" w:rsidTr="00A42963">
        <w:trPr>
          <w:trHeight w:val="170"/>
        </w:trPr>
        <w:tc>
          <w:tcPr>
            <w:tcW w:w="4093" w:type="dxa"/>
            <w:tcBorders>
              <w:top w:val="nil"/>
              <w:left w:val="nil"/>
              <w:bottom w:val="nil"/>
              <w:right w:val="nil"/>
            </w:tcBorders>
            <w:shd w:val="clear" w:color="auto" w:fill="auto"/>
            <w:noWrap/>
            <w:vAlign w:val="center"/>
            <w:hideMark/>
          </w:tcPr>
          <w:p w14:paraId="459B26C9"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„Државна лутрија Србије” д.o.o. </w:t>
            </w:r>
          </w:p>
        </w:tc>
        <w:tc>
          <w:tcPr>
            <w:tcW w:w="1466" w:type="dxa"/>
            <w:tcBorders>
              <w:top w:val="nil"/>
              <w:left w:val="nil"/>
              <w:bottom w:val="nil"/>
              <w:right w:val="nil"/>
            </w:tcBorders>
            <w:shd w:val="clear" w:color="auto" w:fill="auto"/>
            <w:noWrap/>
            <w:vAlign w:val="center"/>
            <w:hideMark/>
          </w:tcPr>
          <w:p w14:paraId="6C2BC0B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140.574</w:t>
            </w:r>
          </w:p>
        </w:tc>
        <w:tc>
          <w:tcPr>
            <w:tcW w:w="1812" w:type="dxa"/>
            <w:tcBorders>
              <w:top w:val="nil"/>
              <w:left w:val="nil"/>
              <w:bottom w:val="nil"/>
              <w:right w:val="nil"/>
            </w:tcBorders>
            <w:shd w:val="clear" w:color="auto" w:fill="auto"/>
            <w:noWrap/>
          </w:tcPr>
          <w:p w14:paraId="658D023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29.974</w:t>
            </w:r>
          </w:p>
        </w:tc>
        <w:tc>
          <w:tcPr>
            <w:tcW w:w="1766" w:type="dxa"/>
            <w:tcBorders>
              <w:top w:val="nil"/>
              <w:left w:val="nil"/>
              <w:bottom w:val="nil"/>
              <w:right w:val="nil"/>
            </w:tcBorders>
            <w:shd w:val="clear" w:color="auto" w:fill="auto"/>
            <w:noWrap/>
          </w:tcPr>
          <w:p w14:paraId="6D9A309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197.262</w:t>
            </w:r>
          </w:p>
        </w:tc>
      </w:tr>
      <w:tr w:rsidR="00412D34" w:rsidRPr="00F27A03" w14:paraId="6B5B67F8" w14:textId="77777777" w:rsidTr="00A42963">
        <w:trPr>
          <w:trHeight w:val="170"/>
        </w:trPr>
        <w:tc>
          <w:tcPr>
            <w:tcW w:w="4093" w:type="dxa"/>
            <w:tcBorders>
              <w:top w:val="nil"/>
              <w:left w:val="nil"/>
              <w:bottom w:val="nil"/>
              <w:right w:val="nil"/>
            </w:tcBorders>
            <w:shd w:val="clear" w:color="auto" w:fill="auto"/>
            <w:noWrap/>
            <w:vAlign w:val="center"/>
            <w:hideMark/>
          </w:tcPr>
          <w:p w14:paraId="570F3033"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„Национални парк Тара”</w:t>
            </w:r>
          </w:p>
        </w:tc>
        <w:tc>
          <w:tcPr>
            <w:tcW w:w="1466" w:type="dxa"/>
            <w:tcBorders>
              <w:top w:val="nil"/>
              <w:left w:val="nil"/>
              <w:bottom w:val="nil"/>
              <w:right w:val="nil"/>
            </w:tcBorders>
            <w:shd w:val="clear" w:color="auto" w:fill="auto"/>
            <w:noWrap/>
            <w:vAlign w:val="center"/>
            <w:hideMark/>
          </w:tcPr>
          <w:p w14:paraId="7CB8F01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9.726</w:t>
            </w:r>
          </w:p>
        </w:tc>
        <w:tc>
          <w:tcPr>
            <w:tcW w:w="1812" w:type="dxa"/>
            <w:tcBorders>
              <w:top w:val="nil"/>
              <w:left w:val="nil"/>
              <w:bottom w:val="nil"/>
              <w:right w:val="nil"/>
            </w:tcBorders>
            <w:shd w:val="clear" w:color="auto" w:fill="auto"/>
            <w:noWrap/>
          </w:tcPr>
          <w:p w14:paraId="5DDF7AD8"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1.460</w:t>
            </w:r>
          </w:p>
        </w:tc>
        <w:tc>
          <w:tcPr>
            <w:tcW w:w="1766" w:type="dxa"/>
            <w:tcBorders>
              <w:top w:val="nil"/>
              <w:left w:val="nil"/>
              <w:bottom w:val="nil"/>
              <w:right w:val="nil"/>
            </w:tcBorders>
            <w:shd w:val="clear" w:color="auto" w:fill="auto"/>
            <w:noWrap/>
          </w:tcPr>
          <w:p w14:paraId="61789E3D"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1.410</w:t>
            </w:r>
          </w:p>
        </w:tc>
      </w:tr>
      <w:tr w:rsidR="00412D34" w:rsidRPr="00F27A03" w14:paraId="56DFB353" w14:textId="77777777" w:rsidTr="00A42963">
        <w:trPr>
          <w:trHeight w:val="170"/>
        </w:trPr>
        <w:tc>
          <w:tcPr>
            <w:tcW w:w="4093" w:type="dxa"/>
            <w:tcBorders>
              <w:top w:val="nil"/>
              <w:left w:val="nil"/>
              <w:bottom w:val="nil"/>
              <w:right w:val="nil"/>
            </w:tcBorders>
            <w:shd w:val="clear" w:color="auto" w:fill="auto"/>
            <w:noWrap/>
            <w:vAlign w:val="center"/>
            <w:hideMark/>
          </w:tcPr>
          <w:p w14:paraId="2CB07ED2"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„Нуклеарни објекти Србије” ВИНЧА</w:t>
            </w:r>
          </w:p>
        </w:tc>
        <w:tc>
          <w:tcPr>
            <w:tcW w:w="1466" w:type="dxa"/>
            <w:tcBorders>
              <w:top w:val="nil"/>
              <w:left w:val="nil"/>
              <w:bottom w:val="nil"/>
              <w:right w:val="nil"/>
            </w:tcBorders>
            <w:shd w:val="clear" w:color="auto" w:fill="auto"/>
            <w:noWrap/>
            <w:vAlign w:val="center"/>
            <w:hideMark/>
          </w:tcPr>
          <w:p w14:paraId="09FDFD28"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49.723</w:t>
            </w:r>
          </w:p>
        </w:tc>
        <w:tc>
          <w:tcPr>
            <w:tcW w:w="1812" w:type="dxa"/>
            <w:tcBorders>
              <w:top w:val="nil"/>
              <w:left w:val="nil"/>
              <w:bottom w:val="nil"/>
              <w:right w:val="nil"/>
            </w:tcBorders>
            <w:shd w:val="clear" w:color="auto" w:fill="auto"/>
            <w:noWrap/>
          </w:tcPr>
          <w:p w14:paraId="6FE5AA37"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630</w:t>
            </w:r>
          </w:p>
        </w:tc>
        <w:tc>
          <w:tcPr>
            <w:tcW w:w="1766" w:type="dxa"/>
            <w:tcBorders>
              <w:top w:val="nil"/>
              <w:left w:val="nil"/>
              <w:bottom w:val="nil"/>
              <w:right w:val="nil"/>
            </w:tcBorders>
            <w:shd w:val="clear" w:color="auto" w:fill="auto"/>
            <w:noWrap/>
          </w:tcPr>
          <w:p w14:paraId="58BFF325"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1.455</w:t>
            </w:r>
          </w:p>
        </w:tc>
      </w:tr>
      <w:tr w:rsidR="00412D34" w:rsidRPr="00F27A03" w14:paraId="036FE4DF" w14:textId="77777777" w:rsidTr="00A42963">
        <w:trPr>
          <w:trHeight w:val="170"/>
        </w:trPr>
        <w:tc>
          <w:tcPr>
            <w:tcW w:w="4093" w:type="dxa"/>
            <w:tcBorders>
              <w:top w:val="nil"/>
              <w:left w:val="nil"/>
              <w:bottom w:val="nil"/>
              <w:right w:val="nil"/>
            </w:tcBorders>
            <w:shd w:val="clear" w:color="auto" w:fill="auto"/>
            <w:noWrap/>
            <w:vAlign w:val="center"/>
            <w:hideMark/>
          </w:tcPr>
          <w:p w14:paraId="5EEF4BAB"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„Железнице Србије” а.д</w:t>
            </w:r>
          </w:p>
        </w:tc>
        <w:tc>
          <w:tcPr>
            <w:tcW w:w="1466" w:type="dxa"/>
            <w:tcBorders>
              <w:top w:val="nil"/>
              <w:left w:val="nil"/>
              <w:bottom w:val="nil"/>
              <w:right w:val="nil"/>
            </w:tcBorders>
            <w:shd w:val="clear" w:color="auto" w:fill="auto"/>
            <w:noWrap/>
            <w:vAlign w:val="center"/>
            <w:hideMark/>
          </w:tcPr>
          <w:p w14:paraId="1D36DB2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-3.318.393</w:t>
            </w:r>
          </w:p>
        </w:tc>
        <w:tc>
          <w:tcPr>
            <w:tcW w:w="1812" w:type="dxa"/>
            <w:tcBorders>
              <w:top w:val="nil"/>
              <w:left w:val="nil"/>
              <w:bottom w:val="nil"/>
              <w:right w:val="nil"/>
            </w:tcBorders>
            <w:shd w:val="clear" w:color="auto" w:fill="auto"/>
            <w:noWrap/>
          </w:tcPr>
          <w:p w14:paraId="5C814C1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-116.608</w:t>
            </w:r>
          </w:p>
        </w:tc>
        <w:tc>
          <w:tcPr>
            <w:tcW w:w="1766" w:type="dxa"/>
            <w:tcBorders>
              <w:top w:val="nil"/>
              <w:left w:val="nil"/>
              <w:bottom w:val="nil"/>
              <w:right w:val="nil"/>
            </w:tcBorders>
            <w:shd w:val="clear" w:color="auto" w:fill="auto"/>
            <w:noWrap/>
          </w:tcPr>
          <w:p w14:paraId="6750022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70.032</w:t>
            </w:r>
          </w:p>
        </w:tc>
      </w:tr>
      <w:tr w:rsidR="00412D34" w:rsidRPr="00F27A03" w14:paraId="5310CEBA" w14:textId="77777777" w:rsidTr="00A42963">
        <w:trPr>
          <w:trHeight w:val="170"/>
        </w:trPr>
        <w:tc>
          <w:tcPr>
            <w:tcW w:w="4093" w:type="dxa"/>
            <w:tcBorders>
              <w:top w:val="nil"/>
              <w:left w:val="nil"/>
              <w:bottom w:val="nil"/>
              <w:right w:val="nil"/>
            </w:tcBorders>
            <w:shd w:val="clear" w:color="auto" w:fill="auto"/>
            <w:noWrap/>
            <w:vAlign w:val="center"/>
            <w:hideMark/>
          </w:tcPr>
          <w:p w14:paraId="76ABE9CB"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Парк природе „Мокра Гора” д.о.о.</w:t>
            </w:r>
          </w:p>
        </w:tc>
        <w:tc>
          <w:tcPr>
            <w:tcW w:w="1466" w:type="dxa"/>
            <w:tcBorders>
              <w:top w:val="nil"/>
              <w:left w:val="nil"/>
              <w:bottom w:val="nil"/>
              <w:right w:val="nil"/>
            </w:tcBorders>
            <w:shd w:val="clear" w:color="auto" w:fill="auto"/>
            <w:noWrap/>
            <w:vAlign w:val="center"/>
            <w:hideMark/>
          </w:tcPr>
          <w:p w14:paraId="3C35061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368</w:t>
            </w:r>
          </w:p>
        </w:tc>
        <w:tc>
          <w:tcPr>
            <w:tcW w:w="1812" w:type="dxa"/>
            <w:tcBorders>
              <w:top w:val="nil"/>
              <w:left w:val="nil"/>
              <w:bottom w:val="nil"/>
              <w:right w:val="nil"/>
            </w:tcBorders>
            <w:shd w:val="clear" w:color="auto" w:fill="auto"/>
            <w:noWrap/>
            <w:vAlign w:val="center"/>
          </w:tcPr>
          <w:p w14:paraId="59373ED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10.800</w:t>
            </w:r>
          </w:p>
        </w:tc>
        <w:tc>
          <w:tcPr>
            <w:tcW w:w="1766" w:type="dxa"/>
            <w:tcBorders>
              <w:top w:val="nil"/>
              <w:left w:val="nil"/>
              <w:bottom w:val="nil"/>
              <w:right w:val="nil"/>
            </w:tcBorders>
            <w:shd w:val="clear" w:color="auto" w:fill="auto"/>
            <w:noWrap/>
            <w:vAlign w:val="center"/>
          </w:tcPr>
          <w:p w14:paraId="37730843"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7.179</w:t>
            </w:r>
          </w:p>
        </w:tc>
      </w:tr>
      <w:tr w:rsidR="00412D34" w:rsidRPr="00F27A03" w14:paraId="2CB3A67C" w14:textId="77777777" w:rsidTr="00A42963">
        <w:trPr>
          <w:trHeight w:val="170"/>
        </w:trPr>
        <w:tc>
          <w:tcPr>
            <w:tcW w:w="4093" w:type="dxa"/>
            <w:tcBorders>
              <w:top w:val="nil"/>
              <w:left w:val="nil"/>
              <w:bottom w:val="nil"/>
              <w:right w:val="nil"/>
            </w:tcBorders>
            <w:shd w:val="clear" w:color="auto" w:fill="auto"/>
            <w:noWrap/>
          </w:tcPr>
          <w:p w14:paraId="46D78DFC" w14:textId="266AEA81"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ЈП </w:t>
            </w:r>
            <w:r w:rsidR="008C08C6" w:rsidRPr="00F27A03">
              <w:rPr>
                <w:rFonts w:ascii="Calibri" w:eastAsia="Times New Roman" w:hAnsi="Calibri" w:cs="Calibri"/>
                <w:color w:val="002060"/>
                <w:sz w:val="18"/>
                <w:szCs w:val="18"/>
                <w:lang w:val="sr-Cyrl-CS" w:eastAsia="en-GB"/>
              </w:rPr>
              <w:t>„</w:t>
            </w:r>
            <w:r w:rsidRPr="00F27A03">
              <w:rPr>
                <w:rFonts w:ascii="Calibri" w:eastAsia="Times New Roman" w:hAnsi="Calibri" w:cs="Calibri"/>
                <w:color w:val="002060"/>
                <w:sz w:val="18"/>
                <w:szCs w:val="18"/>
                <w:lang w:val="sr-Cyrl-CS" w:eastAsia="en-GB"/>
              </w:rPr>
              <w:t>Путеви Србије</w:t>
            </w:r>
            <w:r w:rsidR="008C08C6" w:rsidRPr="00F27A03">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tcPr>
          <w:p w14:paraId="566EE34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-4.992.801</w:t>
            </w:r>
          </w:p>
        </w:tc>
        <w:tc>
          <w:tcPr>
            <w:tcW w:w="1812" w:type="dxa"/>
            <w:tcBorders>
              <w:top w:val="nil"/>
              <w:left w:val="nil"/>
              <w:bottom w:val="nil"/>
              <w:right w:val="nil"/>
            </w:tcBorders>
            <w:shd w:val="clear" w:color="auto" w:fill="auto"/>
            <w:noWrap/>
          </w:tcPr>
          <w:p w14:paraId="7711CF64"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6.231.622</w:t>
            </w:r>
          </w:p>
        </w:tc>
        <w:tc>
          <w:tcPr>
            <w:tcW w:w="1766" w:type="dxa"/>
            <w:tcBorders>
              <w:top w:val="nil"/>
              <w:left w:val="nil"/>
              <w:bottom w:val="nil"/>
              <w:right w:val="nil"/>
            </w:tcBorders>
            <w:shd w:val="clear" w:color="auto" w:fill="auto"/>
            <w:noWrap/>
          </w:tcPr>
          <w:p w14:paraId="014E1CCD"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1.200.940</w:t>
            </w:r>
          </w:p>
        </w:tc>
      </w:tr>
      <w:tr w:rsidR="00412D34" w:rsidRPr="00F27A03" w14:paraId="3893583E" w14:textId="77777777" w:rsidTr="00A42963">
        <w:trPr>
          <w:trHeight w:val="170"/>
        </w:trPr>
        <w:tc>
          <w:tcPr>
            <w:tcW w:w="4093" w:type="dxa"/>
            <w:tcBorders>
              <w:top w:val="nil"/>
              <w:left w:val="nil"/>
              <w:bottom w:val="nil"/>
              <w:right w:val="nil"/>
            </w:tcBorders>
            <w:shd w:val="clear" w:color="auto" w:fill="auto"/>
            <w:noWrap/>
          </w:tcPr>
          <w:p w14:paraId="0306BDDD" w14:textId="6ED83947" w:rsidR="00412D34" w:rsidRPr="00F27A03" w:rsidRDefault="008C08C6"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w:t>
            </w:r>
            <w:r w:rsidR="00412D34" w:rsidRPr="00F27A03">
              <w:rPr>
                <w:rFonts w:ascii="Calibri" w:eastAsia="Times New Roman" w:hAnsi="Calibri" w:cs="Calibri"/>
                <w:color w:val="002060"/>
                <w:sz w:val="18"/>
                <w:szCs w:val="18"/>
                <w:lang w:val="sr-Cyrl-CS" w:eastAsia="en-GB"/>
              </w:rPr>
              <w:t>Парк Палић</w:t>
            </w:r>
            <w:r w:rsidRPr="00F27A03">
              <w:rPr>
                <w:rFonts w:ascii="Calibri" w:eastAsia="Times New Roman" w:hAnsi="Calibri" w:cs="Calibri"/>
                <w:color w:val="002060"/>
                <w:sz w:val="18"/>
                <w:szCs w:val="18"/>
                <w:lang w:val="sr-Cyrl-CS" w:eastAsia="en-GB"/>
              </w:rPr>
              <w:t>”</w:t>
            </w:r>
            <w:r w:rsidR="00412D34" w:rsidRPr="00F27A03">
              <w:rPr>
                <w:rFonts w:ascii="Calibri" w:eastAsia="Times New Roman" w:hAnsi="Calibri" w:cs="Calibri"/>
                <w:color w:val="002060"/>
                <w:sz w:val="18"/>
                <w:szCs w:val="18"/>
                <w:lang w:val="sr-Cyrl-CS" w:eastAsia="en-GB"/>
              </w:rPr>
              <w:t xml:space="preserve"> д.о.о.</w:t>
            </w:r>
          </w:p>
        </w:tc>
        <w:tc>
          <w:tcPr>
            <w:tcW w:w="1466" w:type="dxa"/>
            <w:tcBorders>
              <w:top w:val="nil"/>
              <w:left w:val="nil"/>
              <w:bottom w:val="nil"/>
              <w:right w:val="nil"/>
            </w:tcBorders>
            <w:shd w:val="clear" w:color="auto" w:fill="auto"/>
            <w:noWrap/>
          </w:tcPr>
          <w:p w14:paraId="34AE8BF5"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275</w:t>
            </w:r>
          </w:p>
        </w:tc>
        <w:tc>
          <w:tcPr>
            <w:tcW w:w="1812" w:type="dxa"/>
            <w:tcBorders>
              <w:top w:val="nil"/>
              <w:left w:val="nil"/>
              <w:bottom w:val="nil"/>
              <w:right w:val="nil"/>
            </w:tcBorders>
            <w:shd w:val="clear" w:color="auto" w:fill="auto"/>
            <w:noWrap/>
          </w:tcPr>
          <w:p w14:paraId="273C0ED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0*</w:t>
            </w:r>
          </w:p>
        </w:tc>
        <w:tc>
          <w:tcPr>
            <w:tcW w:w="1766" w:type="dxa"/>
            <w:tcBorders>
              <w:top w:val="nil"/>
              <w:left w:val="nil"/>
              <w:bottom w:val="nil"/>
              <w:right w:val="nil"/>
            </w:tcBorders>
            <w:shd w:val="clear" w:color="auto" w:fill="auto"/>
            <w:noWrap/>
          </w:tcPr>
          <w:p w14:paraId="4611EBE4"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4.647</w:t>
            </w:r>
          </w:p>
        </w:tc>
      </w:tr>
      <w:tr w:rsidR="00412D34" w:rsidRPr="00F27A03" w14:paraId="06A05EC5" w14:textId="77777777" w:rsidTr="00A42963">
        <w:trPr>
          <w:trHeight w:val="170"/>
        </w:trPr>
        <w:tc>
          <w:tcPr>
            <w:tcW w:w="4093" w:type="dxa"/>
            <w:tcBorders>
              <w:top w:val="nil"/>
              <w:left w:val="nil"/>
              <w:bottom w:val="nil"/>
              <w:right w:val="nil"/>
            </w:tcBorders>
            <w:shd w:val="clear" w:color="auto" w:fill="auto"/>
            <w:noWrap/>
          </w:tcPr>
          <w:p w14:paraId="07AD0C8E" w14:textId="6FDEAF4E"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 xml:space="preserve">ЈП </w:t>
            </w:r>
            <w:r w:rsidR="008C08C6" w:rsidRPr="00F27A03">
              <w:rPr>
                <w:rFonts w:ascii="Calibri" w:eastAsia="Times New Roman" w:hAnsi="Calibri" w:cs="Calibri"/>
                <w:color w:val="002060"/>
                <w:sz w:val="18"/>
                <w:szCs w:val="18"/>
                <w:lang w:val="sr-Cyrl-CS" w:eastAsia="en-GB"/>
              </w:rPr>
              <w:t>„</w:t>
            </w:r>
            <w:r w:rsidRPr="00F27A03">
              <w:rPr>
                <w:rFonts w:ascii="Calibri" w:eastAsia="Times New Roman" w:hAnsi="Calibri" w:cs="Calibri"/>
                <w:color w:val="002060"/>
                <w:sz w:val="18"/>
                <w:szCs w:val="18"/>
                <w:lang w:val="sr-Cyrl-CS" w:eastAsia="en-GB"/>
              </w:rPr>
              <w:t>Србијашуме</w:t>
            </w:r>
            <w:r w:rsidR="008C08C6" w:rsidRPr="00F27A03">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tcPr>
          <w:p w14:paraId="14C768BF"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871.135</w:t>
            </w:r>
          </w:p>
        </w:tc>
        <w:tc>
          <w:tcPr>
            <w:tcW w:w="1812" w:type="dxa"/>
            <w:tcBorders>
              <w:top w:val="nil"/>
              <w:left w:val="nil"/>
              <w:bottom w:val="nil"/>
              <w:right w:val="nil"/>
            </w:tcBorders>
            <w:shd w:val="clear" w:color="auto" w:fill="auto"/>
            <w:noWrap/>
          </w:tcPr>
          <w:p w14:paraId="410A33F7"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75.857</w:t>
            </w:r>
          </w:p>
        </w:tc>
        <w:tc>
          <w:tcPr>
            <w:tcW w:w="1766" w:type="dxa"/>
            <w:tcBorders>
              <w:top w:val="nil"/>
              <w:left w:val="nil"/>
              <w:bottom w:val="nil"/>
              <w:right w:val="nil"/>
            </w:tcBorders>
            <w:shd w:val="clear" w:color="auto" w:fill="auto"/>
            <w:noWrap/>
          </w:tcPr>
          <w:p w14:paraId="3F7856A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618.112</w:t>
            </w:r>
          </w:p>
        </w:tc>
      </w:tr>
      <w:tr w:rsidR="00412D34" w:rsidRPr="00F27A03" w14:paraId="5B14BDA5" w14:textId="77777777" w:rsidTr="00A42963">
        <w:trPr>
          <w:trHeight w:val="170"/>
        </w:trPr>
        <w:tc>
          <w:tcPr>
            <w:tcW w:w="4093" w:type="dxa"/>
            <w:tcBorders>
              <w:top w:val="nil"/>
              <w:left w:val="nil"/>
              <w:bottom w:val="nil"/>
              <w:right w:val="nil"/>
            </w:tcBorders>
            <w:shd w:val="clear" w:color="auto" w:fill="auto"/>
            <w:noWrap/>
          </w:tcPr>
          <w:p w14:paraId="51605DD8" w14:textId="3E0ABF00" w:rsidR="00412D34" w:rsidRPr="00F27A03" w:rsidRDefault="008C08C6"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w:t>
            </w:r>
            <w:r w:rsidR="00412D34" w:rsidRPr="00F27A03">
              <w:rPr>
                <w:rFonts w:ascii="Calibri" w:eastAsia="Times New Roman" w:hAnsi="Calibri" w:cs="Calibri"/>
                <w:color w:val="002060"/>
                <w:sz w:val="18"/>
                <w:szCs w:val="18"/>
                <w:lang w:val="sr-Cyrl-CS" w:eastAsia="en-GB"/>
              </w:rPr>
              <w:t>Тврђава Голубачки град</w:t>
            </w:r>
            <w:r w:rsidRPr="00F27A03">
              <w:rPr>
                <w:rFonts w:ascii="Calibri" w:eastAsia="Times New Roman" w:hAnsi="Calibri" w:cs="Calibri"/>
                <w:color w:val="002060"/>
                <w:sz w:val="18"/>
                <w:szCs w:val="18"/>
                <w:lang w:val="sr-Cyrl-CS" w:eastAsia="en-GB"/>
              </w:rPr>
              <w:t>”</w:t>
            </w:r>
            <w:r w:rsidR="00412D34" w:rsidRPr="00F27A03">
              <w:rPr>
                <w:rFonts w:ascii="Calibri" w:eastAsia="Times New Roman" w:hAnsi="Calibri" w:cs="Calibri"/>
                <w:color w:val="002060"/>
                <w:sz w:val="18"/>
                <w:szCs w:val="18"/>
                <w:lang w:val="sr-Cyrl-CS" w:eastAsia="en-GB"/>
              </w:rPr>
              <w:t xml:space="preserve"> д.о.о.</w:t>
            </w:r>
          </w:p>
        </w:tc>
        <w:tc>
          <w:tcPr>
            <w:tcW w:w="1466" w:type="dxa"/>
            <w:tcBorders>
              <w:top w:val="nil"/>
              <w:left w:val="nil"/>
              <w:bottom w:val="nil"/>
              <w:right w:val="nil"/>
            </w:tcBorders>
            <w:shd w:val="clear" w:color="auto" w:fill="auto"/>
            <w:noWrap/>
          </w:tcPr>
          <w:p w14:paraId="78FCFCBC"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-2.321</w:t>
            </w:r>
          </w:p>
        </w:tc>
        <w:tc>
          <w:tcPr>
            <w:tcW w:w="1812" w:type="dxa"/>
            <w:tcBorders>
              <w:top w:val="nil"/>
              <w:left w:val="nil"/>
              <w:bottom w:val="nil"/>
              <w:right w:val="nil"/>
            </w:tcBorders>
            <w:shd w:val="clear" w:color="auto" w:fill="auto"/>
            <w:noWrap/>
          </w:tcPr>
          <w:p w14:paraId="1C78AD43"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-5.000</w:t>
            </w:r>
          </w:p>
        </w:tc>
        <w:tc>
          <w:tcPr>
            <w:tcW w:w="1766" w:type="dxa"/>
            <w:tcBorders>
              <w:top w:val="nil"/>
              <w:left w:val="nil"/>
              <w:bottom w:val="nil"/>
              <w:right w:val="nil"/>
            </w:tcBorders>
            <w:shd w:val="clear" w:color="auto" w:fill="auto"/>
            <w:noWrap/>
          </w:tcPr>
          <w:p w14:paraId="5C9BABA5"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5.575</w:t>
            </w:r>
          </w:p>
        </w:tc>
      </w:tr>
      <w:tr w:rsidR="00412D34" w:rsidRPr="00F27A03" w14:paraId="30AC3D99" w14:textId="77777777" w:rsidTr="00A42963">
        <w:trPr>
          <w:trHeight w:val="170"/>
        </w:trPr>
        <w:tc>
          <w:tcPr>
            <w:tcW w:w="4093" w:type="dxa"/>
            <w:tcBorders>
              <w:top w:val="single" w:sz="8" w:space="0" w:color="002060"/>
              <w:left w:val="nil"/>
              <w:bottom w:val="single" w:sz="8" w:space="0" w:color="002060"/>
              <w:right w:val="nil"/>
            </w:tcBorders>
            <w:shd w:val="clear" w:color="auto" w:fill="auto"/>
            <w:noWrap/>
            <w:vAlign w:val="center"/>
            <w:hideMark/>
          </w:tcPr>
          <w:p w14:paraId="45BC4193"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Укупно</w:t>
            </w:r>
          </w:p>
        </w:tc>
        <w:tc>
          <w:tcPr>
            <w:tcW w:w="1466" w:type="dxa"/>
            <w:tcBorders>
              <w:top w:val="single" w:sz="8" w:space="0" w:color="002060"/>
              <w:left w:val="nil"/>
              <w:bottom w:val="single" w:sz="8" w:space="0" w:color="002060"/>
              <w:right w:val="nil"/>
            </w:tcBorders>
            <w:shd w:val="clear" w:color="auto" w:fill="auto"/>
            <w:noWrap/>
          </w:tcPr>
          <w:p w14:paraId="622C8E0D" w14:textId="77777777" w:rsidR="00412D34" w:rsidRPr="00F27A03" w:rsidRDefault="00412D34" w:rsidP="00A42963">
            <w:pPr>
              <w:spacing w:after="0" w:line="240" w:lineRule="auto"/>
              <w:jc w:val="right"/>
              <w:rPr>
                <w:rFonts w:ascii="Calibri" w:eastAsia="Times New Roman" w:hAnsi="Calibri" w:cs="Calibri"/>
                <w:b/>
                <w:color w:val="002060"/>
                <w:sz w:val="18"/>
                <w:szCs w:val="18"/>
                <w:lang w:val="sr-Cyrl-CS" w:eastAsia="en-GB"/>
              </w:rPr>
            </w:pPr>
            <w:r w:rsidRPr="00F27A03">
              <w:rPr>
                <w:rFonts w:ascii="Calibri" w:eastAsia="Times New Roman" w:hAnsi="Calibri" w:cs="Calibri"/>
                <w:b/>
                <w:color w:val="002060"/>
                <w:sz w:val="18"/>
                <w:szCs w:val="18"/>
                <w:lang w:val="sr-Cyrl-CS" w:eastAsia="en-GB"/>
              </w:rPr>
              <w:t>2.765.715</w:t>
            </w:r>
          </w:p>
        </w:tc>
        <w:tc>
          <w:tcPr>
            <w:tcW w:w="1812" w:type="dxa"/>
            <w:tcBorders>
              <w:top w:val="single" w:sz="8" w:space="0" w:color="002060"/>
              <w:left w:val="nil"/>
              <w:bottom w:val="single" w:sz="8" w:space="0" w:color="002060"/>
              <w:right w:val="nil"/>
            </w:tcBorders>
            <w:shd w:val="clear" w:color="auto" w:fill="auto"/>
            <w:noWrap/>
          </w:tcPr>
          <w:p w14:paraId="625266E8" w14:textId="77777777" w:rsidR="00412D34" w:rsidRPr="00F27A03" w:rsidRDefault="00412D34" w:rsidP="00A42963">
            <w:pPr>
              <w:spacing w:after="0" w:line="240" w:lineRule="auto"/>
              <w:jc w:val="right"/>
              <w:rPr>
                <w:rFonts w:ascii="Calibri" w:eastAsia="Times New Roman" w:hAnsi="Calibri" w:cs="Calibri"/>
                <w:b/>
                <w:color w:val="002060"/>
                <w:sz w:val="18"/>
                <w:szCs w:val="18"/>
                <w:lang w:val="sr-Cyrl-CS" w:eastAsia="en-GB"/>
              </w:rPr>
            </w:pPr>
            <w:r w:rsidRPr="00F27A03">
              <w:rPr>
                <w:rFonts w:ascii="Calibri" w:eastAsia="Times New Roman" w:hAnsi="Calibri" w:cs="Calibri"/>
                <w:b/>
                <w:color w:val="002060"/>
                <w:sz w:val="18"/>
                <w:szCs w:val="18"/>
                <w:lang w:val="sr-Cyrl-CS" w:eastAsia="en-GB"/>
              </w:rPr>
              <w:t>19.525.841</w:t>
            </w:r>
          </w:p>
        </w:tc>
        <w:tc>
          <w:tcPr>
            <w:tcW w:w="1766" w:type="dxa"/>
            <w:tcBorders>
              <w:top w:val="single" w:sz="8" w:space="0" w:color="002060"/>
              <w:left w:val="nil"/>
              <w:bottom w:val="single" w:sz="8" w:space="0" w:color="002060"/>
              <w:right w:val="nil"/>
            </w:tcBorders>
            <w:shd w:val="clear" w:color="auto" w:fill="auto"/>
            <w:noWrap/>
          </w:tcPr>
          <w:p w14:paraId="0E42B87D" w14:textId="77777777" w:rsidR="00412D34" w:rsidRPr="00F27A03" w:rsidRDefault="00412D34" w:rsidP="00A42963">
            <w:pPr>
              <w:spacing w:after="0" w:line="240" w:lineRule="auto"/>
              <w:jc w:val="right"/>
              <w:rPr>
                <w:rFonts w:ascii="Calibri" w:eastAsia="Times New Roman" w:hAnsi="Calibri" w:cs="Calibri"/>
                <w:b/>
                <w:color w:val="002060"/>
                <w:sz w:val="18"/>
                <w:szCs w:val="18"/>
                <w:lang w:val="sr-Cyrl-CS" w:eastAsia="en-GB"/>
              </w:rPr>
            </w:pPr>
            <w:r w:rsidRPr="00F27A03">
              <w:rPr>
                <w:rFonts w:ascii="Calibri" w:eastAsia="Times New Roman" w:hAnsi="Calibri" w:cs="Calibri"/>
                <w:b/>
                <w:color w:val="002060"/>
                <w:sz w:val="18"/>
                <w:szCs w:val="18"/>
                <w:lang w:val="sr-Cyrl-CS" w:eastAsia="en-GB"/>
              </w:rPr>
              <w:t>10.362.199</w:t>
            </w:r>
          </w:p>
        </w:tc>
      </w:tr>
      <w:tr w:rsidR="00412D34" w:rsidRPr="00F27A03" w14:paraId="590E1CE4" w14:textId="77777777" w:rsidTr="00A42963">
        <w:trPr>
          <w:trHeight w:val="170"/>
        </w:trPr>
        <w:tc>
          <w:tcPr>
            <w:tcW w:w="9137" w:type="dxa"/>
            <w:gridSpan w:val="4"/>
            <w:tcBorders>
              <w:top w:val="single" w:sz="8" w:space="0" w:color="002060"/>
              <w:left w:val="nil"/>
              <w:right w:val="nil"/>
            </w:tcBorders>
            <w:shd w:val="clear" w:color="auto" w:fill="auto"/>
            <w:noWrap/>
            <w:vAlign w:val="center"/>
          </w:tcPr>
          <w:p w14:paraId="5AC3D42C" w14:textId="77777777" w:rsidR="00412D34" w:rsidRPr="00F27A03" w:rsidRDefault="00412D34" w:rsidP="00A42963">
            <w:pPr>
              <w:spacing w:after="0" w:line="276" w:lineRule="auto"/>
              <w:rPr>
                <w:rFonts w:eastAsia="MS PGothic" w:cstheme="minorHAnsi"/>
                <w:sz w:val="18"/>
                <w:szCs w:val="18"/>
                <w:lang w:val="sr-Cyrl-CS" w:eastAsia="ja-JP"/>
              </w:rPr>
            </w:pPr>
            <w:r w:rsidRPr="00F27A03">
              <w:rPr>
                <w:rFonts w:eastAsia="MS PGothic" w:cstheme="minorHAnsi"/>
                <w:sz w:val="18"/>
                <w:szCs w:val="18"/>
                <w:lang w:val="sr-Cyrl-CS" w:eastAsia="ja-JP"/>
              </w:rPr>
              <w:t>Извор: Квартални извештаји Министарства привреде за 2022. годину</w:t>
            </w:r>
          </w:p>
          <w:p w14:paraId="25AF81AA" w14:textId="6EDB2B37" w:rsidR="00412D34" w:rsidRPr="00F27A03" w:rsidRDefault="00412D34" w:rsidP="00A42963">
            <w:pPr>
              <w:spacing w:after="0" w:line="276" w:lineRule="auto"/>
              <w:rPr>
                <w:rFonts w:eastAsia="MS PGothic" w:cstheme="minorHAnsi"/>
                <w:sz w:val="18"/>
                <w:szCs w:val="18"/>
                <w:lang w:val="sr-Cyrl-CS" w:eastAsia="ja-JP"/>
              </w:rPr>
            </w:pPr>
            <w:r w:rsidRPr="00F27A03">
              <w:rPr>
                <w:rFonts w:eastAsia="MS PGothic" w:cstheme="minorHAnsi"/>
                <w:sz w:val="18"/>
                <w:szCs w:val="18"/>
                <w:lang w:val="sr-Cyrl-CS" w:eastAsia="ja-JP"/>
              </w:rPr>
              <w:t>*</w:t>
            </w:r>
            <w:r w:rsidR="008C08C6" w:rsidRPr="00F27A03">
              <w:rPr>
                <w:rFonts w:eastAsia="MS PGothic" w:cstheme="minorHAnsi"/>
                <w:sz w:val="18"/>
                <w:szCs w:val="18"/>
                <w:lang w:val="sr-Cyrl-CS" w:eastAsia="ja-JP"/>
              </w:rPr>
              <w:t xml:space="preserve"> </w:t>
            </w:r>
            <w:r w:rsidRPr="00F27A03">
              <w:rPr>
                <w:rFonts w:eastAsia="MS PGothic" w:cstheme="minorHAnsi"/>
                <w:sz w:val="18"/>
                <w:szCs w:val="18"/>
                <w:lang w:val="sr-Cyrl-CS" w:eastAsia="ja-JP"/>
              </w:rPr>
              <w:t>Програм пословања није усвојен, због тога нема планиране вредности</w:t>
            </w:r>
          </w:p>
        </w:tc>
      </w:tr>
    </w:tbl>
    <w:p w14:paraId="0D773145" w14:textId="77777777" w:rsidR="00412D34" w:rsidRPr="00F27A03" w:rsidRDefault="00412D34" w:rsidP="00A42963">
      <w:pPr>
        <w:spacing w:after="400"/>
        <w:rPr>
          <w:rFonts w:eastAsia="MS PGothic" w:cstheme="minorHAnsi"/>
          <w:szCs w:val="20"/>
          <w:lang w:val="sr-Cyrl-CS" w:eastAsia="ja-JP"/>
        </w:rPr>
      </w:pPr>
    </w:p>
    <w:p w14:paraId="30A9E0C2" w14:textId="77777777" w:rsidR="00412D34" w:rsidRPr="00F27A03" w:rsidRDefault="00412D34" w:rsidP="00A42963">
      <w:pPr>
        <w:spacing w:after="400"/>
        <w:rPr>
          <w:rFonts w:eastAsia="MS PGothic" w:cstheme="minorHAnsi"/>
          <w:szCs w:val="20"/>
          <w:lang w:val="sr-Cyrl-CS" w:eastAsia="ja-JP"/>
        </w:rPr>
        <w:sectPr w:rsidR="00412D34" w:rsidRPr="00F27A03" w:rsidSect="00A42963">
          <w:type w:val="continuous"/>
          <w:pgSz w:w="12240" w:h="15840"/>
          <w:pgMar w:top="1440" w:right="1440" w:bottom="1440" w:left="1440" w:header="720" w:footer="720" w:gutter="0"/>
          <w:cols w:space="720"/>
          <w:docGrid w:linePitch="360"/>
          <w15:footnoteColumns w:val="1"/>
        </w:sectPr>
      </w:pPr>
    </w:p>
    <w:p w14:paraId="00205144" w14:textId="5869782E" w:rsidR="00412D34" w:rsidRPr="00F27A03" w:rsidRDefault="00412D34" w:rsidP="00A42963">
      <w:pPr>
        <w:spacing w:after="400"/>
        <w:rPr>
          <w:rFonts w:eastAsia="MS PGothic" w:cstheme="minorHAnsi"/>
          <w:szCs w:val="20"/>
          <w:lang w:val="sr-Cyrl-CS" w:eastAsia="ja-JP"/>
        </w:rPr>
      </w:pPr>
      <w:r w:rsidRPr="00F27A03">
        <w:rPr>
          <w:rFonts w:eastAsia="MS PGothic" w:cstheme="minorHAnsi"/>
          <w:szCs w:val="20"/>
          <w:lang w:val="sr-Cyrl-CS" w:eastAsia="ja-JP"/>
        </w:rPr>
        <w:lastRenderedPageBreak/>
        <w:t xml:space="preserve">У </w:t>
      </w:r>
      <w:r w:rsidR="00F3559E" w:rsidRPr="00F27A03">
        <w:rPr>
          <w:rFonts w:eastAsia="MS PGothic" w:cstheme="minorHAnsi"/>
          <w:szCs w:val="20"/>
          <w:lang w:val="sr-Cyrl-CS" w:eastAsia="ja-JP"/>
        </w:rPr>
        <w:t>првој половини</w:t>
      </w:r>
      <w:r w:rsidRPr="00F27A03">
        <w:rPr>
          <w:rFonts w:eastAsia="MS PGothic" w:cstheme="minorHAnsi"/>
          <w:szCs w:val="20"/>
          <w:lang w:val="sr-Cyrl-CS" w:eastAsia="ja-JP"/>
        </w:rPr>
        <w:t xml:space="preserve"> текуће године 12 предузећа је остварило нето губитак у укупном износу од 53,3 млрд динара, што је боље у односу на планирану </w:t>
      </w:r>
      <w:r w:rsidRPr="00F27A03">
        <w:rPr>
          <w:rFonts w:eastAsia="MS PGothic" w:cstheme="minorHAnsi"/>
          <w:szCs w:val="20"/>
          <w:lang w:val="sr-Cyrl-CS" w:eastAsia="ja-JP"/>
        </w:rPr>
        <w:t>вредност која је негативна и износи 60,7 млрд динарa.</w:t>
      </w:r>
    </w:p>
    <w:p w14:paraId="72DA488F" w14:textId="77777777" w:rsidR="00412D34" w:rsidRPr="00F27A03" w:rsidRDefault="00412D34" w:rsidP="00A42963">
      <w:pPr>
        <w:spacing w:after="120" w:line="276" w:lineRule="auto"/>
        <w:rPr>
          <w:rFonts w:eastAsia="MS PGothic" w:cstheme="minorHAnsi"/>
          <w:b/>
          <w:bCs/>
          <w:color w:val="002060"/>
          <w:spacing w:val="-4"/>
          <w:szCs w:val="20"/>
          <w:lang w:val="sr-Cyrl-CS" w:eastAsia="ja-JP"/>
        </w:rPr>
        <w:sectPr w:rsidR="00412D34" w:rsidRPr="00F27A03" w:rsidSect="00A42963">
          <w:type w:val="continuous"/>
          <w:pgSz w:w="12240" w:h="15840"/>
          <w:pgMar w:top="1440" w:right="1440" w:bottom="1440" w:left="1440" w:header="720" w:footer="720" w:gutter="0"/>
          <w:cols w:num="2" w:space="720"/>
          <w:docGrid w:linePitch="360"/>
          <w15:footnoteColumns w:val="1"/>
        </w:sectPr>
      </w:pPr>
    </w:p>
    <w:p w14:paraId="3B1E9242" w14:textId="61D28D8F" w:rsidR="00412D34" w:rsidRPr="00F27A03" w:rsidRDefault="00412D34" w:rsidP="00A42963">
      <w:pPr>
        <w:spacing w:after="120" w:line="276" w:lineRule="auto"/>
        <w:rPr>
          <w:rFonts w:eastAsia="MS PGothic" w:cstheme="minorHAnsi"/>
          <w:bCs/>
          <w:color w:val="002060"/>
          <w:spacing w:val="-4"/>
          <w:szCs w:val="20"/>
          <w:lang w:val="sr-Cyrl-CS" w:eastAsia="ja-JP"/>
        </w:rPr>
      </w:pPr>
      <w:r w:rsidRPr="00F27A03">
        <w:rPr>
          <w:rFonts w:eastAsia="MS PGothic" w:cstheme="minorHAnsi"/>
          <w:b/>
          <w:bCs/>
          <w:color w:val="002060"/>
          <w:spacing w:val="-4"/>
          <w:szCs w:val="20"/>
          <w:lang w:val="sr-Cyrl-CS" w:eastAsia="ja-JP"/>
        </w:rPr>
        <w:t>Табела 1</w:t>
      </w:r>
      <w:r w:rsidR="00EB3946" w:rsidRPr="00F27A03">
        <w:rPr>
          <w:rFonts w:eastAsia="MS PGothic" w:cstheme="minorHAnsi"/>
          <w:b/>
          <w:bCs/>
          <w:color w:val="002060"/>
          <w:spacing w:val="-4"/>
          <w:szCs w:val="20"/>
          <w:lang w:val="sr-Cyrl-CS" w:eastAsia="ja-JP"/>
        </w:rPr>
        <w:t>8</w:t>
      </w:r>
      <w:r w:rsidRPr="00F27A03">
        <w:rPr>
          <w:rFonts w:eastAsia="MS PGothic" w:cstheme="minorHAnsi"/>
          <w:b/>
          <w:bCs/>
          <w:color w:val="002060"/>
          <w:spacing w:val="-4"/>
          <w:szCs w:val="20"/>
          <w:lang w:val="sr-Cyrl-CS" w:eastAsia="ja-JP"/>
        </w:rPr>
        <w:t>. Јавна предузећа која су остварила нето губитак у периоду 01.01–30.06.2022. године, у хиљ. динара</w:t>
      </w:r>
    </w:p>
    <w:tbl>
      <w:tblPr>
        <w:tblW w:w="9142" w:type="dxa"/>
        <w:tblLayout w:type="fixed"/>
        <w:tblLook w:val="04A0" w:firstRow="1" w:lastRow="0" w:firstColumn="1" w:lastColumn="0" w:noHBand="0" w:noVBand="1"/>
      </w:tblPr>
      <w:tblGrid>
        <w:gridCol w:w="4111"/>
        <w:gridCol w:w="1255"/>
        <w:gridCol w:w="1888"/>
        <w:gridCol w:w="1888"/>
      </w:tblGrid>
      <w:tr w:rsidR="00412D34" w:rsidRPr="00F27A03" w14:paraId="4EF06231" w14:textId="77777777" w:rsidTr="00A42963">
        <w:trPr>
          <w:trHeight w:val="423"/>
        </w:trPr>
        <w:tc>
          <w:tcPr>
            <w:tcW w:w="4111" w:type="dxa"/>
            <w:vMerge w:val="restart"/>
            <w:tcBorders>
              <w:top w:val="single" w:sz="8" w:space="0" w:color="002060"/>
              <w:left w:val="nil"/>
              <w:bottom w:val="single" w:sz="8" w:space="0" w:color="002060"/>
              <w:right w:val="nil"/>
            </w:tcBorders>
            <w:shd w:val="clear" w:color="auto" w:fill="auto"/>
            <w:noWrap/>
            <w:vAlign w:val="center"/>
            <w:hideMark/>
          </w:tcPr>
          <w:p w14:paraId="1EDDBD07"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Предузеће</w:t>
            </w:r>
          </w:p>
        </w:tc>
        <w:tc>
          <w:tcPr>
            <w:tcW w:w="1255" w:type="dxa"/>
            <w:vMerge w:val="restart"/>
            <w:tcBorders>
              <w:top w:val="single" w:sz="8" w:space="0" w:color="002060"/>
              <w:left w:val="nil"/>
              <w:bottom w:val="single" w:sz="8" w:space="0" w:color="002060"/>
              <w:right w:val="nil"/>
            </w:tcBorders>
            <w:shd w:val="clear" w:color="auto" w:fill="auto"/>
            <w:vAlign w:val="center"/>
            <w:hideMark/>
          </w:tcPr>
          <w:p w14:paraId="3BA98139"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Реализација 2021</w:t>
            </w:r>
          </w:p>
        </w:tc>
        <w:tc>
          <w:tcPr>
            <w:tcW w:w="1888" w:type="dxa"/>
            <w:vMerge w:val="restart"/>
            <w:tcBorders>
              <w:top w:val="single" w:sz="8" w:space="0" w:color="002060"/>
              <w:left w:val="nil"/>
              <w:bottom w:val="single" w:sz="8" w:space="0" w:color="002060"/>
              <w:right w:val="nil"/>
            </w:tcBorders>
            <w:shd w:val="clear" w:color="auto" w:fill="auto"/>
            <w:vAlign w:val="center"/>
            <w:hideMark/>
          </w:tcPr>
          <w:p w14:paraId="70CF2CB7"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 xml:space="preserve">План </w:t>
            </w:r>
            <w:r w:rsidRPr="00F27A03">
              <w:rPr>
                <w:rFonts w:ascii="Calibri" w:eastAsia="Times New Roman" w:hAnsi="Calibri" w:cs="Calibri"/>
                <w:b/>
                <w:bCs/>
                <w:color w:val="002060"/>
                <w:sz w:val="18"/>
                <w:szCs w:val="18"/>
                <w:lang w:val="sr-Cyrl-CS" w:eastAsia="en-GB"/>
              </w:rPr>
              <w:br w:type="textWrapping" w:clear="all"/>
              <w:t>01.01–30.06.2022.</w:t>
            </w:r>
          </w:p>
        </w:tc>
        <w:tc>
          <w:tcPr>
            <w:tcW w:w="1888" w:type="dxa"/>
            <w:vMerge w:val="restart"/>
            <w:tcBorders>
              <w:top w:val="single" w:sz="8" w:space="0" w:color="002060"/>
              <w:left w:val="nil"/>
              <w:bottom w:val="single" w:sz="8" w:space="0" w:color="002060"/>
              <w:right w:val="nil"/>
            </w:tcBorders>
            <w:shd w:val="clear" w:color="auto" w:fill="auto"/>
            <w:vAlign w:val="center"/>
            <w:hideMark/>
          </w:tcPr>
          <w:p w14:paraId="56F34D7C" w14:textId="77777777" w:rsidR="00412D34" w:rsidRPr="00F27A03" w:rsidRDefault="00412D34" w:rsidP="00A42963">
            <w:pPr>
              <w:spacing w:after="0" w:line="240" w:lineRule="auto"/>
              <w:jc w:val="center"/>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 xml:space="preserve">Реализација </w:t>
            </w:r>
            <w:r w:rsidRPr="00F27A03">
              <w:rPr>
                <w:rFonts w:ascii="Calibri" w:eastAsia="Times New Roman" w:hAnsi="Calibri" w:cs="Calibri"/>
                <w:b/>
                <w:bCs/>
                <w:color w:val="002060"/>
                <w:sz w:val="18"/>
                <w:szCs w:val="18"/>
                <w:lang w:val="sr-Cyrl-CS" w:eastAsia="en-GB"/>
              </w:rPr>
              <w:br w:type="textWrapping" w:clear="all"/>
              <w:t>01.01–30.06.2022.</w:t>
            </w:r>
          </w:p>
        </w:tc>
      </w:tr>
      <w:tr w:rsidR="00412D34" w:rsidRPr="00F27A03" w14:paraId="2D6B7A3D" w14:textId="77777777" w:rsidTr="00A42963">
        <w:trPr>
          <w:trHeight w:val="423"/>
        </w:trPr>
        <w:tc>
          <w:tcPr>
            <w:tcW w:w="4111" w:type="dxa"/>
            <w:vMerge/>
            <w:tcBorders>
              <w:top w:val="single" w:sz="8" w:space="0" w:color="002060"/>
              <w:left w:val="nil"/>
              <w:bottom w:val="single" w:sz="8" w:space="0" w:color="002060"/>
              <w:right w:val="nil"/>
            </w:tcBorders>
            <w:vAlign w:val="center"/>
            <w:hideMark/>
          </w:tcPr>
          <w:p w14:paraId="76F3CAF6"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p>
        </w:tc>
        <w:tc>
          <w:tcPr>
            <w:tcW w:w="1255" w:type="dxa"/>
            <w:vMerge/>
            <w:tcBorders>
              <w:top w:val="single" w:sz="8" w:space="0" w:color="002060"/>
              <w:left w:val="nil"/>
              <w:bottom w:val="single" w:sz="8" w:space="0" w:color="002060"/>
              <w:right w:val="nil"/>
            </w:tcBorders>
            <w:vAlign w:val="center"/>
            <w:hideMark/>
          </w:tcPr>
          <w:p w14:paraId="01BE456B"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p>
        </w:tc>
        <w:tc>
          <w:tcPr>
            <w:tcW w:w="1888" w:type="dxa"/>
            <w:vMerge/>
            <w:tcBorders>
              <w:top w:val="single" w:sz="8" w:space="0" w:color="002060"/>
              <w:left w:val="nil"/>
              <w:bottom w:val="single" w:sz="8" w:space="0" w:color="002060"/>
              <w:right w:val="nil"/>
            </w:tcBorders>
            <w:vAlign w:val="center"/>
            <w:hideMark/>
          </w:tcPr>
          <w:p w14:paraId="7B79CBB2"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p>
        </w:tc>
        <w:tc>
          <w:tcPr>
            <w:tcW w:w="1888" w:type="dxa"/>
            <w:vMerge/>
            <w:tcBorders>
              <w:top w:val="single" w:sz="8" w:space="0" w:color="002060"/>
              <w:left w:val="nil"/>
              <w:bottom w:val="single" w:sz="8" w:space="0" w:color="002060"/>
              <w:right w:val="nil"/>
            </w:tcBorders>
            <w:vAlign w:val="center"/>
            <w:hideMark/>
          </w:tcPr>
          <w:p w14:paraId="0A8863DB"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p>
        </w:tc>
      </w:tr>
      <w:tr w:rsidR="00412D34" w:rsidRPr="00F27A03" w14:paraId="267C1F95" w14:textId="77777777" w:rsidTr="00A42963">
        <w:trPr>
          <w:trHeight w:val="20"/>
        </w:trPr>
        <w:tc>
          <w:tcPr>
            <w:tcW w:w="4111" w:type="dxa"/>
            <w:tcBorders>
              <w:top w:val="nil"/>
              <w:left w:val="nil"/>
              <w:bottom w:val="nil"/>
              <w:right w:val="nil"/>
            </w:tcBorders>
            <w:shd w:val="clear" w:color="auto" w:fill="auto"/>
            <w:noWrap/>
            <w:vAlign w:val="center"/>
            <w:hideMark/>
          </w:tcPr>
          <w:p w14:paraId="0F3D3A0C"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„Резерват Увац” д.о.о.</w:t>
            </w:r>
          </w:p>
        </w:tc>
        <w:tc>
          <w:tcPr>
            <w:tcW w:w="1255" w:type="dxa"/>
            <w:tcBorders>
              <w:top w:val="nil"/>
              <w:left w:val="nil"/>
              <w:bottom w:val="nil"/>
              <w:right w:val="nil"/>
            </w:tcBorders>
            <w:shd w:val="clear" w:color="auto" w:fill="auto"/>
            <w:noWrap/>
            <w:vAlign w:val="center"/>
            <w:hideMark/>
          </w:tcPr>
          <w:p w14:paraId="3AE8A79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2.586</w:t>
            </w:r>
          </w:p>
        </w:tc>
        <w:tc>
          <w:tcPr>
            <w:tcW w:w="1888" w:type="dxa"/>
            <w:tcBorders>
              <w:top w:val="nil"/>
              <w:left w:val="nil"/>
              <w:bottom w:val="nil"/>
              <w:right w:val="nil"/>
            </w:tcBorders>
            <w:shd w:val="clear" w:color="auto" w:fill="auto"/>
            <w:noWrap/>
          </w:tcPr>
          <w:p w14:paraId="0A712AE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2.616</w:t>
            </w:r>
          </w:p>
        </w:tc>
        <w:tc>
          <w:tcPr>
            <w:tcW w:w="1888" w:type="dxa"/>
            <w:tcBorders>
              <w:top w:val="nil"/>
              <w:left w:val="nil"/>
              <w:bottom w:val="nil"/>
              <w:right w:val="nil"/>
            </w:tcBorders>
            <w:shd w:val="clear" w:color="auto" w:fill="auto"/>
            <w:noWrap/>
          </w:tcPr>
          <w:p w14:paraId="3288003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-183</w:t>
            </w:r>
          </w:p>
        </w:tc>
      </w:tr>
      <w:tr w:rsidR="00412D34" w:rsidRPr="00F27A03" w14:paraId="6F6FD5AD" w14:textId="77777777" w:rsidTr="00A42963">
        <w:trPr>
          <w:trHeight w:val="20"/>
        </w:trPr>
        <w:tc>
          <w:tcPr>
            <w:tcW w:w="4111" w:type="dxa"/>
            <w:tcBorders>
              <w:top w:val="nil"/>
              <w:left w:val="nil"/>
              <w:bottom w:val="nil"/>
              <w:right w:val="nil"/>
            </w:tcBorders>
            <w:shd w:val="clear" w:color="auto" w:fill="auto"/>
            <w:noWrap/>
            <w:vAlign w:val="center"/>
            <w:hideMark/>
          </w:tcPr>
          <w:p w14:paraId="02D4716C"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JП „Електропривреда Србије”</w:t>
            </w:r>
          </w:p>
        </w:tc>
        <w:tc>
          <w:tcPr>
            <w:tcW w:w="1255" w:type="dxa"/>
            <w:tcBorders>
              <w:top w:val="nil"/>
              <w:left w:val="nil"/>
              <w:bottom w:val="nil"/>
              <w:right w:val="nil"/>
            </w:tcBorders>
            <w:shd w:val="clear" w:color="auto" w:fill="auto"/>
            <w:noWrap/>
            <w:vAlign w:val="center"/>
            <w:hideMark/>
          </w:tcPr>
          <w:p w14:paraId="2B0FEAFE"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-14.948.733</w:t>
            </w:r>
          </w:p>
        </w:tc>
        <w:tc>
          <w:tcPr>
            <w:tcW w:w="1888" w:type="dxa"/>
            <w:tcBorders>
              <w:top w:val="nil"/>
              <w:left w:val="nil"/>
              <w:bottom w:val="nil"/>
              <w:right w:val="nil"/>
            </w:tcBorders>
            <w:shd w:val="clear" w:color="auto" w:fill="auto"/>
            <w:noWrap/>
          </w:tcPr>
          <w:p w14:paraId="1CB6D2F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-53.695.896</w:t>
            </w:r>
          </w:p>
        </w:tc>
        <w:tc>
          <w:tcPr>
            <w:tcW w:w="1888" w:type="dxa"/>
            <w:tcBorders>
              <w:top w:val="nil"/>
              <w:left w:val="nil"/>
              <w:bottom w:val="nil"/>
              <w:right w:val="nil"/>
            </w:tcBorders>
            <w:shd w:val="clear" w:color="auto" w:fill="auto"/>
            <w:noWrap/>
          </w:tcPr>
          <w:p w14:paraId="2CC728A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-49.158.919</w:t>
            </w:r>
          </w:p>
        </w:tc>
      </w:tr>
      <w:tr w:rsidR="00412D34" w:rsidRPr="00F27A03" w14:paraId="73EA483E" w14:textId="77777777" w:rsidTr="00A42963">
        <w:trPr>
          <w:trHeight w:val="20"/>
        </w:trPr>
        <w:tc>
          <w:tcPr>
            <w:tcW w:w="4111" w:type="dxa"/>
            <w:tcBorders>
              <w:top w:val="nil"/>
              <w:left w:val="nil"/>
              <w:bottom w:val="nil"/>
              <w:right w:val="nil"/>
            </w:tcBorders>
            <w:shd w:val="clear" w:color="auto" w:fill="auto"/>
            <w:noWrap/>
            <w:vAlign w:val="center"/>
            <w:hideMark/>
          </w:tcPr>
          <w:p w14:paraId="30653879"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„Инфраструктура железнице Србије” a.д.</w:t>
            </w:r>
          </w:p>
        </w:tc>
        <w:tc>
          <w:tcPr>
            <w:tcW w:w="1255" w:type="dxa"/>
            <w:tcBorders>
              <w:top w:val="nil"/>
              <w:left w:val="nil"/>
              <w:bottom w:val="nil"/>
              <w:right w:val="nil"/>
            </w:tcBorders>
            <w:shd w:val="clear" w:color="auto" w:fill="auto"/>
            <w:noWrap/>
            <w:vAlign w:val="center"/>
            <w:hideMark/>
          </w:tcPr>
          <w:p w14:paraId="36343FB7"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-3.457.372</w:t>
            </w:r>
          </w:p>
        </w:tc>
        <w:tc>
          <w:tcPr>
            <w:tcW w:w="1888" w:type="dxa"/>
            <w:tcBorders>
              <w:top w:val="nil"/>
              <w:left w:val="nil"/>
              <w:bottom w:val="nil"/>
              <w:right w:val="nil"/>
            </w:tcBorders>
            <w:shd w:val="clear" w:color="auto" w:fill="auto"/>
            <w:noWrap/>
          </w:tcPr>
          <w:p w14:paraId="0D7D2D7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-2.442.269</w:t>
            </w:r>
          </w:p>
        </w:tc>
        <w:tc>
          <w:tcPr>
            <w:tcW w:w="1888" w:type="dxa"/>
            <w:tcBorders>
              <w:top w:val="nil"/>
              <w:left w:val="nil"/>
              <w:bottom w:val="nil"/>
              <w:right w:val="nil"/>
            </w:tcBorders>
            <w:shd w:val="clear" w:color="auto" w:fill="auto"/>
            <w:noWrap/>
          </w:tcPr>
          <w:p w14:paraId="1645195A"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-1.468.395</w:t>
            </w:r>
          </w:p>
        </w:tc>
      </w:tr>
      <w:tr w:rsidR="00412D34" w:rsidRPr="00F27A03" w14:paraId="71E89FDD" w14:textId="77777777" w:rsidTr="00A42963">
        <w:trPr>
          <w:trHeight w:val="20"/>
        </w:trPr>
        <w:tc>
          <w:tcPr>
            <w:tcW w:w="4111" w:type="dxa"/>
            <w:tcBorders>
              <w:top w:val="nil"/>
              <w:left w:val="nil"/>
              <w:bottom w:val="nil"/>
              <w:right w:val="nil"/>
            </w:tcBorders>
            <w:shd w:val="clear" w:color="auto" w:fill="auto"/>
            <w:noWrap/>
            <w:vAlign w:val="center"/>
            <w:hideMark/>
          </w:tcPr>
          <w:p w14:paraId="7DE2555A"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„Србија Карго” а.д.</w:t>
            </w:r>
          </w:p>
        </w:tc>
        <w:tc>
          <w:tcPr>
            <w:tcW w:w="1255" w:type="dxa"/>
            <w:tcBorders>
              <w:top w:val="nil"/>
              <w:left w:val="nil"/>
              <w:bottom w:val="nil"/>
              <w:right w:val="nil"/>
            </w:tcBorders>
            <w:shd w:val="clear" w:color="auto" w:fill="auto"/>
            <w:noWrap/>
            <w:vAlign w:val="center"/>
            <w:hideMark/>
          </w:tcPr>
          <w:p w14:paraId="6EF14E03"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-162.364</w:t>
            </w:r>
          </w:p>
        </w:tc>
        <w:tc>
          <w:tcPr>
            <w:tcW w:w="1888" w:type="dxa"/>
            <w:tcBorders>
              <w:top w:val="nil"/>
              <w:left w:val="nil"/>
              <w:bottom w:val="nil"/>
              <w:right w:val="nil"/>
            </w:tcBorders>
            <w:shd w:val="clear" w:color="auto" w:fill="auto"/>
            <w:noWrap/>
          </w:tcPr>
          <w:p w14:paraId="3A4AADB8"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-468.239</w:t>
            </w:r>
          </w:p>
        </w:tc>
        <w:tc>
          <w:tcPr>
            <w:tcW w:w="1888" w:type="dxa"/>
            <w:tcBorders>
              <w:top w:val="nil"/>
              <w:left w:val="nil"/>
              <w:bottom w:val="nil"/>
              <w:right w:val="nil"/>
            </w:tcBorders>
            <w:shd w:val="clear" w:color="auto" w:fill="auto"/>
            <w:noWrap/>
          </w:tcPr>
          <w:p w14:paraId="5DF74395"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-482.372</w:t>
            </w:r>
          </w:p>
        </w:tc>
      </w:tr>
      <w:tr w:rsidR="00412D34" w:rsidRPr="00F27A03" w14:paraId="76895236" w14:textId="77777777" w:rsidTr="00A42963">
        <w:trPr>
          <w:trHeight w:val="20"/>
        </w:trPr>
        <w:tc>
          <w:tcPr>
            <w:tcW w:w="4111" w:type="dxa"/>
            <w:tcBorders>
              <w:top w:val="nil"/>
              <w:left w:val="nil"/>
              <w:bottom w:val="nil"/>
              <w:right w:val="nil"/>
            </w:tcBorders>
            <w:shd w:val="clear" w:color="auto" w:fill="auto"/>
            <w:noWrap/>
            <w:vAlign w:val="center"/>
            <w:hideMark/>
          </w:tcPr>
          <w:p w14:paraId="0449E157"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ПЕУ Ресавица</w:t>
            </w:r>
          </w:p>
        </w:tc>
        <w:tc>
          <w:tcPr>
            <w:tcW w:w="1255" w:type="dxa"/>
            <w:tcBorders>
              <w:top w:val="nil"/>
              <w:left w:val="nil"/>
              <w:bottom w:val="nil"/>
              <w:right w:val="nil"/>
            </w:tcBorders>
            <w:shd w:val="clear" w:color="auto" w:fill="auto"/>
            <w:noWrap/>
            <w:vAlign w:val="center"/>
            <w:hideMark/>
          </w:tcPr>
          <w:p w14:paraId="21568A6B"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2.618.614</w:t>
            </w:r>
          </w:p>
        </w:tc>
        <w:tc>
          <w:tcPr>
            <w:tcW w:w="1888" w:type="dxa"/>
            <w:tcBorders>
              <w:top w:val="nil"/>
              <w:left w:val="nil"/>
              <w:bottom w:val="nil"/>
              <w:right w:val="nil"/>
            </w:tcBorders>
            <w:shd w:val="clear" w:color="auto" w:fill="auto"/>
            <w:noWrap/>
          </w:tcPr>
          <w:p w14:paraId="1008ED1C"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-1.171.595</w:t>
            </w:r>
          </w:p>
        </w:tc>
        <w:tc>
          <w:tcPr>
            <w:tcW w:w="1888" w:type="dxa"/>
            <w:tcBorders>
              <w:top w:val="nil"/>
              <w:left w:val="nil"/>
              <w:bottom w:val="nil"/>
              <w:right w:val="nil"/>
            </w:tcBorders>
            <w:shd w:val="clear" w:color="auto" w:fill="auto"/>
            <w:noWrap/>
          </w:tcPr>
          <w:p w14:paraId="417D1487"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-928.999</w:t>
            </w:r>
          </w:p>
        </w:tc>
      </w:tr>
      <w:tr w:rsidR="00412D34" w:rsidRPr="00F27A03" w14:paraId="1B2443C3" w14:textId="77777777" w:rsidTr="00A42963">
        <w:trPr>
          <w:trHeight w:val="20"/>
        </w:trPr>
        <w:tc>
          <w:tcPr>
            <w:tcW w:w="4111" w:type="dxa"/>
            <w:tcBorders>
              <w:top w:val="nil"/>
              <w:left w:val="nil"/>
              <w:bottom w:val="nil"/>
              <w:right w:val="nil"/>
            </w:tcBorders>
            <w:shd w:val="clear" w:color="auto" w:fill="auto"/>
            <w:noWrap/>
            <w:vAlign w:val="center"/>
            <w:hideMark/>
          </w:tcPr>
          <w:p w14:paraId="0D23D349"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„Србија Воз” а.д.</w:t>
            </w:r>
          </w:p>
        </w:tc>
        <w:tc>
          <w:tcPr>
            <w:tcW w:w="1255" w:type="dxa"/>
            <w:tcBorders>
              <w:top w:val="nil"/>
              <w:left w:val="nil"/>
              <w:bottom w:val="nil"/>
              <w:right w:val="nil"/>
            </w:tcBorders>
            <w:shd w:val="clear" w:color="auto" w:fill="auto"/>
            <w:noWrap/>
            <w:vAlign w:val="center"/>
            <w:hideMark/>
          </w:tcPr>
          <w:p w14:paraId="326D6020"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200.830</w:t>
            </w:r>
          </w:p>
        </w:tc>
        <w:tc>
          <w:tcPr>
            <w:tcW w:w="1888" w:type="dxa"/>
            <w:tcBorders>
              <w:top w:val="nil"/>
              <w:left w:val="nil"/>
              <w:bottom w:val="nil"/>
              <w:right w:val="nil"/>
            </w:tcBorders>
            <w:shd w:val="clear" w:color="auto" w:fill="auto"/>
            <w:noWrap/>
          </w:tcPr>
          <w:p w14:paraId="290D85D7"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-937.043</w:t>
            </w:r>
          </w:p>
        </w:tc>
        <w:tc>
          <w:tcPr>
            <w:tcW w:w="1888" w:type="dxa"/>
            <w:tcBorders>
              <w:top w:val="nil"/>
              <w:left w:val="nil"/>
              <w:bottom w:val="nil"/>
              <w:right w:val="nil"/>
            </w:tcBorders>
            <w:shd w:val="clear" w:color="auto" w:fill="auto"/>
            <w:noWrap/>
          </w:tcPr>
          <w:p w14:paraId="06D4574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-200.903</w:t>
            </w:r>
          </w:p>
        </w:tc>
      </w:tr>
      <w:tr w:rsidR="00412D34" w:rsidRPr="00F27A03" w14:paraId="260A39C9" w14:textId="77777777" w:rsidTr="00A42963">
        <w:trPr>
          <w:trHeight w:val="20"/>
        </w:trPr>
        <w:tc>
          <w:tcPr>
            <w:tcW w:w="4111" w:type="dxa"/>
            <w:tcBorders>
              <w:top w:val="nil"/>
              <w:left w:val="nil"/>
              <w:bottom w:val="nil"/>
              <w:right w:val="nil"/>
            </w:tcBorders>
            <w:shd w:val="clear" w:color="auto" w:fill="auto"/>
            <w:noWrap/>
            <w:vAlign w:val="center"/>
            <w:hideMark/>
          </w:tcPr>
          <w:p w14:paraId="59485FF0"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„Завод за уџбенике”</w:t>
            </w:r>
          </w:p>
        </w:tc>
        <w:tc>
          <w:tcPr>
            <w:tcW w:w="1255" w:type="dxa"/>
            <w:tcBorders>
              <w:top w:val="nil"/>
              <w:left w:val="nil"/>
              <w:bottom w:val="nil"/>
              <w:right w:val="nil"/>
            </w:tcBorders>
            <w:shd w:val="clear" w:color="auto" w:fill="auto"/>
            <w:noWrap/>
            <w:vAlign w:val="center"/>
            <w:hideMark/>
          </w:tcPr>
          <w:p w14:paraId="48955AB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-242.827</w:t>
            </w:r>
          </w:p>
        </w:tc>
        <w:tc>
          <w:tcPr>
            <w:tcW w:w="1888" w:type="dxa"/>
            <w:tcBorders>
              <w:top w:val="nil"/>
              <w:left w:val="nil"/>
              <w:bottom w:val="nil"/>
              <w:right w:val="nil"/>
            </w:tcBorders>
            <w:shd w:val="clear" w:color="auto" w:fill="auto"/>
            <w:noWrap/>
          </w:tcPr>
          <w:p w14:paraId="24C536B5"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-152.315</w:t>
            </w:r>
          </w:p>
        </w:tc>
        <w:tc>
          <w:tcPr>
            <w:tcW w:w="1888" w:type="dxa"/>
            <w:tcBorders>
              <w:top w:val="nil"/>
              <w:left w:val="nil"/>
              <w:bottom w:val="nil"/>
              <w:right w:val="nil"/>
            </w:tcBorders>
            <w:shd w:val="clear" w:color="auto" w:fill="auto"/>
            <w:noWrap/>
          </w:tcPr>
          <w:p w14:paraId="3CD081A4"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-151.965</w:t>
            </w:r>
          </w:p>
        </w:tc>
      </w:tr>
      <w:tr w:rsidR="00412D34" w:rsidRPr="00F27A03" w14:paraId="08DBD2BA" w14:textId="77777777" w:rsidTr="00A42963">
        <w:trPr>
          <w:trHeight w:val="20"/>
        </w:trPr>
        <w:tc>
          <w:tcPr>
            <w:tcW w:w="4111" w:type="dxa"/>
            <w:tcBorders>
              <w:top w:val="nil"/>
              <w:left w:val="nil"/>
              <w:bottom w:val="nil"/>
              <w:right w:val="nil"/>
            </w:tcBorders>
            <w:shd w:val="clear" w:color="auto" w:fill="auto"/>
            <w:noWrap/>
            <w:vAlign w:val="center"/>
            <w:hideMark/>
          </w:tcPr>
          <w:p w14:paraId="71579940"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„Југоимпорт-СДПР”</w:t>
            </w:r>
          </w:p>
        </w:tc>
        <w:tc>
          <w:tcPr>
            <w:tcW w:w="1255" w:type="dxa"/>
            <w:tcBorders>
              <w:top w:val="nil"/>
              <w:left w:val="nil"/>
              <w:bottom w:val="nil"/>
              <w:right w:val="nil"/>
            </w:tcBorders>
            <w:shd w:val="clear" w:color="auto" w:fill="auto"/>
            <w:noWrap/>
            <w:vAlign w:val="center"/>
            <w:hideMark/>
          </w:tcPr>
          <w:p w14:paraId="489F2628"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748.333</w:t>
            </w:r>
          </w:p>
        </w:tc>
        <w:tc>
          <w:tcPr>
            <w:tcW w:w="1888" w:type="dxa"/>
            <w:tcBorders>
              <w:top w:val="nil"/>
              <w:left w:val="nil"/>
              <w:bottom w:val="nil"/>
              <w:right w:val="nil"/>
            </w:tcBorders>
            <w:shd w:val="clear" w:color="auto" w:fill="auto"/>
            <w:noWrap/>
          </w:tcPr>
          <w:p w14:paraId="1C87BAC1"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-530.389</w:t>
            </w:r>
          </w:p>
        </w:tc>
        <w:tc>
          <w:tcPr>
            <w:tcW w:w="1888" w:type="dxa"/>
            <w:tcBorders>
              <w:top w:val="nil"/>
              <w:left w:val="nil"/>
              <w:bottom w:val="nil"/>
              <w:right w:val="nil"/>
            </w:tcBorders>
            <w:shd w:val="clear" w:color="auto" w:fill="auto"/>
            <w:noWrap/>
          </w:tcPr>
          <w:p w14:paraId="1E14390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-561.270</w:t>
            </w:r>
          </w:p>
        </w:tc>
      </w:tr>
      <w:tr w:rsidR="00412D34" w:rsidRPr="00F27A03" w14:paraId="22D9290C" w14:textId="77777777" w:rsidTr="00A42963">
        <w:trPr>
          <w:trHeight w:val="20"/>
        </w:trPr>
        <w:tc>
          <w:tcPr>
            <w:tcW w:w="4111" w:type="dxa"/>
            <w:tcBorders>
              <w:top w:val="nil"/>
              <w:left w:val="nil"/>
              <w:bottom w:val="nil"/>
              <w:right w:val="nil"/>
            </w:tcBorders>
            <w:shd w:val="clear" w:color="auto" w:fill="auto"/>
            <w:noWrap/>
            <w:vAlign w:val="center"/>
            <w:hideMark/>
          </w:tcPr>
          <w:p w14:paraId="742FEA9B"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за склоништа</w:t>
            </w:r>
          </w:p>
        </w:tc>
        <w:tc>
          <w:tcPr>
            <w:tcW w:w="1255" w:type="dxa"/>
            <w:tcBorders>
              <w:top w:val="nil"/>
              <w:left w:val="nil"/>
              <w:bottom w:val="nil"/>
              <w:right w:val="nil"/>
            </w:tcBorders>
            <w:shd w:val="clear" w:color="auto" w:fill="auto"/>
            <w:noWrap/>
            <w:vAlign w:val="center"/>
            <w:hideMark/>
          </w:tcPr>
          <w:p w14:paraId="6D482F9F"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-192.347</w:t>
            </w:r>
          </w:p>
        </w:tc>
        <w:tc>
          <w:tcPr>
            <w:tcW w:w="1888" w:type="dxa"/>
            <w:tcBorders>
              <w:top w:val="nil"/>
              <w:left w:val="nil"/>
              <w:bottom w:val="nil"/>
              <w:right w:val="nil"/>
            </w:tcBorders>
            <w:shd w:val="clear" w:color="auto" w:fill="auto"/>
            <w:noWrap/>
          </w:tcPr>
          <w:p w14:paraId="0557D596"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-41.419</w:t>
            </w:r>
          </w:p>
        </w:tc>
        <w:tc>
          <w:tcPr>
            <w:tcW w:w="1888" w:type="dxa"/>
            <w:tcBorders>
              <w:top w:val="nil"/>
              <w:left w:val="nil"/>
              <w:bottom w:val="nil"/>
              <w:right w:val="nil"/>
            </w:tcBorders>
            <w:shd w:val="clear" w:color="auto" w:fill="auto"/>
            <w:noWrap/>
          </w:tcPr>
          <w:p w14:paraId="15A9817C"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-54.841</w:t>
            </w:r>
          </w:p>
        </w:tc>
      </w:tr>
      <w:tr w:rsidR="00412D34" w:rsidRPr="00F27A03" w14:paraId="6BD78B1F" w14:textId="77777777" w:rsidTr="00A42963">
        <w:trPr>
          <w:trHeight w:val="20"/>
        </w:trPr>
        <w:tc>
          <w:tcPr>
            <w:tcW w:w="4111" w:type="dxa"/>
            <w:tcBorders>
              <w:top w:val="nil"/>
              <w:left w:val="nil"/>
              <w:bottom w:val="nil"/>
              <w:right w:val="nil"/>
            </w:tcBorders>
            <w:shd w:val="clear" w:color="auto" w:fill="auto"/>
            <w:noWrap/>
            <w:vAlign w:val="center"/>
            <w:hideMark/>
          </w:tcPr>
          <w:p w14:paraId="00087147"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„Србијаводе”</w:t>
            </w:r>
          </w:p>
        </w:tc>
        <w:tc>
          <w:tcPr>
            <w:tcW w:w="1255" w:type="dxa"/>
            <w:tcBorders>
              <w:top w:val="nil"/>
              <w:left w:val="nil"/>
              <w:bottom w:val="nil"/>
              <w:right w:val="nil"/>
            </w:tcBorders>
            <w:shd w:val="clear" w:color="auto" w:fill="auto"/>
            <w:noWrap/>
            <w:vAlign w:val="center"/>
            <w:hideMark/>
          </w:tcPr>
          <w:p w14:paraId="5EEE61F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45.539</w:t>
            </w:r>
          </w:p>
        </w:tc>
        <w:tc>
          <w:tcPr>
            <w:tcW w:w="1888" w:type="dxa"/>
            <w:tcBorders>
              <w:top w:val="nil"/>
              <w:left w:val="nil"/>
              <w:bottom w:val="nil"/>
              <w:right w:val="nil"/>
            </w:tcBorders>
            <w:shd w:val="clear" w:color="auto" w:fill="auto"/>
            <w:noWrap/>
          </w:tcPr>
          <w:p w14:paraId="7A3060BF"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-67.572</w:t>
            </w:r>
          </w:p>
        </w:tc>
        <w:tc>
          <w:tcPr>
            <w:tcW w:w="1888" w:type="dxa"/>
            <w:tcBorders>
              <w:top w:val="nil"/>
              <w:left w:val="nil"/>
              <w:bottom w:val="nil"/>
              <w:right w:val="nil"/>
            </w:tcBorders>
            <w:shd w:val="clear" w:color="auto" w:fill="auto"/>
            <w:noWrap/>
          </w:tcPr>
          <w:p w14:paraId="2CFC7314"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-36.623</w:t>
            </w:r>
          </w:p>
        </w:tc>
      </w:tr>
      <w:tr w:rsidR="00412D34" w:rsidRPr="00F27A03" w14:paraId="11A8749B" w14:textId="77777777" w:rsidTr="00A42963">
        <w:trPr>
          <w:trHeight w:val="20"/>
        </w:trPr>
        <w:tc>
          <w:tcPr>
            <w:tcW w:w="4111" w:type="dxa"/>
            <w:tcBorders>
              <w:top w:val="nil"/>
              <w:left w:val="nil"/>
              <w:bottom w:val="nil"/>
              <w:right w:val="nil"/>
            </w:tcBorders>
            <w:shd w:val="clear" w:color="auto" w:fill="auto"/>
            <w:noWrap/>
            <w:vAlign w:val="center"/>
            <w:hideMark/>
          </w:tcPr>
          <w:p w14:paraId="470121B1"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ЈП „Емисиона техника и везе”</w:t>
            </w:r>
          </w:p>
        </w:tc>
        <w:tc>
          <w:tcPr>
            <w:tcW w:w="1255" w:type="dxa"/>
            <w:tcBorders>
              <w:top w:val="nil"/>
              <w:left w:val="nil"/>
              <w:bottom w:val="nil"/>
              <w:right w:val="nil"/>
            </w:tcBorders>
            <w:shd w:val="clear" w:color="auto" w:fill="auto"/>
            <w:noWrap/>
            <w:vAlign w:val="center"/>
            <w:hideMark/>
          </w:tcPr>
          <w:p w14:paraId="11765FD7"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-115.987</w:t>
            </w:r>
          </w:p>
        </w:tc>
        <w:tc>
          <w:tcPr>
            <w:tcW w:w="1888" w:type="dxa"/>
            <w:tcBorders>
              <w:top w:val="nil"/>
              <w:left w:val="nil"/>
              <w:bottom w:val="nil"/>
              <w:right w:val="nil"/>
            </w:tcBorders>
            <w:shd w:val="clear" w:color="auto" w:fill="auto"/>
            <w:noWrap/>
          </w:tcPr>
          <w:p w14:paraId="05477B19"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-112.681</w:t>
            </w:r>
          </w:p>
        </w:tc>
        <w:tc>
          <w:tcPr>
            <w:tcW w:w="1888" w:type="dxa"/>
            <w:tcBorders>
              <w:top w:val="nil"/>
              <w:left w:val="nil"/>
              <w:bottom w:val="nil"/>
              <w:right w:val="nil"/>
            </w:tcBorders>
            <w:shd w:val="clear" w:color="auto" w:fill="auto"/>
            <w:noWrap/>
          </w:tcPr>
          <w:p w14:paraId="224A2635"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-31.386</w:t>
            </w:r>
          </w:p>
        </w:tc>
      </w:tr>
      <w:tr w:rsidR="00412D34" w:rsidRPr="00F27A03" w14:paraId="72A608C9" w14:textId="77777777" w:rsidTr="00A42963">
        <w:trPr>
          <w:trHeight w:val="20"/>
        </w:trPr>
        <w:tc>
          <w:tcPr>
            <w:tcW w:w="4111" w:type="dxa"/>
            <w:tcBorders>
              <w:top w:val="nil"/>
              <w:left w:val="nil"/>
              <w:bottom w:val="nil"/>
              <w:right w:val="nil"/>
            </w:tcBorders>
            <w:shd w:val="clear" w:color="auto" w:fill="auto"/>
            <w:noWrap/>
            <w:vAlign w:val="center"/>
            <w:hideMark/>
          </w:tcPr>
          <w:p w14:paraId="068E1E60" w14:textId="77777777" w:rsidR="00412D34" w:rsidRPr="00F27A03" w:rsidRDefault="00412D34" w:rsidP="00A42963">
            <w:pPr>
              <w:spacing w:after="0" w:line="240" w:lineRule="auto"/>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Електродистрибуција Србије д.о.о.</w:t>
            </w:r>
          </w:p>
        </w:tc>
        <w:tc>
          <w:tcPr>
            <w:tcW w:w="1255" w:type="dxa"/>
            <w:tcBorders>
              <w:top w:val="nil"/>
              <w:left w:val="nil"/>
              <w:bottom w:val="nil"/>
              <w:right w:val="nil"/>
            </w:tcBorders>
            <w:shd w:val="clear" w:color="auto" w:fill="auto"/>
            <w:noWrap/>
            <w:vAlign w:val="center"/>
            <w:hideMark/>
          </w:tcPr>
          <w:p w14:paraId="153007F8"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33.864</w:t>
            </w:r>
          </w:p>
        </w:tc>
        <w:tc>
          <w:tcPr>
            <w:tcW w:w="1888" w:type="dxa"/>
            <w:tcBorders>
              <w:top w:val="nil"/>
              <w:left w:val="nil"/>
              <w:bottom w:val="nil"/>
              <w:right w:val="nil"/>
            </w:tcBorders>
            <w:shd w:val="clear" w:color="auto" w:fill="auto"/>
            <w:noWrap/>
          </w:tcPr>
          <w:p w14:paraId="6EAE6652"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-1.038.542</w:t>
            </w:r>
          </w:p>
        </w:tc>
        <w:tc>
          <w:tcPr>
            <w:tcW w:w="1888" w:type="dxa"/>
            <w:tcBorders>
              <w:top w:val="nil"/>
              <w:left w:val="nil"/>
              <w:bottom w:val="nil"/>
              <w:right w:val="nil"/>
            </w:tcBorders>
            <w:shd w:val="clear" w:color="auto" w:fill="auto"/>
            <w:noWrap/>
          </w:tcPr>
          <w:p w14:paraId="33983E97" w14:textId="77777777" w:rsidR="00412D34" w:rsidRPr="00F27A03" w:rsidRDefault="00412D34" w:rsidP="00A42963">
            <w:pPr>
              <w:spacing w:after="0" w:line="240" w:lineRule="auto"/>
              <w:jc w:val="right"/>
              <w:rPr>
                <w:rFonts w:ascii="Calibri" w:eastAsia="Times New Roman" w:hAnsi="Calibri" w:cs="Calibri"/>
                <w:color w:val="002060"/>
                <w:sz w:val="18"/>
                <w:szCs w:val="18"/>
                <w:lang w:val="sr-Cyrl-CS" w:eastAsia="en-GB"/>
              </w:rPr>
            </w:pPr>
            <w:r w:rsidRPr="00F27A03">
              <w:rPr>
                <w:rFonts w:ascii="Calibri" w:eastAsia="Times New Roman" w:hAnsi="Calibri" w:cs="Calibri"/>
                <w:color w:val="002060"/>
                <w:sz w:val="18"/>
                <w:szCs w:val="18"/>
                <w:lang w:val="sr-Cyrl-CS" w:eastAsia="en-GB"/>
              </w:rPr>
              <w:t>-174.787</w:t>
            </w:r>
          </w:p>
        </w:tc>
      </w:tr>
      <w:tr w:rsidR="00412D34" w:rsidRPr="00F27A03" w14:paraId="264BEBD7" w14:textId="77777777" w:rsidTr="00A42963">
        <w:trPr>
          <w:trHeight w:val="20"/>
        </w:trPr>
        <w:tc>
          <w:tcPr>
            <w:tcW w:w="4111" w:type="dxa"/>
            <w:tcBorders>
              <w:top w:val="single" w:sz="8" w:space="0" w:color="002060"/>
              <w:left w:val="nil"/>
              <w:bottom w:val="single" w:sz="8" w:space="0" w:color="002060"/>
              <w:right w:val="nil"/>
            </w:tcBorders>
            <w:shd w:val="clear" w:color="auto" w:fill="auto"/>
            <w:noWrap/>
            <w:vAlign w:val="center"/>
            <w:hideMark/>
          </w:tcPr>
          <w:p w14:paraId="66ABF05E" w14:textId="77777777" w:rsidR="00412D34" w:rsidRPr="00F27A03" w:rsidRDefault="00412D34" w:rsidP="00A42963">
            <w:pPr>
              <w:spacing w:after="0" w:line="240" w:lineRule="auto"/>
              <w:jc w:val="left"/>
              <w:rPr>
                <w:rFonts w:ascii="Calibri" w:eastAsia="Times New Roman" w:hAnsi="Calibri" w:cs="Calibri"/>
                <w:b/>
                <w:bCs/>
                <w:color w:val="002060"/>
                <w:sz w:val="18"/>
                <w:szCs w:val="18"/>
                <w:lang w:val="sr-Cyrl-CS" w:eastAsia="en-GB"/>
              </w:rPr>
            </w:pPr>
            <w:r w:rsidRPr="00F27A03">
              <w:rPr>
                <w:rFonts w:ascii="Calibri" w:eastAsia="Times New Roman" w:hAnsi="Calibri" w:cs="Calibri"/>
                <w:b/>
                <w:bCs/>
                <w:color w:val="002060"/>
                <w:sz w:val="18"/>
                <w:szCs w:val="18"/>
                <w:lang w:val="sr-Cyrl-CS" w:eastAsia="en-GB"/>
              </w:rPr>
              <w:t>Укупно</w:t>
            </w:r>
          </w:p>
        </w:tc>
        <w:tc>
          <w:tcPr>
            <w:tcW w:w="1255" w:type="dxa"/>
            <w:tcBorders>
              <w:top w:val="single" w:sz="8" w:space="0" w:color="002060"/>
              <w:left w:val="nil"/>
              <w:bottom w:val="single" w:sz="8" w:space="0" w:color="002060"/>
              <w:right w:val="nil"/>
            </w:tcBorders>
            <w:shd w:val="clear" w:color="auto" w:fill="auto"/>
            <w:noWrap/>
          </w:tcPr>
          <w:p w14:paraId="6D312EF8" w14:textId="77777777" w:rsidR="00412D34" w:rsidRPr="00F27A03" w:rsidRDefault="00412D34" w:rsidP="00A42963">
            <w:pPr>
              <w:spacing w:after="0" w:line="240" w:lineRule="auto"/>
              <w:jc w:val="right"/>
              <w:rPr>
                <w:rFonts w:ascii="Calibri" w:eastAsia="Times New Roman" w:hAnsi="Calibri" w:cs="Calibri"/>
                <w:b/>
                <w:color w:val="002060"/>
                <w:sz w:val="18"/>
                <w:szCs w:val="18"/>
                <w:lang w:val="sr-Cyrl-CS" w:eastAsia="en-GB"/>
              </w:rPr>
            </w:pPr>
            <w:r w:rsidRPr="00F27A03">
              <w:rPr>
                <w:rFonts w:ascii="Calibri" w:eastAsia="Times New Roman" w:hAnsi="Calibri" w:cs="Calibri"/>
                <w:b/>
                <w:color w:val="002060"/>
                <w:sz w:val="18"/>
                <w:szCs w:val="18"/>
                <w:lang w:val="sr-Cyrl-CS" w:eastAsia="en-GB"/>
              </w:rPr>
              <w:t>-15.469.864</w:t>
            </w:r>
          </w:p>
        </w:tc>
        <w:tc>
          <w:tcPr>
            <w:tcW w:w="1888" w:type="dxa"/>
            <w:tcBorders>
              <w:top w:val="single" w:sz="8" w:space="0" w:color="002060"/>
              <w:left w:val="nil"/>
              <w:bottom w:val="single" w:sz="8" w:space="0" w:color="002060"/>
              <w:right w:val="nil"/>
            </w:tcBorders>
            <w:shd w:val="clear" w:color="auto" w:fill="auto"/>
            <w:noWrap/>
          </w:tcPr>
          <w:p w14:paraId="12E3E4B8" w14:textId="77777777" w:rsidR="00412D34" w:rsidRPr="00F27A03" w:rsidRDefault="00412D34" w:rsidP="00A42963">
            <w:pPr>
              <w:spacing w:after="0" w:line="240" w:lineRule="auto"/>
              <w:jc w:val="right"/>
              <w:rPr>
                <w:rFonts w:ascii="Calibri" w:eastAsia="Times New Roman" w:hAnsi="Calibri" w:cs="Calibri"/>
                <w:b/>
                <w:color w:val="002060"/>
                <w:sz w:val="18"/>
                <w:szCs w:val="18"/>
                <w:lang w:val="sr-Cyrl-CS" w:eastAsia="en-GB"/>
              </w:rPr>
            </w:pPr>
            <w:r w:rsidRPr="00F27A03">
              <w:rPr>
                <w:rFonts w:ascii="Calibri" w:eastAsia="Times New Roman" w:hAnsi="Calibri" w:cs="Calibri"/>
                <w:b/>
                <w:color w:val="002060"/>
                <w:sz w:val="18"/>
                <w:szCs w:val="18"/>
                <w:lang w:val="sr-Cyrl-CS" w:eastAsia="en-GB"/>
              </w:rPr>
              <w:t>-60.655.344</w:t>
            </w:r>
          </w:p>
        </w:tc>
        <w:tc>
          <w:tcPr>
            <w:tcW w:w="1888" w:type="dxa"/>
            <w:tcBorders>
              <w:top w:val="single" w:sz="8" w:space="0" w:color="002060"/>
              <w:left w:val="nil"/>
              <w:bottom w:val="single" w:sz="8" w:space="0" w:color="002060"/>
              <w:right w:val="nil"/>
            </w:tcBorders>
            <w:shd w:val="clear" w:color="auto" w:fill="auto"/>
            <w:noWrap/>
          </w:tcPr>
          <w:p w14:paraId="4BCA2DCD" w14:textId="77777777" w:rsidR="00412D34" w:rsidRPr="00F27A03" w:rsidRDefault="00412D34" w:rsidP="00A42963">
            <w:pPr>
              <w:spacing w:after="0" w:line="240" w:lineRule="auto"/>
              <w:jc w:val="right"/>
              <w:rPr>
                <w:rFonts w:ascii="Calibri" w:eastAsia="Times New Roman" w:hAnsi="Calibri" w:cs="Calibri"/>
                <w:b/>
                <w:color w:val="002060"/>
                <w:sz w:val="18"/>
                <w:szCs w:val="18"/>
                <w:lang w:val="sr-Cyrl-CS" w:eastAsia="en-GB"/>
              </w:rPr>
            </w:pPr>
            <w:r w:rsidRPr="00F27A03">
              <w:rPr>
                <w:rFonts w:ascii="Calibri" w:eastAsia="Times New Roman" w:hAnsi="Calibri" w:cs="Calibri"/>
                <w:b/>
                <w:color w:val="002060"/>
                <w:sz w:val="18"/>
                <w:szCs w:val="18"/>
                <w:lang w:val="sr-Cyrl-CS" w:eastAsia="en-GB"/>
              </w:rPr>
              <w:t>-53.250.643</w:t>
            </w:r>
          </w:p>
        </w:tc>
      </w:tr>
    </w:tbl>
    <w:p w14:paraId="49A34CD4" w14:textId="77777777" w:rsidR="00412D34" w:rsidRPr="00F27A03" w:rsidRDefault="00412D34" w:rsidP="00A42963">
      <w:pPr>
        <w:spacing w:line="276" w:lineRule="auto"/>
        <w:rPr>
          <w:rFonts w:eastAsia="MS PGothic" w:cstheme="minorHAnsi"/>
          <w:sz w:val="18"/>
          <w:szCs w:val="18"/>
          <w:lang w:val="sr-Cyrl-CS" w:eastAsia="ja-JP"/>
        </w:rPr>
      </w:pPr>
      <w:r w:rsidRPr="00F27A03">
        <w:rPr>
          <w:rFonts w:eastAsia="MS PGothic" w:cstheme="minorHAnsi"/>
          <w:sz w:val="18"/>
          <w:szCs w:val="18"/>
          <w:lang w:val="sr-Cyrl-CS" w:eastAsia="ja-JP"/>
        </w:rPr>
        <w:t>Извор: Квартални извештаји Министарства привреде за 2022. годину</w:t>
      </w:r>
    </w:p>
    <w:p w14:paraId="18C743EC" w14:textId="77777777" w:rsidR="00412D34" w:rsidRPr="00F27A03" w:rsidRDefault="00412D34" w:rsidP="00A42963">
      <w:pPr>
        <w:rPr>
          <w:rFonts w:eastAsia="MS PGothic" w:cstheme="minorHAnsi"/>
          <w:szCs w:val="20"/>
          <w:lang w:val="sr-Cyrl-CS" w:eastAsia="ja-JP"/>
        </w:rPr>
        <w:sectPr w:rsidR="00412D34" w:rsidRPr="00F27A03" w:rsidSect="00A42963">
          <w:type w:val="continuous"/>
          <w:pgSz w:w="12240" w:h="15840"/>
          <w:pgMar w:top="1440" w:right="1440" w:bottom="1440" w:left="1440" w:header="720" w:footer="720" w:gutter="0"/>
          <w:cols w:space="720"/>
          <w:docGrid w:linePitch="360"/>
          <w15:footnoteColumns w:val="1"/>
        </w:sectPr>
      </w:pPr>
    </w:p>
    <w:p w14:paraId="2F858595"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У циљу умањења фискалних ризика повезаних са пословањем јавних предузећа у току су процеси реструктурирања највећих јавних предузећа (групе предузећа које се баве железничким саобраћајем – „Железнице Србије” а.д, „Инфраструктура железнице Србије” а.д, „Србија Воз” а.д, „Србија Карго” а.д, ЈП ЕПС и ЈП „Србијагас”). Целокупан процес се спроводи у сарадњи за водећим светским финансијским институцијама – ММФ, Светском банком и Европском банком за обнову и развој (у даљем тексту: ЕБРД), како би се ова предузећа поставила на здраве основе и почела да функционишу по тржишном принципу, те умањили потенцијални фискални трошкови који могу проистећи из њиховог пословања.</w:t>
      </w:r>
    </w:p>
    <w:p w14:paraId="30627E98" w14:textId="77777777" w:rsidR="00412D34" w:rsidRPr="00F27A03" w:rsidRDefault="00412D34" w:rsidP="00A42963">
      <w:pPr>
        <w:rPr>
          <w:rFonts w:cstheme="minorHAnsi"/>
          <w:b/>
          <w:bCs/>
          <w:color w:val="2F5496" w:themeColor="accent1" w:themeShade="BF"/>
          <w:sz w:val="22"/>
          <w:szCs w:val="20"/>
          <w:lang w:val="sr-Cyrl-CS"/>
        </w:rPr>
      </w:pPr>
      <w:r w:rsidRPr="00F27A03">
        <w:rPr>
          <w:rFonts w:cstheme="minorHAnsi"/>
          <w:b/>
          <w:bCs/>
          <w:color w:val="2F5496" w:themeColor="accent1" w:themeShade="BF"/>
          <w:sz w:val="22"/>
          <w:szCs w:val="20"/>
          <w:lang w:val="sr-Cyrl-CS"/>
        </w:rPr>
        <w:t>Уплата добити</w:t>
      </w:r>
    </w:p>
    <w:p w14:paraId="4D9F6269" w14:textId="77777777" w:rsidR="00412D34" w:rsidRPr="00F27A03" w:rsidRDefault="00412D34" w:rsidP="00A42963">
      <w:pPr>
        <w:rPr>
          <w:rFonts w:eastAsia="MS PGothic" w:cstheme="minorHAnsi"/>
          <w:bCs/>
          <w:szCs w:val="20"/>
          <w:lang w:val="sr-Cyrl-CS" w:eastAsia="ja-JP"/>
        </w:rPr>
      </w:pPr>
      <w:r w:rsidRPr="00F27A03">
        <w:rPr>
          <w:rFonts w:eastAsia="MS PGothic" w:cstheme="minorHAnsi"/>
          <w:szCs w:val="20"/>
          <w:lang w:val="sr-Cyrl-CS" w:eastAsia="ja-JP"/>
        </w:rPr>
        <w:t>Уплата добити од стране јавних предузећа и дивиденди друштава капитала у којима држава има власништво представљају значајан део непореских прихода. Од успешности пословања ових предузећа зависи и висина прихода</w:t>
      </w:r>
      <w:r w:rsidRPr="00F27A03">
        <w:rPr>
          <w:rFonts w:eastAsia="MS PGothic" w:cstheme="minorHAnsi"/>
          <w:bCs/>
          <w:szCs w:val="20"/>
          <w:lang w:val="sr-Cyrl-CS" w:eastAsia="ja-JP"/>
        </w:rPr>
        <w:t xml:space="preserve"> буџета по овом основу. Уплата редовне добити и дивиденди је редован буџетски непорески приход, док се уплате из нераспоређене добити третирају као </w:t>
      </w:r>
      <w:r w:rsidRPr="00F27A03">
        <w:rPr>
          <w:rFonts w:eastAsia="MS PGothic" w:cstheme="minorHAnsi"/>
          <w:bCs/>
          <w:szCs w:val="20"/>
          <w:lang w:val="sr-Cyrl-CS" w:eastAsia="ja-JP"/>
        </w:rPr>
        <w:t>приход са једнократним карактером и не представљају трајни извор прихода.</w:t>
      </w:r>
    </w:p>
    <w:p w14:paraId="768F4423"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Привредна друштва чији је оснивач Република Србија или у којима Република Србија има учешће у власништву дужна су да најкасније до 30. новембра текуће буџетске године у буџет Републике Србије уплате најмање 50% сразмерног дела добити по завршном рачуну за 2020. годину, који у складу са законом који уређује привредна друштва припада Републици Србији као члану друштва.</w:t>
      </w:r>
    </w:p>
    <w:p w14:paraId="7135E56D"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Изузетно, уз сагласност Владе, обавезу по основу уплате добити нема субјекат који донесе одлуку да из добити покрије губитак или повећа капитал или средства употреби за финансирање инвестиција.</w:t>
      </w:r>
    </w:p>
    <w:p w14:paraId="3BAF8A66"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У току 2021. године по овом основу уплаћено је 7,9 млрд динара у буџет Републике.</w:t>
      </w:r>
    </w:p>
    <w:p w14:paraId="585D3203" w14:textId="77777777" w:rsidR="00412D34" w:rsidRPr="00F27A03" w:rsidRDefault="00412D34" w:rsidP="00A42963">
      <w:pPr>
        <w:rPr>
          <w:rFonts w:eastAsia="MS PGothic" w:cstheme="minorHAnsi"/>
          <w:bCs/>
          <w:szCs w:val="20"/>
          <w:lang w:val="sr-Cyrl-CS" w:eastAsia="ja-JP"/>
        </w:rPr>
      </w:pPr>
      <w:r w:rsidRPr="00F27A03">
        <w:rPr>
          <w:rFonts w:eastAsia="MS PGothic" w:cstheme="minorHAnsi"/>
          <w:szCs w:val="20"/>
          <w:lang w:val="sr-Cyrl-CS" w:eastAsia="ja-JP"/>
        </w:rPr>
        <w:t>Ублажавање потенцијалних ризика, који настају као последица пословања јавних предузећа, обухвата низ мера везаних за одговорност, профитабилност и транспарентност у пословању ових предузећа. Процеси реструктурирања</w:t>
      </w:r>
      <w:r w:rsidRPr="00F27A03">
        <w:rPr>
          <w:rFonts w:eastAsia="MS PGothic" w:cstheme="minorHAnsi"/>
          <w:bCs/>
          <w:szCs w:val="20"/>
          <w:lang w:val="sr-Cyrl-CS" w:eastAsia="ja-JP"/>
        </w:rPr>
        <w:t xml:space="preserve"> покренути су у ЈП ЕПС, ЈП „Србијагас</w:t>
      </w:r>
      <w:r w:rsidRPr="00F27A03">
        <w:rPr>
          <w:rFonts w:eastAsia="MS PGothic" w:cstheme="minorHAnsi"/>
          <w:szCs w:val="20"/>
          <w:lang w:val="sr-Cyrl-CS" w:eastAsia="ja-JP"/>
        </w:rPr>
        <w:t>”</w:t>
      </w:r>
      <w:r w:rsidRPr="00F27A03">
        <w:rPr>
          <w:rFonts w:eastAsia="MS PGothic" w:cstheme="minorHAnsi"/>
          <w:bCs/>
          <w:szCs w:val="20"/>
          <w:lang w:val="sr-Cyrl-CS" w:eastAsia="ja-JP"/>
        </w:rPr>
        <w:t xml:space="preserve"> и „Железнице Србије” а.д, при чему ће од успешности самог процеса реструктурирања и </w:t>
      </w:r>
      <w:r w:rsidRPr="00F27A03">
        <w:rPr>
          <w:rFonts w:eastAsia="MS PGothic" w:cstheme="minorHAnsi"/>
          <w:bCs/>
          <w:szCs w:val="20"/>
          <w:lang w:val="sr-Cyrl-CS" w:eastAsia="ja-JP"/>
        </w:rPr>
        <w:lastRenderedPageBreak/>
        <w:t>брзине спровођења усвојених мера зависити ефикасност пословања у будућности.</w:t>
      </w:r>
    </w:p>
    <w:p w14:paraId="0A547775" w14:textId="77777777" w:rsidR="00412D34" w:rsidRPr="00F27A03" w:rsidRDefault="00412D34" w:rsidP="00A42963">
      <w:pPr>
        <w:jc w:val="left"/>
        <w:rPr>
          <w:rFonts w:ascii="Calibri" w:eastAsia="Calibri" w:hAnsi="Calibri" w:cs="Calibri"/>
          <w:b/>
          <w:bCs/>
          <w:color w:val="2F5496" w:themeColor="accent1" w:themeShade="BF"/>
          <w:sz w:val="22"/>
          <w:szCs w:val="20"/>
          <w:lang w:val="sr-Cyrl-CS"/>
        </w:rPr>
      </w:pPr>
      <w:r w:rsidRPr="00F27A03">
        <w:rPr>
          <w:rFonts w:ascii="Calibri" w:eastAsia="Calibri" w:hAnsi="Calibri" w:cs="Calibri"/>
          <w:b/>
          <w:bCs/>
          <w:color w:val="2F5496" w:themeColor="accent1" w:themeShade="BF"/>
          <w:sz w:val="22"/>
          <w:szCs w:val="20"/>
          <w:lang w:val="sr-Cyrl-CS"/>
        </w:rPr>
        <w:t>Државне финансијске институције, банкарски систем и осигурање депозита</w:t>
      </w:r>
    </w:p>
    <w:p w14:paraId="6577793A"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Пре периода фискалне консолидације Република Србија имала је значајне фискалне трошкове спашавања државних банака. Укупни трошкови државних интервенција у банкарском сектору у периоду 2012–2015. године износили су око 900 милиона евра. То је износ издвојен за докапитализацију банака, различите финансијске трансакције приликом припајања неуспешних банака успешнијим, укључујући и исплату осигураних и неосигураних депозита (за шта су коришћена и средства Фонда за осигурање депозита).</w:t>
      </w:r>
    </w:p>
    <w:p w14:paraId="337288FA" w14:textId="77777777" w:rsidR="00412D34" w:rsidRPr="00F27A03" w:rsidRDefault="00412D34" w:rsidP="00A42963">
      <w:pPr>
        <w:spacing w:after="80"/>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Република Србија данас у банкарском сектору земље има директан удео у капиталу:</w:t>
      </w:r>
    </w:p>
    <w:p w14:paraId="4BFDAFAB" w14:textId="77777777" w:rsidR="00412D34" w:rsidRPr="00F27A03" w:rsidRDefault="00412D34" w:rsidP="00A42963">
      <w:pPr>
        <w:numPr>
          <w:ilvl w:val="0"/>
          <w:numId w:val="14"/>
        </w:numPr>
        <w:spacing w:line="256" w:lineRule="auto"/>
        <w:ind w:left="454" w:hanging="227"/>
        <w:contextualSpacing/>
        <w:jc w:val="left"/>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Банке Поштанска штедионица а.д. Београд (72,64%),</w:t>
      </w:r>
    </w:p>
    <w:p w14:paraId="5E490C95" w14:textId="77777777" w:rsidR="00412D34" w:rsidRPr="00F27A03" w:rsidRDefault="00412D34" w:rsidP="00A42963">
      <w:pPr>
        <w:numPr>
          <w:ilvl w:val="0"/>
          <w:numId w:val="14"/>
        </w:numPr>
        <w:spacing w:line="256" w:lineRule="auto"/>
        <w:ind w:left="454" w:hanging="227"/>
        <w:jc w:val="left"/>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Српске банке а.д. Београд (76,69%).</w:t>
      </w:r>
    </w:p>
    <w:p w14:paraId="3374ABB0"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У циљу доследног спровођења излазне стратегије и смањења фискалних ризика по овом основу настављају се реформске активности у области државних финансијских институција започете 2012. године, односно 2015. године.</w:t>
      </w:r>
    </w:p>
    <w:p w14:paraId="1DEB4692"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Банка Поштанска штедионица. Уз подршку Светске банке наставиће се са спровођењем стратегије за Банку Поштанска штедионица са нагласком на преусмеравање пословања са становништвом, предузетницима, микро предузећима, малим предузећима и средњим предузећима; побољшање интерне организације банке, корпоративног управљања и управљања ризиком; јачање ИТ инфраструктуре, као и план пословања за период 2021–2025. године.</w:t>
      </w:r>
    </w:p>
    <w:p w14:paraId="65FF1B64"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 xml:space="preserve">Како би се омогућило ублажавање економских и финансијских последица, насталих услед пандемије болести COVID-19 изазване вирусом SARS-CoV-2, Банка поступа у складу са Законом о утврђивању гарантне шеме као мере подршке </w:t>
      </w:r>
      <w:r w:rsidRPr="00F27A03">
        <w:rPr>
          <w:rFonts w:ascii="Calibri" w:eastAsia="MS PGothic" w:hAnsi="Calibri" w:cs="Calibri"/>
          <w:color w:val="44546A"/>
          <w:szCs w:val="20"/>
          <w:lang w:val="sr-Cyrl-CS" w:eastAsia="ja-JP"/>
        </w:rPr>
        <w:t>привреди за ублажавање последица пандемије болести COVID-19 изазване вирусом SARS-CoV-2 („Службени гласник РС”, бр. 153/20 и 40/21) и Законом о утврђивању друге гарантне шеме као мера додатне подршке привреди услед продуженог негативног утицаја пандемије болести COVID-19 изазване вирусом SARS-CoV-2 („Службени гласник РС”, бр. 40/21 и 129/21).</w:t>
      </w:r>
    </w:p>
    <w:p w14:paraId="06CAA8B1" w14:textId="77777777" w:rsidR="00412D34" w:rsidRPr="00F27A03" w:rsidRDefault="00412D34" w:rsidP="00A42963">
      <w:pPr>
        <w:rPr>
          <w:rFonts w:ascii="Calibri" w:eastAsia="MS PGothic" w:hAnsi="Calibri" w:cs="Calibri"/>
          <w:color w:val="44546A"/>
          <w:spacing w:val="-2"/>
          <w:szCs w:val="20"/>
          <w:lang w:val="sr-Cyrl-CS" w:eastAsia="ja-JP"/>
        </w:rPr>
      </w:pPr>
      <w:r w:rsidRPr="00F27A03">
        <w:rPr>
          <w:rFonts w:ascii="Calibri" w:eastAsia="MS PGothic" w:hAnsi="Calibri" w:cs="Calibri"/>
          <w:color w:val="44546A"/>
          <w:szCs w:val="20"/>
          <w:lang w:val="sr-Cyrl-CS" w:eastAsia="ja-JP"/>
        </w:rPr>
        <w:t>Српска банка. У складу са Владином стратегијом за државне банке, формирана је Стручна радна група</w:t>
      </w:r>
      <w:r w:rsidRPr="00F27A03">
        <w:rPr>
          <w:rFonts w:ascii="Calibri" w:eastAsia="MS PGothic" w:hAnsi="Calibri" w:cs="Calibri"/>
          <w:color w:val="44546A"/>
          <w:spacing w:val="-2"/>
          <w:szCs w:val="20"/>
          <w:lang w:val="sr-Cyrl-CS" w:eastAsia="ja-JP"/>
        </w:rPr>
        <w:t xml:space="preserve"> за трансформацију Српске банке у специјализовану финансијску институцију за пружање свих врста финансијских услуга и подршке наменској индустрији Републике Србије дана 21. јануара 2019. године и почела је са формалним радом у марту 2019. године када је одржана конститутивна седница. Због наставка пандемије болести COVID-19 изазване вирусом SARS-CoV-2, као и кризе изазване ратом у Украјини и текућих активности у оквиру Министарства финансија током кризе, очекује се да ће активности усмерене на трансформацију Српске банке бити настављене током 2023 године.</w:t>
      </w:r>
    </w:p>
    <w:p w14:paraId="27B64E37"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Реформа прописа који уређују српски финансијски систем</w:t>
      </w:r>
      <w:r w:rsidRPr="00F27A03">
        <w:rPr>
          <w:rFonts w:ascii="Calibri" w:eastAsia="MS PGothic" w:hAnsi="Calibri" w:cs="Calibri"/>
          <w:color w:val="44546A"/>
          <w:szCs w:val="20"/>
          <w:vertAlign w:val="superscript"/>
          <w:lang w:val="sr-Cyrl-CS" w:eastAsia="ja-JP"/>
        </w:rPr>
        <w:footnoteReference w:id="9"/>
      </w:r>
      <w:r w:rsidRPr="00F27A03">
        <w:rPr>
          <w:rFonts w:ascii="Calibri" w:eastAsia="MS PGothic" w:hAnsi="Calibri" w:cs="Calibri"/>
          <w:color w:val="44546A"/>
          <w:szCs w:val="20"/>
          <w:vertAlign w:val="superscript"/>
          <w:lang w:val="sr-Cyrl-CS" w:eastAsia="ja-JP"/>
        </w:rPr>
        <w:t xml:space="preserve"> </w:t>
      </w:r>
      <w:r w:rsidRPr="00F27A03">
        <w:rPr>
          <w:rFonts w:ascii="Calibri" w:eastAsia="MS PGothic" w:hAnsi="Calibri" w:cs="Calibri"/>
          <w:color w:val="44546A"/>
          <w:szCs w:val="20"/>
          <w:lang w:val="sr-Cyrl-CS" w:eastAsia="ja-JP"/>
        </w:rPr>
        <w:t>спроведена је фебруара 2015. године. Једна од карактеристика те реформе јесте и пренос надлежности праћења резултата пословања и рада органа управљања у банкама, друштвима за осигурање и другим финансијским институцијама чији је акционар Република Србија, као и организовање и спровођење поступка продаје акција у њима, са АОД на Министарство финансија, почев од 1. априла 2015. године. Реформом прописа је у домаћу регулативу транспонована и Директива о реструктурирању банака (</w:t>
      </w:r>
      <w:r w:rsidRPr="00F27A03">
        <w:rPr>
          <w:rFonts w:ascii="Calibri" w:eastAsia="MS PGothic" w:hAnsi="Calibri" w:cs="Calibri"/>
          <w:i/>
          <w:color w:val="44546A"/>
          <w:szCs w:val="20"/>
          <w:lang w:val="sr-Cyrl-CS" w:eastAsia="ja-JP"/>
        </w:rPr>
        <w:t>Bank Recovery and Resolution Directive</w:t>
      </w:r>
      <w:r w:rsidRPr="00F27A03">
        <w:rPr>
          <w:rFonts w:ascii="Calibri" w:eastAsia="MS PGothic" w:hAnsi="Calibri" w:cs="Calibri"/>
          <w:color w:val="44546A"/>
          <w:szCs w:val="20"/>
          <w:lang w:val="sr-Cyrl-CS" w:eastAsia="ja-JP"/>
        </w:rPr>
        <w:t xml:space="preserve"> – BRRD) и функција реструктурирања банака поверена је НБС. У децембру 2016. године усвојен је сет прописа којима се у домаћи регулаторни оквир имплементирају Базел III стандарди, чиме је постигнут значајан степен усклађености домаћих прописа са релевантним прописима ЕУ у овој области, а током 2017. године се наставило са активностима на унапређењу домаћих прописа </w:t>
      </w:r>
      <w:r w:rsidRPr="00F27A03">
        <w:rPr>
          <w:rFonts w:ascii="Calibri" w:eastAsia="MS PGothic" w:hAnsi="Calibri" w:cs="Calibri"/>
          <w:color w:val="44546A"/>
          <w:szCs w:val="20"/>
          <w:lang w:val="sr-Cyrl-CS" w:eastAsia="ja-JP"/>
        </w:rPr>
        <w:lastRenderedPageBreak/>
        <w:t>којима се уређује пословање банака, а у циљу њиховог даљег усклађивања са прописима ЕУ. Основни циљеви усвајања ових прописа су повећање отпорности банкарског сектора повећањем квалитета капитала и увођењем заштитних слојева капитала, боље праћење и контрола изложености банке ризику ликвидности, даље јачање тржишне дисциплине и транспарентности пословања банака у Републици Србији објављивањем свих релевантних информација о пословању банке, као и прилагођавање извештајног система новим регулаторним решењима.</w:t>
      </w:r>
    </w:p>
    <w:p w14:paraId="17E36B80"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Један од ограничавајућих фактора за раст кредитне активности представљао је релативно висок ниво проблематичних кредита. У августу 2015. године усвојена је Стратегија за решавање проблематичних кредита која се спроводи имплементацијом два трогодишња акциона плана, један припремљен од стране Владе и други припремљен од стране НБС, у циљу спуштања нивоа проблематичних кредита. Кључне области имплементације подразумевале су јачање капацитета банака за решавање проблематичних кредита, унапређење регулативе за процену вредности средстава обезбеђења, развој тржишта проблематичних кредита и др.</w:t>
      </w:r>
    </w:p>
    <w:p w14:paraId="0A9FC6F9" w14:textId="55D24258" w:rsidR="00412D34" w:rsidRPr="00F27A03" w:rsidRDefault="00412D34" w:rsidP="00A42963">
      <w:pPr>
        <w:rPr>
          <w:rFonts w:ascii="Calibri" w:eastAsia="MS PGothic" w:hAnsi="Calibri" w:cs="Calibri"/>
          <w:color w:val="44546A"/>
          <w:spacing w:val="-2"/>
          <w:szCs w:val="20"/>
          <w:lang w:val="sr-Cyrl-CS" w:eastAsia="ja-JP"/>
        </w:rPr>
      </w:pPr>
      <w:r w:rsidRPr="00F27A03">
        <w:rPr>
          <w:rFonts w:ascii="Calibri" w:eastAsia="MS PGothic" w:hAnsi="Calibri" w:cs="Calibri"/>
          <w:color w:val="44546A"/>
          <w:spacing w:val="-2"/>
          <w:szCs w:val="20"/>
          <w:lang w:val="sr-Cyrl-CS" w:eastAsia="ja-JP"/>
        </w:rPr>
        <w:t>На иницијативу Народне банке Србије, 2014. године усвојен је нови Закон о осигурању на основу кога је током 2014. и 2015. године извршена регулаторна реформа у сектору осигурања, које представља други најважнији сегмент на домаћем финансијском тржишту. Регулаторном реформом створени су предуслови за даљи развој тржишта осигурања кроз имплементацију модерних стандарда прилагођених потребама домаћег тржишта. Нови регулаторни оквир омогућио је, између осталог, позитивне резултате који се огледају у расту укупне премије осигурања на тржишту Републике Србије и даљем развоју финансијског тржишта. Исто тако, реформа прописа у овој области је омогућила увођење квалитетнијих услуга друштава за осигурање и бољу заштиту грађана и привредних субјеката који те услуге користе. У току 2021. усвојене су измене и допуна Закона о осигурању, којима је уређена промена власничких права на друштвеном капиталу у друштвима за осигурање.</w:t>
      </w:r>
      <w:r w:rsidR="00E6581C" w:rsidRPr="00F27A03">
        <w:rPr>
          <w:rFonts w:ascii="Calibri" w:eastAsia="MS PGothic" w:hAnsi="Calibri" w:cs="Calibri"/>
          <w:color w:val="44546A"/>
          <w:spacing w:val="-2"/>
          <w:szCs w:val="20"/>
          <w:lang w:val="sr-Cyrl-CS" w:eastAsia="ja-JP"/>
        </w:rPr>
        <w:t xml:space="preserve"> Постојећим прописима </w:t>
      </w:r>
      <w:r w:rsidR="00E6581C" w:rsidRPr="00F27A03">
        <w:rPr>
          <w:rFonts w:ascii="Calibri" w:eastAsia="MS PGothic" w:hAnsi="Calibri" w:cs="Calibri"/>
          <w:color w:val="44546A"/>
          <w:spacing w:val="-2"/>
          <w:szCs w:val="20"/>
          <w:lang w:val="sr-Cyrl-CS" w:eastAsia="ja-JP"/>
        </w:rPr>
        <w:t>којима се уређује делатност осигурања у Републици Србији створени су предуслови за даљу конвергенцију сектора осигурања у Републици Србији на ниво развијености тог сектора у ЕУ. Значајне промене регулаторног оквира у области надзора делатности осигурања тек се очекују с пуним усклађивањем прописа с Директивом о дистрибуцији осигурања (</w:t>
      </w:r>
      <w:r w:rsidR="00E6581C" w:rsidRPr="00F27A03">
        <w:rPr>
          <w:rFonts w:ascii="Calibri" w:eastAsia="MS PGothic" w:hAnsi="Calibri" w:cs="Calibri"/>
          <w:i/>
          <w:iCs/>
          <w:color w:val="44546A"/>
          <w:spacing w:val="-2"/>
          <w:szCs w:val="20"/>
          <w:lang w:val="sr-Cyrl-CS" w:eastAsia="ja-JP"/>
        </w:rPr>
        <w:t>Directive (EU) 2016/97 — the Insurance Distribution Directive - IDD</w:t>
      </w:r>
      <w:r w:rsidR="00E6581C" w:rsidRPr="00F27A03">
        <w:rPr>
          <w:rFonts w:ascii="Calibri" w:eastAsia="MS PGothic" w:hAnsi="Calibri" w:cs="Calibri"/>
          <w:color w:val="44546A"/>
          <w:spacing w:val="-2"/>
          <w:szCs w:val="20"/>
          <w:lang w:val="sr-Cyrl-CS" w:eastAsia="ja-JP"/>
        </w:rPr>
        <w:t>) и применом Солвентности II (</w:t>
      </w:r>
      <w:r w:rsidR="00E6581C" w:rsidRPr="00F27A03">
        <w:rPr>
          <w:rFonts w:ascii="Calibri" w:eastAsia="MS PGothic" w:hAnsi="Calibri" w:cs="Calibri"/>
          <w:i/>
          <w:iCs/>
          <w:color w:val="44546A"/>
          <w:spacing w:val="-2"/>
          <w:szCs w:val="20"/>
          <w:lang w:val="sr-Cyrl-CS" w:eastAsia="ja-JP"/>
        </w:rPr>
        <w:t>Directive 2009/138/EC of the European Parliament and of the Council on taking-up and pursuit of the business of Insurance and Reinsurance</w:t>
      </w:r>
      <w:r w:rsidR="00E6581C" w:rsidRPr="00F27A03">
        <w:rPr>
          <w:rFonts w:ascii="Calibri" w:eastAsia="MS PGothic" w:hAnsi="Calibri" w:cs="Calibri"/>
          <w:color w:val="44546A"/>
          <w:spacing w:val="-2"/>
          <w:szCs w:val="20"/>
          <w:lang w:val="sr-Cyrl-CS" w:eastAsia="ja-JP"/>
        </w:rPr>
        <w:t>).</w:t>
      </w:r>
    </w:p>
    <w:p w14:paraId="2EA0FE26"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 xml:space="preserve">Од доношења поменуте стратегије, усвојен је и измењен већи број законских и подзаконских аката, унапређен је институционални капацитет и спроведене су бројне мере за лакши отпис и пренос ненаплативих потраживања и то: усвајањем Закона о изменама и допунама Закона о хипотеци (2015. године) чија решења су омогућила реафирмацију вансудског поступка намирења из вредности добијене продајом хипотековане непокретности, али и довела до вишег степена правне и економске сигурности учесника у пословима који подразумевају успостављање хипотеке, као средства обезбеђења потраживања; кроз доношење Закона о проценитељима вредности непокретности (почетак примене закона – јун 2017. године) који је, између осталог, увео нову професију – лиценциране проценитеље вредности непокретности и прописао обавезну процену која се спроводи у случајевима који се односе на Закон о хипотеци и Закон о стечају, као и приликом вршења процена за потребе кредитних послова који су обезбеђени хипотеком; образовање Стручног одбора (стручно тело које треба да допринесе уређењу и унапређењу професије проценитеља вредности непокретности) и доношење Националних стандарда, кодекса етике и правила професионалног понашања лиценцираног проценитеља (у јулу 2017. године) који, између осталог, дефинишу основе процене вредности непокретности, поступак вршења процене, претпоставке и чињенице од значаја које се морају узети у обзир приликом израде извештаја процене, минимални садржај извештаја o процени и правила професионалног понашања </w:t>
      </w:r>
      <w:r w:rsidRPr="00F27A03">
        <w:rPr>
          <w:rFonts w:ascii="Calibri" w:eastAsia="MS PGothic" w:hAnsi="Calibri" w:cs="Calibri"/>
          <w:color w:val="44546A"/>
          <w:szCs w:val="20"/>
          <w:lang w:val="sr-Cyrl-CS" w:eastAsia="ja-JP"/>
        </w:rPr>
        <w:lastRenderedPageBreak/>
        <w:t>лиценцираног проценитеља; усвајање измена и допуна Закона о порезу на добит правних лица и Закона о порезу на доходак грађана што је омогућило релаксиранију пореску политику за одобравање и отпис банкарских потраживања (крај 2017. године); усвајање амандмана на Закон о стечају којима је скраћен стечајни поступак и побољшан положај осигураних поверилаца (децембра 2017. године); припрему студије о могућностима увођења банкрота приватних појединаца и предузетника у Републици Србији, усвојен је Закон о изменама Закона о парничном поступку и друго. На основу Закона о проценитељима вредности непокретности и Одлуке о садржају, роковима и начину достављања извештаја о проценама вредности непокретности које су предмет хипотеке и кредитима обезбеђеним хипотеком, НБС од 2015. године води базу података о проценама вредности непокретности које су предмет хипотеке. У складу с поменутим законом и одлуком, банке и лиценцирани проценитељи могу остварити увид у одређене податке о проценама вредности непокретности које су предмет хипотеке. Крајем 2018. године НБС је усвојила сет подзаконских аката реагујући проактивно на све учесталију појаву ненаменског кредитирања становништва по неоправдано дугим роковима. Ови прописи имају за циљ да допринесу спречавању настанка проблематичних кредита у банкарском сектору и подстакну опрезно преузимање ризика од стране банака њиховим усмеравањем на одрживо кредитирање и избегавање прекомерне изложености одређеним врстама кредитних производа, не нарушавајући тренд раста кредитне активности и водећи рачуна о правима и интересима корисника услуга које пружају банке, а све ради очувања и јачања финансијске стабилности у Републици Србији.</w:t>
      </w:r>
    </w:p>
    <w:p w14:paraId="7142BA6A"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Влада је 27. децембра 2018. године донела Програм за решавање проблематичних кредита за период 2018–2020. године (у даљем тексту: Програм) заједно са Акционим планом за спровођење тог програма чиме је успешно испуњен и реформски циљ унутар програма сарадње са ММФ и зацртан пут за даљи успешан рад на решавању питања проблематичних потраживања.</w:t>
      </w:r>
    </w:p>
    <w:p w14:paraId="27F660B5"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Главни фокус поменутог документа јавне политике представља решавање питања проблематичних пласмана банака у стечају и пласмана у име и за рачун Републике Србије, којима управља АОД. У складу са тим, усвојени су стратешки и годишњи оперативни планови за АОД, Резолуција портфеља проблематичних пласмана, и развијени су унутрашњи капацитети за њихово решавање. У јуну 2019. године, АОД успешно је окончала продају првог, „пилот портфеља”, номиналне вредности од око 242 милиона евра, док је дана 30. септембра 2019. године објавила оглас за уступање другог, „великог портфеља”, номиналне вредности од 1,82 милијарде евра. Због ограничавајућих фактора изазваних пандемијом COVID-19 на способност инвеститора да спроведу поступак анализе, отварање обавезујућих понуда извршено је 10. септембра 2020. године, а укупно је примљено пет обавезујућих понуда.</w:t>
      </w:r>
    </w:p>
    <w:p w14:paraId="31E8BE52" w14:textId="77777777" w:rsidR="00412D34" w:rsidRPr="00F27A03" w:rsidRDefault="00412D34" w:rsidP="00A42963">
      <w:pPr>
        <w:rPr>
          <w:rFonts w:eastAsia="Times New Roman"/>
          <w:lang w:val="sr-Cyrl-CS"/>
        </w:rPr>
      </w:pPr>
      <w:r w:rsidRPr="00F27A03">
        <w:rPr>
          <w:rFonts w:ascii="Calibri" w:eastAsia="MS PGothic" w:hAnsi="Calibri" w:cs="Calibri"/>
          <w:color w:val="44546A"/>
          <w:szCs w:val="20"/>
          <w:lang w:val="sr-Cyrl-CS" w:eastAsia="ja-JP"/>
        </w:rPr>
        <w:t xml:space="preserve">Након вишемесечних преговора са најбољим понуђачима, у складу са Закључком Владе 05 Број: 401-1646/2021 од 25. фебруара 2021. године, Закључком Покрајинске владе 127 Број 422-6/2021 од 3. марта 2021. године и одлукама Одбора поверилаца свих финансијских институција у стечају, чија потраживања су предмет уступања, изабрана је </w:t>
      </w:r>
      <w:r w:rsidRPr="00F27A03">
        <w:rPr>
          <w:rFonts w:ascii="Calibri" w:eastAsia="MS PGothic" w:hAnsi="Calibri" w:cs="Calibri"/>
          <w:szCs w:val="20"/>
          <w:lang w:val="sr-Cyrl-CS" w:eastAsia="ja-JP"/>
        </w:rPr>
        <w:t>најбоља понуда у поступку уступања портфеља потраживања уз накнаду, методом јавног прикупљања понуда тендером и поступак уступања „великог” портфеља је успешно окончан дана 19. априла 2021. године, потписивањем Оквирних уговора о уступању портфеља потраживања и исплатом накнаде за уступање.</w:t>
      </w:r>
    </w:p>
    <w:p w14:paraId="48DA1CF7" w14:textId="77777777" w:rsidR="00412D34" w:rsidRPr="00F27A03" w:rsidRDefault="00412D34" w:rsidP="00A42963">
      <w:pPr>
        <w:rPr>
          <w:rFonts w:eastAsia="Times New Roman"/>
          <w:lang w:val="sr-Cyrl-CS"/>
        </w:rPr>
      </w:pPr>
      <w:r w:rsidRPr="00F27A03">
        <w:rPr>
          <w:rFonts w:eastAsia="Times New Roman"/>
          <w:lang w:val="sr-Cyrl-CS"/>
        </w:rPr>
        <w:t>Након успешно спроведена два поступка уступања потраживања, започете су активности на решавању преосталог портфолиа, у складу са тачком 2.3.3. Програма и Акционог плана, а којом је дефинисано да је, након спровођења продаје пилот и великог портфеља, потребно предузети низ активности у погледу реализације преосталог потраживања државних поверилаца.</w:t>
      </w:r>
    </w:p>
    <w:p w14:paraId="72960D03" w14:textId="77777777" w:rsidR="00412D34" w:rsidRPr="00F27A03" w:rsidRDefault="00412D34" w:rsidP="00A42963">
      <w:pPr>
        <w:rPr>
          <w:rFonts w:eastAsia="Times New Roman"/>
          <w:lang w:val="sr-Cyrl-CS"/>
        </w:rPr>
      </w:pPr>
      <w:r w:rsidRPr="00F27A03">
        <w:rPr>
          <w:rFonts w:eastAsia="Times New Roman"/>
          <w:lang w:val="sr-Cyrl-CS"/>
        </w:rPr>
        <w:t>Портфељ који ће бити предмет уступања чиниће потраживања Агенције у име и за рачун Републике Србије и седам финансијских институција у стечају, укупне номиналне вредности не ниже од 300 милиона евра. Реализација се очекује током 2023. године.</w:t>
      </w:r>
    </w:p>
    <w:p w14:paraId="017E31C4" w14:textId="7CD23E0E"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szCs w:val="20"/>
          <w:lang w:val="sr-Cyrl-CS" w:eastAsia="ja-JP"/>
        </w:rPr>
        <w:lastRenderedPageBreak/>
        <w:t xml:space="preserve">Имплементација других мера за решавање проблематичних кредита, како из Стратегије </w:t>
      </w:r>
      <w:r w:rsidRPr="00F27A03">
        <w:rPr>
          <w:rFonts w:ascii="Calibri" w:eastAsia="MS PGothic" w:hAnsi="Calibri" w:cs="Calibri"/>
          <w:color w:val="44546A"/>
          <w:szCs w:val="20"/>
          <w:lang w:val="sr-Cyrl-CS" w:eastAsia="ja-JP"/>
        </w:rPr>
        <w:t xml:space="preserve">за решавање проблематичних кредита, тако и из горепоменутог Програма, наставља да даје резултате. </w:t>
      </w:r>
      <w:r w:rsidRPr="00F27A03">
        <w:rPr>
          <w:rFonts w:ascii="Calibri" w:eastAsia="Calibri" w:hAnsi="Calibri" w:cs="Times New Roman"/>
          <w:color w:val="44546A"/>
          <w:lang w:val="sr-Cyrl-CS"/>
        </w:rPr>
        <w:t>Смањење проблематичних кредита у периоду август 2015 – септембар 202</w:t>
      </w:r>
      <w:r w:rsidR="00B07351" w:rsidRPr="00F27A03">
        <w:rPr>
          <w:rFonts w:ascii="Calibri" w:eastAsia="Calibri" w:hAnsi="Calibri" w:cs="Times New Roman"/>
          <w:color w:val="44546A"/>
          <w:lang w:val="sr-Cyrl-CS"/>
        </w:rPr>
        <w:t>2</w:t>
      </w:r>
      <w:r w:rsidRPr="00F27A03">
        <w:rPr>
          <w:rFonts w:ascii="Calibri" w:eastAsia="Calibri" w:hAnsi="Calibri" w:cs="Times New Roman"/>
          <w:color w:val="44546A"/>
          <w:lang w:val="sr-Cyrl-CS"/>
        </w:rPr>
        <w:t>. године износи 3</w:t>
      </w:r>
      <w:r w:rsidR="00B07351" w:rsidRPr="00F27A03">
        <w:rPr>
          <w:rFonts w:ascii="Calibri" w:eastAsia="Calibri" w:hAnsi="Calibri" w:cs="Times New Roman"/>
          <w:color w:val="44546A"/>
          <w:lang w:val="sr-Cyrl-CS"/>
        </w:rPr>
        <w:t>20</w:t>
      </w:r>
      <w:r w:rsidRPr="00F27A03">
        <w:rPr>
          <w:rFonts w:ascii="Calibri" w:eastAsia="Calibri" w:hAnsi="Calibri" w:cs="Times New Roman"/>
          <w:color w:val="44546A"/>
          <w:lang w:val="sr-Cyrl-CS"/>
        </w:rPr>
        <w:t xml:space="preserve"> млрд динара, док се резултат Стратегије за решавање проблематичних кредита огледа кроз историјски најнижи удео проблематичних кредита на крају септембра 202</w:t>
      </w:r>
      <w:r w:rsidR="00A42963" w:rsidRPr="00F27A03">
        <w:rPr>
          <w:rFonts w:ascii="Calibri" w:eastAsia="Calibri" w:hAnsi="Calibri" w:cs="Times New Roman"/>
          <w:color w:val="44546A"/>
          <w:lang w:val="sr-Cyrl-CS"/>
        </w:rPr>
        <w:t>2</w:t>
      </w:r>
      <w:r w:rsidRPr="00F27A03">
        <w:rPr>
          <w:rFonts w:ascii="Calibri" w:eastAsia="Calibri" w:hAnsi="Calibri" w:cs="Times New Roman"/>
          <w:color w:val="44546A"/>
          <w:lang w:val="sr-Cyrl-CS"/>
        </w:rPr>
        <w:t>. од 3,</w:t>
      </w:r>
      <w:r w:rsidR="00B07351" w:rsidRPr="00F27A03">
        <w:rPr>
          <w:rFonts w:ascii="Calibri" w:eastAsia="Calibri" w:hAnsi="Calibri" w:cs="Times New Roman"/>
          <w:color w:val="44546A"/>
          <w:lang w:val="sr-Cyrl-CS"/>
        </w:rPr>
        <w:t>2</w:t>
      </w:r>
      <w:r w:rsidRPr="00F27A03">
        <w:rPr>
          <w:rFonts w:ascii="Calibri" w:eastAsia="Calibri" w:hAnsi="Calibri" w:cs="Times New Roman"/>
          <w:color w:val="44546A"/>
          <w:lang w:val="sr-Cyrl-CS"/>
        </w:rPr>
        <w:t xml:space="preserve">%. У поређењу са тим показатељем пре примене Стратегије (22,25%) бележи се импресивно смањење за </w:t>
      </w:r>
      <w:r w:rsidR="00A42963" w:rsidRPr="00F27A03">
        <w:rPr>
          <w:rFonts w:ascii="Calibri" w:eastAsia="Calibri" w:hAnsi="Calibri" w:cs="Times New Roman"/>
          <w:color w:val="44546A"/>
          <w:lang w:val="sr-Cyrl-CS"/>
        </w:rPr>
        <w:t>19,</w:t>
      </w:r>
      <w:r w:rsidR="00B07351" w:rsidRPr="00F27A03">
        <w:rPr>
          <w:rFonts w:ascii="Calibri" w:eastAsia="Calibri" w:hAnsi="Calibri" w:cs="Times New Roman"/>
          <w:color w:val="44546A"/>
          <w:lang w:val="sr-Cyrl-CS"/>
        </w:rPr>
        <w:t>06</w:t>
      </w:r>
      <w:r w:rsidRPr="00F27A03">
        <w:rPr>
          <w:rFonts w:ascii="Calibri" w:eastAsia="Calibri" w:hAnsi="Calibri" w:cs="Times New Roman"/>
          <w:color w:val="44546A"/>
          <w:lang w:val="sr-Cyrl-CS"/>
        </w:rPr>
        <w:t xml:space="preserve"> п</w:t>
      </w:r>
      <w:r w:rsidRPr="00F27A03">
        <w:rPr>
          <w:rFonts w:ascii="Calibri" w:eastAsia="MS PGothic" w:hAnsi="Calibri" w:cs="Calibri"/>
          <w:color w:val="44546A"/>
          <w:szCs w:val="20"/>
          <w:lang w:val="sr-Cyrl-CS" w:eastAsia="ja-JP"/>
        </w:rPr>
        <w:t>.п. То је конкретна потврда да су мере добро дефинисане и да су дале одличне ефекте.</w:t>
      </w:r>
    </w:p>
    <w:p w14:paraId="6147E17A" w14:textId="2752DBCB"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 xml:space="preserve">НБС је деловала и изван оквира Стратегије, попут доношења Одлуке о рачуноводственом отпису билансне активе банке, што је употпунило регулаторне активности. И покривеност проблематичних кредита припадајућим исправкама вредности у складу са међународним рачуноводственим стандардима, која је на нивоу од </w:t>
      </w:r>
      <w:r w:rsidR="006C355E" w:rsidRPr="00F27A03">
        <w:rPr>
          <w:rFonts w:ascii="Calibri" w:eastAsia="MS PGothic" w:hAnsi="Calibri" w:cs="Calibri"/>
          <w:color w:val="44546A"/>
          <w:szCs w:val="20"/>
          <w:lang w:val="sr-Cyrl-CS" w:eastAsia="ja-JP"/>
        </w:rPr>
        <w:t>57</w:t>
      </w:r>
      <w:r w:rsidRPr="00F27A03">
        <w:rPr>
          <w:rFonts w:ascii="Calibri" w:eastAsia="MS PGothic" w:hAnsi="Calibri" w:cs="Calibri"/>
          <w:color w:val="44546A"/>
          <w:szCs w:val="20"/>
          <w:lang w:val="sr-Cyrl-CS" w:eastAsia="ja-JP"/>
        </w:rPr>
        <w:t>%, недвосмислено, уз све друге показатеље здравља финансијског система, потврђује стабилност нашег банкарског сектора.</w:t>
      </w:r>
    </w:p>
    <w:p w14:paraId="1DA1E4C8"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Стварањем стабилних услова пословања, наша економија је ушла у инвестициони циклус 2015. године, и од тада инвестиције по обиму представљају добар део раста економије. Профитабилност привреде расте у условима ниске и стабилне инфлације и релативно</w:t>
      </w:r>
      <w:r w:rsidRPr="00F27A03">
        <w:rPr>
          <w:rFonts w:ascii="Calibri" w:eastAsia="Calibri" w:hAnsi="Calibri" w:cs="Calibri"/>
          <w:color w:val="auto"/>
          <w:szCs w:val="20"/>
          <w:lang w:val="sr-Cyrl-CS" w:eastAsia="ja-JP"/>
        </w:rPr>
        <w:t xml:space="preserve"> </w:t>
      </w:r>
      <w:r w:rsidRPr="00F27A03">
        <w:rPr>
          <w:rFonts w:ascii="Calibri" w:eastAsia="MS PGothic" w:hAnsi="Calibri" w:cs="Calibri"/>
          <w:color w:val="44546A"/>
          <w:szCs w:val="20"/>
          <w:lang w:val="sr-Cyrl-CS" w:eastAsia="ja-JP"/>
        </w:rPr>
        <w:t>стабилног курса. Све су то били кључни фактори за одрживо решавање питања проблематичних кредита. То се јасно види и из чињенице да је у гранама које су и носиоци нашег раста, забележен и највећи пад проблематичних кредита – што је евидентно у прерађивачкој индустрији и грађевинарству.</w:t>
      </w:r>
    </w:p>
    <w:p w14:paraId="66D29B54"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Осигурање депозита је механизам који доприноси очувању финансијске стабилности и обезбеђује заштиту депонената. Систем осигурања депозита обезбеђује да се сваком заштићеном депоненту</w:t>
      </w:r>
      <w:r w:rsidRPr="00F27A03">
        <w:rPr>
          <w:rFonts w:ascii="Calibri" w:eastAsia="MS PGothic" w:hAnsi="Calibri" w:cs="Calibri"/>
          <w:color w:val="44546A"/>
          <w:sz w:val="12"/>
          <w:szCs w:val="12"/>
          <w:vertAlign w:val="superscript"/>
          <w:lang w:val="sr-Cyrl-CS" w:eastAsia="ja-JP"/>
        </w:rPr>
        <w:footnoteReference w:id="10"/>
      </w:r>
      <w:r w:rsidRPr="00F27A03">
        <w:rPr>
          <w:rFonts w:ascii="Calibri" w:eastAsia="MS PGothic" w:hAnsi="Calibri" w:cs="Calibri"/>
          <w:color w:val="44546A"/>
          <w:sz w:val="12"/>
          <w:szCs w:val="12"/>
          <w:lang w:val="sr-Cyrl-CS" w:eastAsia="ja-JP"/>
        </w:rPr>
        <w:t xml:space="preserve"> </w:t>
      </w:r>
      <w:r w:rsidRPr="00F27A03">
        <w:rPr>
          <w:rFonts w:ascii="Calibri" w:eastAsia="MS PGothic" w:hAnsi="Calibri" w:cs="Calibri"/>
          <w:color w:val="44546A"/>
          <w:szCs w:val="20"/>
          <w:lang w:val="sr-Cyrl-CS" w:eastAsia="ja-JP"/>
        </w:rPr>
        <w:t xml:space="preserve">исплати целокупан износ улога у свакој банци до осигураног износа од 50.000 евра у случају стечаја </w:t>
      </w:r>
      <w:r w:rsidRPr="00F27A03">
        <w:rPr>
          <w:rFonts w:ascii="Calibri" w:eastAsia="MS PGothic" w:hAnsi="Calibri" w:cs="Calibri"/>
          <w:color w:val="44546A"/>
          <w:szCs w:val="20"/>
          <w:lang w:val="sr-Cyrl-CS" w:eastAsia="ja-JP"/>
        </w:rPr>
        <w:t>или ликвидације банке. Осигурање депозита регулисано је Законом о осигурању депозита.</w:t>
      </w:r>
    </w:p>
    <w:p w14:paraId="389DDB14"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У октобру 2019. године, усвојен је Закон о изменама и допунама Закона о осигурању депозита из 2019. године, којим се настојало да се систем осигурања депозита додатно усклади са најбољом међународном праксом и стандардима, као и правним тековинама ЕУ и то у погледу: метода обрачуна премије (увођење могућности обрачуна премије на основу нивоа ризика у пословању банака), основице за обрачун премије, висине ванредне премије, заштите депонената спојених или припојених банака, циљног износа фонда за осигурање депозита и др, све са циљем доприноса финансијској стабилности кроз подстицај смањењу ризика у пословању банака, јачање поверења јавности у финансијски систем и повећање ефикасности система осигурања депозита.</w:t>
      </w:r>
    </w:p>
    <w:p w14:paraId="1AEA67E2"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Уважавајући одредбе Закона о изменама и допунама Закона о осигурању депозита, премија осигурања депозита се почев од наплате премије за први квартал 2020. године обрачунава на измењену основицу, односно на основу просечног стања укупних осигураних износа до 50.000 евра (осигурањем покривени износ депозита) у банци у претходном тромесечју, уместо на основу просечног стања укупних осигураних депозита. Овом изменом, смањене су обавезе банака по основу плаћања премије осигурања депозита у просеку за око 30%, чиме се посредно омогућила већа инвестициона активност банака.</w:t>
      </w:r>
    </w:p>
    <w:p w14:paraId="2DA005DF"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Како је законом уведена и могућност обрачуна премије на основу нивоа ризика у пословању банака, прописана је обавеза Агенцији да донесе Методологију за обрачун премије осигурања депозита на основу нивоа ризика у пословању банака у року од годину дана од дана ступања на снагу овог закона. Управни одбор Агенције усвојио је текст Методологије 15. октобра 2020. године уз претходну сагласност НБС, чиме је испуњена законска обавеза у прописаном року, а посебном одлуком Управног одбора Агенције ће се одлучити о почетку примене Методологије.</w:t>
      </w:r>
    </w:p>
    <w:p w14:paraId="6F0DFB66"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lastRenderedPageBreak/>
        <w:t>У систему осигурања депозита Република Србија је ултимативни гарант исплате осигураних депозита. У сврху обезбеђивања средстава за осигурање депозита АОД наплаћује премију осигурања депозита од банака за рачун Фонда за осигурање депозита, управља имовином фонда и исплаћује депозите до осигураног износа у случају стечаја или ликвидације банке. Додатно, средства фонда се могу користити и за финансирање поступка реструктурирања банака у обиму и под условима утврђеним законом којим се уређују банке. У случају недостајућих средстава у фонду за осигурање депозита, Република Србија обезбеђује исплату било средствима из буџета, било давањем гаранције за задуживање АОД.</w:t>
      </w:r>
    </w:p>
    <w:p w14:paraId="06726B86"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Влада је дана 24. марта 2020. године донела Уредбу о улагању за време ванредног стања девизних средстава којима управља Агенција за осигурање депозита, којом је прописано да за време ванредног стања насталог услед болести COVID-19 изазване вирусом SARS-CoV-2 Агенција може улагати више од четвртине девизних средстава Фонда у девизне дужничке хартије од вредности које издаје Република Србија. У складу с Уредбом, Агенција је у року од годину дана од дана престанка ванредног стања (до 6. маја 2021. године) износ девизних средстава Фонда уложених у девизне дужничке хартије од вредности које издаје Република Србија, ускладила на ниво законског лимита од 1/4 укупних девизних средстава Фонда.</w:t>
      </w:r>
    </w:p>
    <w:p w14:paraId="6E93A3B5"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Гаранција исплате осигураних депозита од стране државе, било директно средствима из буџета, или индиректно издавањем гаранција за задуживање АОД, извор је фискалних ризика и могућих фискалних трошкова. Међутим, захваљујући постигнутој стабилности банкарског сектора, од 2015. године није било потребе за коришћењем средстава фонда за осигурање депозита, нити државе по основу исплата осигураних износа депозита.</w:t>
      </w:r>
    </w:p>
    <w:p w14:paraId="30FC4127"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Умањење фискалних ризика по овом основу зависи од стабилности и одрживости банкарског система. Надзор над банкарским системом, обазривост у пласирању средстава и унапређење квалитета имовине банака су основни стубови стабилног банкарског система.</w:t>
      </w:r>
    </w:p>
    <w:p w14:paraId="585C4C4F"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Остварени резултати банкарског сектора Републике Србије у 2021. години приказују растућу профитабилност банака. Банкарски сектор Републике Србије је у 2021. години пословао профитабилно, са нето добитком пре опорезивања у износу од 53,9 милијарди динара, што је за 17% више од позитивног резултата оствареног у 2020. години када је нето добитак пре опорезивања износио 46,1 милијарди динара.</w:t>
      </w:r>
    </w:p>
    <w:p w14:paraId="67E8560D"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Банкарски сектор Републике Србије адекватно је капитализован како са становишта оствареног нивоа показатеља адекватности капитала тако и са становишта структуре регулаторног капитала. На крају 2020. године, просечна вредност показатеља адекватности капитала на нивоу банкарског сектора Републике Србије износила је 22,42%. И током 2021. године, очувана је висока адекватност капитала банкарског сектора (показатељ адекватности капитала износи 21,7%), што је значајно изнад прописаног регулаторног минимума од 8% и више него довољно за покриће свих ризика којима је сектор изложен, што потврђују и макропруденцијални стрес тестови које НБС редовно спроводи.</w:t>
      </w:r>
    </w:p>
    <w:p w14:paraId="573A2B61"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 xml:space="preserve">Имајући у виду ситуацију насталу проглашењем ванредног стања у Републици Србији, како би се омогућило ублажавање економских и финансијских последица насталих услед пандемије болести COVID-19 изазване вирусом SARS-CoV-2 предузете су мере подршке привреди које су имале за циљ повећање ликвидности привредних субјеката. Једна од мера јесте била и доношење Уредбе о утврђивању гарантне шеме као мера подршке привреди за ублажавање последица пандемије болести COVID-19 изазване вирусом SARS-CоV-2. Овом уредбом је конституисано утврђивање националне гарантне шеме. Повећање ликвидности привредних субјеката кроз механизам гарантовања Републике Србије за кредите које банке одобравају привредним субјектима за финансирање ликвидности и обртних средстава, а које се омогућава закључењем Уговора о гаранцији Републике Србије за кредитирање привреде с циљем ублажавања негативних последица пандемије болести COVID-19 изазване вирусом SARS-CoV-2, јесте мера која у себи сублимира изузетно важан и нужан механизам ефеката за сва </w:t>
      </w:r>
      <w:r w:rsidRPr="00F27A03">
        <w:rPr>
          <w:rFonts w:ascii="Calibri" w:eastAsia="MS PGothic" w:hAnsi="Calibri" w:cs="Calibri"/>
          <w:color w:val="44546A"/>
          <w:szCs w:val="20"/>
          <w:lang w:val="sr-Cyrl-CS" w:eastAsia="ja-JP"/>
        </w:rPr>
        <w:lastRenderedPageBreak/>
        <w:t>лица са седиштем у Републици Србији укључујући и пољопривредна газдинства, која су регистрована у АПР Републике Србије и класификована као предузетник, или микро, мало и средње привредно друштво у складу са законом којим се уређује рачуноводство, а чија је ликвидност предуслов функционисања привреде Републике Србије.</w:t>
      </w:r>
    </w:p>
    <w:p w14:paraId="6D9F0F56"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Банке могу да за реализацију кредита пласирају износ до две милијарде евра, при чему је износ од једне милијарде евра, односно износ иницијалног максималног осигураног портфолија по банкама утврђен сходно тржишном учешћу банке према извештају НБС на дан 29. фебруар 2020. године.</w:t>
      </w:r>
    </w:p>
    <w:p w14:paraId="0A1C540D"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С обзиром на чињеницу да је преко пословних банака, до краја новембра 2020. године, привреди пласирано око 1,5 милијарди евра, од укупно расположиве 2 (две) милијарде евра, а да је Уредбом било прописано да уговор о кредиту мора бити закључен најкасније до 31. децембра 2020. године, као и да уговор o кредиту мора бити пуштен у течај најкасније до 31. јануара 2021. године, јавила се потреба за продужењем рока до када уговор о кредиту мора бити закључен, односно до када уговор o кредиту мора бити пуштен у течај.</w:t>
      </w:r>
    </w:p>
    <w:p w14:paraId="7BD1294C" w14:textId="77777777" w:rsidR="00412D34" w:rsidRPr="00F27A03" w:rsidRDefault="00412D34" w:rsidP="00A42963">
      <w:pPr>
        <w:rPr>
          <w:rFonts w:ascii="Calibri" w:eastAsia="MS PGothic" w:hAnsi="Calibri" w:cs="Calibri"/>
          <w:szCs w:val="20"/>
          <w:lang w:val="sr-Cyrl-CS" w:eastAsia="ja-JP"/>
        </w:rPr>
      </w:pPr>
      <w:r w:rsidRPr="00F27A03">
        <w:rPr>
          <w:rFonts w:ascii="Calibri" w:eastAsia="MS PGothic" w:hAnsi="Calibri" w:cs="Calibri"/>
          <w:color w:val="44546A"/>
          <w:szCs w:val="20"/>
          <w:lang w:val="sr-Cyrl-CS" w:eastAsia="ja-JP"/>
        </w:rPr>
        <w:t xml:space="preserve">У складу са тим, Народној скупштини предложено је доношење Закона о утврђивању гарантне шеме као мере подршке привреди за ублажавање последица пандемије болести COVID-19 изазване вирусом SARS-CoV-2, који је донет на седници одржаној дана 17. децембра 2020. године и исти је објављен у „Службеном гласнику Републике Србије” број 153/20 од 21. децембра 2020. године. Република Србија је препознала потребу за одобравањем додатних 500 милиона евра помоћи, у циљу одржавања ликвидности чиме ће укупан износ средстава пласираних путем I гарантне шеме достићи износ од 2.5 милијарде евра. С тим у вези, донет је Закон о изменама Закона о утврђивању гарантне шеме као мера подршке привреди за ублажавање последица пандемије болести COVID-19 изазване вирусом SARS-CoV-2 („Службени гласник РС”, број 40/21), којим је, између осталог, продужен рок за пуштање кредита у течај </w:t>
      </w:r>
      <w:r w:rsidRPr="00F27A03">
        <w:rPr>
          <w:rFonts w:ascii="Calibri" w:eastAsia="MS PGothic" w:hAnsi="Calibri" w:cs="Calibri"/>
          <w:szCs w:val="20"/>
          <w:lang w:val="sr-Cyrl-CS" w:eastAsia="ja-JP"/>
        </w:rPr>
        <w:t>најкасније до 31. јула 2022. године.</w:t>
      </w:r>
    </w:p>
    <w:p w14:paraId="222A39C1" w14:textId="77777777" w:rsidR="00412D34" w:rsidRPr="00F27A03" w:rsidRDefault="00412D34" w:rsidP="00A42963">
      <w:pPr>
        <w:rPr>
          <w:rFonts w:eastAsia="Times New Roman"/>
          <w:lang w:val="sr-Cyrl-CS"/>
        </w:rPr>
      </w:pPr>
      <w:r w:rsidRPr="00F27A03">
        <w:rPr>
          <w:rFonts w:ascii="Calibri" w:eastAsia="MS PGothic" w:hAnsi="Calibri" w:cs="Calibri"/>
          <w:szCs w:val="20"/>
          <w:lang w:val="sr-Cyrl-CS" w:eastAsia="ja-JP"/>
        </w:rPr>
        <w:t xml:space="preserve">Уговор о гаранцији Републике Србије за кредитирање привреде с циљем ублажавања негативних последица пандемије болести COVID-19 изазване вирусом SARS-CoV-2 са Републиком Србијом и НБС до сада су потписале 24 банке. Република Србија је пласирала Банкама предвиђених 2,5 милијарди евра, док су Банке, до 31. марта 2022. године, пласирале клијентима око 2,3 милијарди евра. Истовремено, Република Србија је препознала потребу за додатну помоћ најугроженијим предузећима која имају пад пословних прихода већи од 20% у 2020. години, у односу на исти период у 2019. години, те је 22. априла 2021. године донет Закон о утврђивању друге гарантне шеме као мере додатне подршке привреди услед продуженог негативног утицаја пандемије болести COVID-19 изазване вирусом SARS-CoV-2 („Службени гласник РС”, број 40/21) чиме је одобрено додатних 500 милиона евра помоћи. </w:t>
      </w:r>
      <w:r w:rsidRPr="00F27A03">
        <w:rPr>
          <w:rFonts w:eastAsia="Times New Roman"/>
          <w:lang w:val="sr-Cyrl-CS"/>
        </w:rPr>
        <w:t>У децембру 2021. године донет је Закон о измени и допуни Закона о утврђивању друге гарантне шеме као мера додатне подршке привреди услед продуженог негативног утицаја пандемије болести COVID-19 изазване вирусом SARS-CоV-2</w:t>
      </w:r>
      <w:r w:rsidRPr="00F27A03">
        <w:rPr>
          <w:rFonts w:eastAsia="Times New Roman"/>
          <w:i/>
          <w:lang w:val="sr-Cyrl-CS"/>
        </w:rPr>
        <w:t xml:space="preserve"> </w:t>
      </w:r>
      <w:r w:rsidRPr="00F27A03">
        <w:rPr>
          <w:rFonts w:ascii="Calibri" w:eastAsia="MS PGothic" w:hAnsi="Calibri" w:cs="Calibri"/>
          <w:szCs w:val="20"/>
          <w:lang w:val="sr-Cyrl-CS" w:eastAsia="ja-JP"/>
        </w:rPr>
        <w:t>(„Службени гласник РС”, број 129/21)</w:t>
      </w:r>
      <w:r w:rsidRPr="00F27A03">
        <w:rPr>
          <w:rFonts w:eastAsia="Times New Roman"/>
          <w:lang w:val="sr-Cyrl-CS"/>
        </w:rPr>
        <w:t>, којим је предвиђен изузетак да кориснику кредита који спада у предузетнике, микро, мала и средња предузећа која послују у секторима путничког транспорта, угоститељства, туристичких агенција и хотелијерства у градовима, може бити одобрен кредит обезбеђен гаранцијом, у складу са овим законом, и када је укупан износ кредита који је одобрен на основу Закона о утврђивању прве гарантне шеме и кредита одобреног на основу овог закона већи од прописаних прагова и ако су испуњени услови да је корисник превремено и у целости измирио обавезе по кредиту обезбеђеном гаранцијом у складу са Законом о утврђивању прве гарантне шеме, као и да је максимални износ кредита обезбеђеног гаранцијом износ који је једнак мањем од два износа утврђених овим законом.</w:t>
      </w:r>
    </w:p>
    <w:p w14:paraId="48F65F61" w14:textId="77777777" w:rsidR="00412D34" w:rsidRPr="00F27A03" w:rsidRDefault="00412D34" w:rsidP="00A42963">
      <w:pPr>
        <w:rPr>
          <w:rFonts w:eastAsia="Times New Roman"/>
          <w:bCs/>
          <w:lang w:val="sr-Cyrl-CS"/>
        </w:rPr>
      </w:pPr>
      <w:r w:rsidRPr="00F27A03">
        <w:rPr>
          <w:rFonts w:eastAsia="Times New Roman"/>
          <w:bCs/>
          <w:lang w:val="sr-Cyrl-CS"/>
        </w:rPr>
        <w:t xml:space="preserve">Услед смањеног одобравања кредита у оквиру друге гарантне шеме, као и евидентно продуженог негативног утицаја пандемије болести COVID-19 изазване вирусом SARS-CoV-2, те да је, услед ратних дешавања у Украјини, дошло до промене околности које се нису могле предвидети </w:t>
      </w:r>
      <w:r w:rsidRPr="00F27A03">
        <w:rPr>
          <w:rFonts w:eastAsia="Times New Roman"/>
          <w:bCs/>
          <w:lang w:val="sr-Cyrl-CS"/>
        </w:rPr>
        <w:lastRenderedPageBreak/>
        <w:t xml:space="preserve">избијањем пандемије болести COVID-19 изазване вирусом SARS-CoV-2, а које паралелно негативно утичу на привредну активност, </w:t>
      </w:r>
      <w:r w:rsidRPr="00F27A03">
        <w:rPr>
          <w:rFonts w:eastAsia="Times New Roman"/>
          <w:lang w:val="sr-Cyrl-CS"/>
        </w:rPr>
        <w:t xml:space="preserve">предвиђена је могућност рефинансирања кредита из прве гаранте шеме кредитима из друге гарантне шеме, привредним субјектима код којих је дошло до смањења или обуставе пословних активности везаних за извоз и увоз роба и услуга на тржишта Украјине, Русије или Белорусије. </w:t>
      </w:r>
      <w:r w:rsidRPr="00F27A03">
        <w:rPr>
          <w:rFonts w:eastAsia="Times New Roman"/>
          <w:bCs/>
          <w:lang w:val="sr-Cyrl-CS"/>
        </w:rPr>
        <w:t>Рок за коришћење средстава у оквиру друге гарантне шеме истекао је 30. јуна 2022. године, а евентуално продужавање прописаних законских рокова условљено је покретањем поступка измене Закона о утврђивању друге гарантне шеме као мера додатне подршке привреди услед продуженог негативног утицаја пандемије болести COVID-19.</w:t>
      </w:r>
    </w:p>
    <w:p w14:paraId="2EB5E3E8"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szCs w:val="20"/>
          <w:lang w:val="sr-Cyrl-CS" w:eastAsia="ja-JP"/>
        </w:rPr>
        <w:t xml:space="preserve">У складу са изнетим, пројекције фискалних бруто одлива буџета Републике Србије по основу предметне националне Гарантне шеме износе 89 милиона </w:t>
      </w:r>
      <w:r w:rsidRPr="00F27A03">
        <w:rPr>
          <w:rFonts w:ascii="Calibri" w:eastAsia="MS PGothic" w:hAnsi="Calibri" w:cs="Calibri"/>
          <w:color w:val="44546A"/>
          <w:szCs w:val="20"/>
          <w:lang w:val="sr-Cyrl-CS" w:eastAsia="ja-JP"/>
        </w:rPr>
        <w:t>евра за 2022. годину, 60 милиона евра за 2023. годину, 5 милион евра за 2024. годину и 3 милиона евра за 2025. годину. Такође, извршена је и пројекција прилива по основу наплате проблематичних потраживања по основу предметне Гарантне шеме Републике Србије која износи 14 милиона евра за 2022. годину, 14 милиона евра за 2023. годину, 9 милиона евра за 2024. годину и 5 милиона евра за 2025. годину. Пројекција фискалног бруто одлива буџета Републике Србије по основу друге Гарантне шеме износи 1,8 милиона евра за 2024. годину, и 1,4 милиона евра за 2025. годину, а пројекција прилива износи 10,9 хиљада евра за 2024. годину и 103 хиљаде евра за 2025. годину. По основу обе гарантне шеме реализовано је 2,4 милијарде евра кредита, док је на име активираних гаранција исплаћено 39 милиона евра.</w:t>
      </w:r>
    </w:p>
    <w:p w14:paraId="12F502B1"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Што се тиче других финансијских институција, Република Србија има директан удео у капиталу Компаније Дунав осигурање а.д.о. Београд (у даљем тексту: Дунав осигурање) и Дунав Ре а.д.о. Београд (у даљем тексту. Дунав Ре, као и у Националној корпорацији за осигурање стамбених кредита (у даљем тексту: Корпорација).</w:t>
      </w:r>
    </w:p>
    <w:p w14:paraId="5C74F7BF"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 xml:space="preserve">Успешним и ефикасним спровођењем одредаба закона који је усвојен крајем априла 2021. године </w:t>
      </w:r>
      <w:r w:rsidRPr="00F27A03">
        <w:rPr>
          <w:rFonts w:ascii="Calibri" w:eastAsia="MS PGothic" w:hAnsi="Calibri" w:cs="Calibri"/>
          <w:color w:val="44546A"/>
          <w:szCs w:val="20"/>
          <w:lang w:val="sr-Cyrl-CS" w:eastAsia="ja-JP"/>
        </w:rPr>
        <w:t>– Закона о измени и допунама Закона о осигурању („Службени гласник РС”, број 44/21), а који је био основ за промену власничких права на друштвеном капиталу у друштвима за осигурање, директно учешће Републике Србије у капиталу Дунав је порасло на 76,70%. Такође, како је и у укупном капиталу Дунав Ре постојало мање учешће друштвеног капитала, након промене власничких права у складу са наведеним законом Република Србија је стекла директно учешће од око 4,76% у Дунав Ре.</w:t>
      </w:r>
    </w:p>
    <w:p w14:paraId="0E51441D"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Иначе, до краја 2014. године учешће друштвеног капитала у укупном капиталу Дунав осигурања је износило 94,61%, што је имало неповољан утицај на пословање Дунав осигурања (пре свега кроз компликовану управљачку структуру), на шта су указивали и ревизорски извештаји за 2012. и 2013. годину у којима је изражено мишљење ревизора са резервом. Имајући у виду значај Дунав осигурања на тржишту осигурања (највећа осигуравајућа компанија), Република Србија је у децембру 2014. године извршила докапитализацију Дунав осигурања са 4,8 милијарди динара, чиме је учешће друштвеног капитала сведено на 51,86%. Последњих година пословање Дунав осигурања је стабилно, уз константно побољшање већине показатеља. Приметан је тренд раста добити из године у годину (и редовна исплата дивиденди). Дунав осигурање није имало негативних последица у пословању (гледајући кроз најзначајније показатеље) због болести COVID-19 изазване вирусом SARS-CoV-2. Као највећи изазов у предстојећем периоду истиче се усклађивање (организационо, управљачки, капитално итд.) са новим регулаторним стандардом Солвентност 2 које очекује све учеснике на тржишту осигурања у Републици Србији.</w:t>
      </w:r>
    </w:p>
    <w:p w14:paraId="5EAECB53"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 xml:space="preserve">Законом о Националној корпорацији за осигурање стамбених кредита („Службени гласник РС”, број 55/04) основана је Корпорација, као правно лице специјализовано за осигурање потраживања по основу стамбених кредита које одобравају банке и друге финансијске организације, која су обезбеђена хипотеком, као и за обављање других послова у вези са тим осигурањем. Оснивач Корпорације је Република Србија која има директно учешће од 100% у капиталу Корпорације </w:t>
      </w:r>
      <w:r w:rsidRPr="00F27A03">
        <w:rPr>
          <w:rFonts w:ascii="Calibri" w:eastAsia="MS PGothic" w:hAnsi="Calibri" w:cs="Calibri"/>
          <w:color w:val="44546A"/>
          <w:szCs w:val="20"/>
          <w:lang w:val="sr-Cyrl-CS" w:eastAsia="ja-JP"/>
        </w:rPr>
        <w:lastRenderedPageBreak/>
        <w:t>(законом је остављена могућност да се Корпорација организује као акционарско друштво, с тим да вредност државног капитала у укупном капиталу Корпорације не може да буде мање од 51%). Законом је, такође, утврђено да укупан номинални износ обавеза Корпорације које произилазе из обављања делатности Корпорације може бити највише до 16 пута већи од износа капитала Корпорације, али и да Влада може да, на образложен захтев Корпорације, да сагласност за повећање обима обавеза Корпорације које произилазе из обављања делатности Корпорације и за преко 16 пута од капитала Корпорације, за одређени временски период.</w:t>
      </w:r>
    </w:p>
    <w:p w14:paraId="72BB113B"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Од самог оснивања, Корпорација је имала значајан утицај у креирању тржишних услова и стандарда кредитирања, што је било нужно да би се хипотекарно тржиште уопште развило. То је довело до смањења ризика и обезбеђења интереса, како кредитора, тако и зајмотражилаца, кроз снижавање каматних стопа, што је довело да раста тражње за стамбеним непокретностима (са позитивним ефектом на грађевинску индустрију) и тиме допринело повећању броја станова купљених на кредит.</w:t>
      </w:r>
    </w:p>
    <w:p w14:paraId="0D90FBB9"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У протеклом периоду, није вршена докапитализација Корпорације из средстава буџета Републике Србије, већ је повећање капитала вршено из остварене добити Корпорације. Међутим, како повећање капитала није пратило раст осигураних кредита, Влада је, у складу са законом, сваке године давала сагласност за повећање обима обавеза Корпорације које произилазе из обављања делатности Корпорације и за преко 16 пута од капитала Корпорације. Ово повећање се из године у годину смањује (нпр. за 2015. годину обим обавеза Корпорације које произилазе из обављања делатности Корпорације је могао да буде до 30 пута већи од капитала Корпорације, док за 2022. годину може да износи до 20 пута више од капитала Корпорације).</w:t>
      </w:r>
    </w:p>
    <w:p w14:paraId="0E15A248" w14:textId="77777777" w:rsidR="00412D34" w:rsidRPr="00F27A03" w:rsidRDefault="00412D34" w:rsidP="00A42963">
      <w:pPr>
        <w:rPr>
          <w:rFonts w:ascii="Calibri" w:eastAsia="MS PGothic" w:hAnsi="Calibri" w:cs="Calibri"/>
          <w:color w:val="44546A"/>
          <w:szCs w:val="20"/>
          <w:lang w:val="sr-Cyrl-CS" w:eastAsia="ja-JP"/>
        </w:rPr>
      </w:pPr>
      <w:r w:rsidRPr="00F27A03">
        <w:rPr>
          <w:rFonts w:ascii="Calibri" w:eastAsia="MS PGothic" w:hAnsi="Calibri" w:cs="Calibri"/>
          <w:color w:val="44546A"/>
          <w:szCs w:val="20"/>
          <w:lang w:val="sr-Cyrl-CS" w:eastAsia="ja-JP"/>
        </w:rPr>
        <w:t xml:space="preserve">Као потенцијални ризик се појављује велики број тужби клијената против банака у вези са плаћањем премије осигурања Корпорацији. Иако Корпорација није тужена страна, нити Република Србија гарантује за обавезе Корпорације (Корпорација гарантује за своје обавезе до висине </w:t>
      </w:r>
      <w:r w:rsidRPr="00F27A03">
        <w:rPr>
          <w:rFonts w:ascii="Calibri" w:eastAsia="MS PGothic" w:hAnsi="Calibri" w:cs="Calibri"/>
          <w:color w:val="44546A"/>
          <w:szCs w:val="20"/>
          <w:lang w:val="sr-Cyrl-CS" w:eastAsia="ja-JP"/>
        </w:rPr>
        <w:t>свог капитала), потенцијално негативан исход ових спорова може да утиче на евентуалну потребу одређених издатака из буџета. Такође, услед промењених тржишних услова дошло је до спорова са одређеним бројем банака (отказ уговора са Корпорацијом од стране банака), што доводи до значајног смањења осигураних кредита, а тиме и до смањења прихода Корпорације. Имајући у виду дугорочност потенцијалних обавеза које Корпорација преузима (осигурање потраживања по основу стамбених кредита који се одобравају на период и од 30 година), наставак тренда значајног смањења осигураних кредита исто може да утиче на евентуалну потребу одређених издатака из буџета у будућности.</w:t>
      </w:r>
    </w:p>
    <w:p w14:paraId="6EFF4EDD" w14:textId="77777777" w:rsidR="00412D34" w:rsidRPr="00F27A03" w:rsidRDefault="00412D34" w:rsidP="00A42963">
      <w:pPr>
        <w:rPr>
          <w:rFonts w:cstheme="minorHAnsi"/>
          <w:b/>
          <w:bCs/>
          <w:color w:val="2F5496" w:themeColor="accent1" w:themeShade="BF"/>
          <w:sz w:val="22"/>
          <w:szCs w:val="20"/>
          <w:lang w:val="sr-Cyrl-CS"/>
        </w:rPr>
      </w:pPr>
      <w:r w:rsidRPr="00F27A03">
        <w:rPr>
          <w:rFonts w:cstheme="minorHAnsi"/>
          <w:b/>
          <w:bCs/>
          <w:color w:val="2F5496" w:themeColor="accent1" w:themeShade="BF"/>
          <w:sz w:val="22"/>
          <w:szCs w:val="20"/>
          <w:lang w:val="sr-Cyrl-CS"/>
        </w:rPr>
        <w:t>Судски поступци</w:t>
      </w:r>
    </w:p>
    <w:p w14:paraId="538162A7" w14:textId="36ED624C"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Услед бројних судских поступака где је терет плаћања на Републици Србији као туженој страни, идентификовани су различити фискални ризици који постоје услед неизвесности у вези са процесима (парнични, ванпарнични, извршни и други поступци), посебно имајући у виду и тзв. „масовне</w:t>
      </w:r>
      <w:r w:rsidR="008C08C6" w:rsidRPr="00F27A03">
        <w:rPr>
          <w:rFonts w:eastAsia="MS PGothic" w:cstheme="minorHAnsi"/>
          <w:szCs w:val="20"/>
          <w:lang w:val="sr-Cyrl-CS" w:eastAsia="ja-JP"/>
        </w:rPr>
        <w:t>”</w:t>
      </w:r>
      <w:r w:rsidRPr="00F27A03">
        <w:rPr>
          <w:rFonts w:eastAsia="MS PGothic" w:cstheme="minorHAnsi"/>
          <w:szCs w:val="20"/>
          <w:lang w:val="sr-Cyrl-CS" w:eastAsia="ja-JP"/>
        </w:rPr>
        <w:t xml:space="preserve"> поступке. Начин поступања учесника у судском поступку (судова, тужилаца, тужених и сл.) такође утиче на дужину поступка и вредност досуђених износа по основу правоснажних пресуда. Наведено представља посебан изазов за праћење последично насталих фискалних ризика.</w:t>
      </w:r>
    </w:p>
    <w:p w14:paraId="25B28FF0" w14:textId="2CCA1DB1"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Република Србија је по основу новчаних казни и пенала по решењу судова (економска класификација 483) и накнаде штете за повреде или штету нанету од стране државних органа (економска класификација 485) у периоду 2009</w:t>
      </w:r>
      <w:r w:rsidR="00EF3B25" w:rsidRPr="00F27A03">
        <w:rPr>
          <w:rFonts w:eastAsia="MS PGothic" w:cstheme="minorHAnsi"/>
          <w:szCs w:val="20"/>
          <w:lang w:val="sr-Cyrl-CS" w:eastAsia="ja-JP"/>
        </w:rPr>
        <w:t>–</w:t>
      </w:r>
      <w:r w:rsidRPr="00F27A03">
        <w:rPr>
          <w:rFonts w:eastAsia="MS PGothic" w:cstheme="minorHAnsi"/>
          <w:szCs w:val="20"/>
          <w:lang w:val="sr-Cyrl-CS" w:eastAsia="ja-JP"/>
        </w:rPr>
        <w:t>2020 из републичког буџета укупно платила 121 млрд динара, док је у 2021. години из буџета Републике Србије по том о</w:t>
      </w:r>
      <w:r w:rsidR="00EF3B25" w:rsidRPr="00F27A03">
        <w:rPr>
          <w:rFonts w:eastAsia="MS PGothic" w:cstheme="minorHAnsi"/>
          <w:szCs w:val="20"/>
          <w:lang w:val="sr-Cyrl-CS" w:eastAsia="ja-JP"/>
        </w:rPr>
        <w:t>снову плаћено 16,6 млрд динара.</w:t>
      </w:r>
    </w:p>
    <w:p w14:paraId="4E48B9E9" w14:textId="5985EE74"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 xml:space="preserve">У циљу смањења трошкова у тзв. „буџетским” поступцима, у току 2019. године дошло је до измена Закона о извршењу и обезбеђењу („Службени гласник РС”, бр. 106/15, 106/15 </w:t>
      </w:r>
      <w:r w:rsidR="00D22C99" w:rsidRPr="00F27A03">
        <w:rPr>
          <w:rFonts w:eastAsia="MS PGothic" w:cstheme="minorHAnsi"/>
          <w:szCs w:val="20"/>
          <w:lang w:val="sr-Cyrl-CS" w:eastAsia="ja-JP"/>
        </w:rPr>
        <w:t>–</w:t>
      </w:r>
      <w:r w:rsidRPr="00F27A03">
        <w:rPr>
          <w:rFonts w:eastAsia="MS PGothic" w:cstheme="minorHAnsi"/>
          <w:szCs w:val="20"/>
          <w:lang w:val="sr-Cyrl-CS" w:eastAsia="ja-JP"/>
        </w:rPr>
        <w:t xml:space="preserve"> аутентично тумачење, 113/17 </w:t>
      </w:r>
      <w:r w:rsidR="00D22C99" w:rsidRPr="00F27A03">
        <w:rPr>
          <w:rFonts w:eastAsia="MS PGothic" w:cstheme="minorHAnsi"/>
          <w:szCs w:val="20"/>
          <w:lang w:val="sr-Cyrl-CS" w:eastAsia="ja-JP"/>
        </w:rPr>
        <w:t>–</w:t>
      </w:r>
      <w:r w:rsidRPr="00F27A03">
        <w:rPr>
          <w:rFonts w:eastAsia="MS PGothic" w:cstheme="minorHAnsi"/>
          <w:szCs w:val="20"/>
          <w:lang w:val="sr-Cyrl-CS" w:eastAsia="ja-JP"/>
        </w:rPr>
        <w:t xml:space="preserve"> аутентично тумачење и 54/19), који је ступио на снагу 1. јануара 2020. године. Чланом 300. наведеног закона, између осталог, прописано је да је </w:t>
      </w:r>
      <w:r w:rsidRPr="00F27A03">
        <w:rPr>
          <w:rFonts w:eastAsia="MS PGothic" w:cstheme="minorHAnsi"/>
          <w:szCs w:val="20"/>
          <w:lang w:val="sr-Cyrl-CS" w:eastAsia="ja-JP"/>
        </w:rPr>
        <w:lastRenderedPageBreak/>
        <w:t>извршни поверилац дужан да о намери подношења предлога за извршење писменим путем обавести министарство надлежно за финансије најкасније 30 дана пре подношења предлога за извршење, уколико се као извршни дужник појављује Република Србија, аутономна покрајна, јединица локалне самоуправе, директни или индиректни корисник буџетских средстава.</w:t>
      </w:r>
    </w:p>
    <w:p w14:paraId="571103AC"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Наведеном мером подстиче се добровољно плаћање обавезе од стране надлежног органа, како би се избегли трошкови принудне наплате. Министарству финансија, Управи за трезор, у 2020. години поднето је 51.757 обавештења о намери подношења предлога за извршење, а у 2021. години поднето је 54.270 ових обавештења. Закључно са трећим кварталом 2022. године поднето је 38.019 предметних обавештења. Дужници са највећим процентом учешћа у броју достављених обавештења закључно са 31.03.2022. године били су: Привредни суд у Крагујевцу са 10,05%, Министарство одбране са 7,28%, Привредни суд у Лесковцу са 6,69%, Прекршајни суд у Београду са 4,98%, МУП са 4,53%, други привредни судови (Зајечар 3,21%, Београд 2,97%, Краљево 2,30% и други), буџети градова (Лесковац са 2,88%, Нови Сад са 2,28%, Београд са 1,48%...), буџет РС са 2,17% и други.</w:t>
      </w:r>
    </w:p>
    <w:p w14:paraId="42C6CA21"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Када је принудна наплата у питању, највеће учешће у овим извршењима на дан 30.09.2022. године имају: Министарство одбране 23,3%, Министарство правде 8,5% и Министарство унутрашњих послова 7,9%.</w:t>
      </w:r>
    </w:p>
    <w:p w14:paraId="5F453C5D" w14:textId="04389B3F"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У 2022. години и даље се ради на унапређењу система за праћење фискалних ризика по основу судских поступака, са циљем прецизније идентификације и оцене ризика, као и сузбијања њиховог узрока, упркос изазовима који се јављају у вези са прикупљањем тачних и свеобухватних под</w:t>
      </w:r>
      <w:r w:rsidR="00EF3B25" w:rsidRPr="00F27A03">
        <w:rPr>
          <w:rFonts w:eastAsia="MS PGothic" w:cstheme="minorHAnsi"/>
          <w:szCs w:val="20"/>
          <w:lang w:val="sr-Cyrl-CS" w:eastAsia="ja-JP"/>
        </w:rPr>
        <w:t>атака из постојећих евиденција.</w:t>
      </w:r>
    </w:p>
    <w:p w14:paraId="7E299698" w14:textId="77777777" w:rsidR="00412D34" w:rsidRPr="00F27A03" w:rsidRDefault="00412D34" w:rsidP="00A42963">
      <w:pPr>
        <w:rPr>
          <w:rFonts w:cstheme="minorHAnsi"/>
          <w:b/>
          <w:bCs/>
          <w:color w:val="2F5496" w:themeColor="accent1" w:themeShade="BF"/>
          <w:sz w:val="22"/>
          <w:szCs w:val="20"/>
          <w:lang w:val="sr-Cyrl-CS"/>
        </w:rPr>
      </w:pPr>
      <w:r w:rsidRPr="00F27A03">
        <w:rPr>
          <w:rFonts w:cstheme="minorHAnsi"/>
          <w:b/>
          <w:bCs/>
          <w:color w:val="2F5496" w:themeColor="accent1" w:themeShade="BF"/>
          <w:sz w:val="22"/>
          <w:szCs w:val="20"/>
          <w:lang w:val="sr-Cyrl-CS"/>
        </w:rPr>
        <w:t>Остали фискални ризици</w:t>
      </w:r>
    </w:p>
    <w:p w14:paraId="1C834B1E"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Поред наведених фискалних ризика постоје и друге околности које, уколико се реализују, могу довести до фискалних трошкова. Њихово идентификовање помаже сагледавању могућих утицаја на фискалну позицију земље у одређеном периоду.</w:t>
      </w:r>
    </w:p>
    <w:p w14:paraId="73E58826" w14:textId="77777777" w:rsidR="00412D34" w:rsidRPr="00F27A03" w:rsidRDefault="00412D34" w:rsidP="00A42963">
      <w:pPr>
        <w:rPr>
          <w:lang w:val="sr-Cyrl-CS" w:eastAsia="ja-JP"/>
        </w:rPr>
      </w:pPr>
      <w:r w:rsidRPr="00F27A03">
        <w:rPr>
          <w:lang w:val="sr-Cyrl-CS" w:eastAsia="ja-JP"/>
        </w:rPr>
        <w:t>Пословање јединица локалне самоуправе може имати фискалне импликације на буџет опште државе. Посебним фискалним правилима за локалне самоуправе постављено је тзв. „златно правило” да је дефицит могућ само за реализацију капиталних инвестиција. Постоје и правила о висини задужености јединица локалне самоуправе, чија би доследна примена одржала стабилност јавних финансија на локалном нивоу. У пракси се дешавало да нереалним планирањем како прихода, тако и расхода дође до кумулације доспелих, а неизмирених обавеза које угрожавају функционисање појединих градова и општина.</w:t>
      </w:r>
    </w:p>
    <w:p w14:paraId="47A51A3B"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Како би се избегла реализација фискалних ризика по овом основу, Министарство финансија унапређује систем контроле јавних финансија локалних самоуправа у циљу поштовања постављених правила – од планирања до реализације буџета на локалном нивоу.</w:t>
      </w:r>
    </w:p>
    <w:p w14:paraId="23EC302A"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На основу Методологије за праћење фискалних ризика по буџет Републике Србије који произлазе из вршења надлежности јединица локалне самоуправе, Министарство финансија је израдило радни модел за анализу, оцену и праћење фискалних ризика, чија се примена очекује у 2023. години.</w:t>
      </w:r>
    </w:p>
    <w:p w14:paraId="37006FDC" w14:textId="6A899BBB"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 xml:space="preserve">Стално присутан ризик од елементарних непогода и природних катастрофа налаже улагања у програме превенције, како би се умањили потенцијални фискални трошкови за отклањање штета насталих по том основу. Превенција обухвата укључивање ширег спектра финансијских инструмената, као што су резервни фондови, потенцијалне кредитне линије, а нарочито је важно осигурање. Република Србија се у 2014. години суочила са катастрофалним последицама поплава, чија је укупна штета (са губицима) процењена на више од 1,7 млрд евра. Влада Републике Србије је у децембру 2014. године усвојила Национални програм за управљање ризицима од елементарних непогода, који се спроводи у сарадњи са Светском банком, Уједињеним нацијама и Европском унијом. У складу са наведеним програмом, новембра 2018. године донет је Закон о смањењу ризика од катастрофа и управљању ванредним ситуацијама („Службени гласник РС”, број 87/18). Половином </w:t>
      </w:r>
      <w:r w:rsidRPr="00F27A03">
        <w:rPr>
          <w:rFonts w:eastAsia="MS PGothic" w:cstheme="minorHAnsi"/>
          <w:szCs w:val="20"/>
          <w:lang w:val="sr-Cyrl-CS" w:eastAsia="ja-JP"/>
        </w:rPr>
        <w:lastRenderedPageBreak/>
        <w:t>априла 2022. године одржан је први састанак Посебне радне групе за израду Предлога стратегије смањења ризика од катастрофа и управљања ванредним ситуацијама у Републ</w:t>
      </w:r>
      <w:r w:rsidR="00EF3B25" w:rsidRPr="00F27A03">
        <w:rPr>
          <w:rFonts w:eastAsia="MS PGothic" w:cstheme="minorHAnsi"/>
          <w:szCs w:val="20"/>
          <w:lang w:val="sr-Cyrl-CS" w:eastAsia="ja-JP"/>
        </w:rPr>
        <w:t>ици Србији за период 2022–2027.</w:t>
      </w:r>
    </w:p>
    <w:p w14:paraId="26D01208"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 xml:space="preserve">Република Србија је у 2019. години платила из буџета 4,22 млрд динара на име накнаде штете за повреде или штете настале услед елементарних непогода или других природних узрока. У току 2020. године за ову намену (економска класификација 484) издвојено је 2,8 милијарди динара, док је за 2021. годину износ потрошен на ове намене износио 520,3 милиона динара (без интервенцијских средстава за ублажавање </w:t>
      </w:r>
      <w:r w:rsidRPr="00F27A03">
        <w:rPr>
          <w:rFonts w:eastAsia="MS PGothic" w:cstheme="minorHAnsi"/>
          <w:szCs w:val="20"/>
          <w:lang w:val="sr-Cyrl-CS" w:eastAsia="ja-JP"/>
        </w:rPr>
        <w:t>последица болести COVID-19). Издвојена средства за ову намену у периоду од 01.01. до 30.09.2022. године износе 94,2 милиона динара (без интервенцијских средства за ублажавање последица болести COVID-19).</w:t>
      </w:r>
    </w:p>
    <w:p w14:paraId="17507ED9" w14:textId="77777777" w:rsidR="00412D34" w:rsidRPr="00F27A03" w:rsidRDefault="00412D34" w:rsidP="00A42963">
      <w:pPr>
        <w:rPr>
          <w:rFonts w:eastAsia="MS PGothic" w:cstheme="minorHAnsi"/>
          <w:szCs w:val="20"/>
          <w:lang w:val="sr-Cyrl-CS" w:eastAsia="ja-JP"/>
        </w:rPr>
      </w:pPr>
      <w:r w:rsidRPr="00F27A03">
        <w:rPr>
          <w:rFonts w:eastAsia="MS PGothic" w:cstheme="minorHAnsi"/>
          <w:szCs w:val="20"/>
          <w:lang w:val="sr-Cyrl-CS" w:eastAsia="ja-JP"/>
        </w:rPr>
        <w:t>Закључком Владе 05 Број: 40-9575/2021 од 21. октобра 2021. године усвојена је Јединствена методологија за праћење фискалних ризика у Републици Србији која, између осталог, обухвата и Методологију за праћење фискалних ризика који се јављају као последица елементарних непогода. Тренутно се очекују обуке за овладавање моделом за праћење фискалних ризика од елементарних непогода.</w:t>
      </w:r>
    </w:p>
    <w:p w14:paraId="061EF851" w14:textId="77777777" w:rsidR="00412D34" w:rsidRPr="00F27A03" w:rsidRDefault="00412D34" w:rsidP="00A42963">
      <w:pPr>
        <w:rPr>
          <w:rFonts w:eastAsia="MS PGothic" w:cstheme="minorHAnsi"/>
          <w:szCs w:val="20"/>
          <w:lang w:val="sr-Cyrl-CS" w:eastAsia="ja-JP"/>
        </w:rPr>
        <w:sectPr w:rsidR="00412D34" w:rsidRPr="00F27A03" w:rsidSect="00A42963">
          <w:type w:val="continuous"/>
          <w:pgSz w:w="12240" w:h="15840"/>
          <w:pgMar w:top="1440" w:right="1440" w:bottom="1440" w:left="1440" w:header="720" w:footer="720" w:gutter="0"/>
          <w:cols w:num="2" w:space="720"/>
          <w:docGrid w:linePitch="360"/>
          <w15:footnoteColumns w:val="1"/>
        </w:sectPr>
      </w:pPr>
    </w:p>
    <w:p w14:paraId="19881CA4" w14:textId="77777777" w:rsidR="00CA3A20" w:rsidRPr="00F27A03" w:rsidRDefault="00CA3A20" w:rsidP="00AD117B">
      <w:pPr>
        <w:jc w:val="left"/>
        <w:rPr>
          <w:lang w:val="sr-Cyrl-CS"/>
        </w:rPr>
      </w:pPr>
    </w:p>
    <w:p w14:paraId="003D5F22" w14:textId="58DF18F2" w:rsidR="00AD117B" w:rsidRPr="00F27A03" w:rsidRDefault="00AD117B" w:rsidP="00AD117B">
      <w:pPr>
        <w:rPr>
          <w:lang w:val="sr-Cyrl-CS"/>
        </w:rPr>
      </w:pPr>
      <w:r w:rsidRPr="00F27A03">
        <w:rPr>
          <w:lang w:val="sr-Cyrl-CS"/>
        </w:rPr>
        <w:br w:type="page"/>
      </w:r>
    </w:p>
    <w:p w14:paraId="2A76DB4D" w14:textId="166D6A62" w:rsidR="00ED5386" w:rsidRPr="00F27A03" w:rsidRDefault="00AF48C6" w:rsidP="00E124CF">
      <w:pPr>
        <w:pStyle w:val="Heading2"/>
        <w:spacing w:before="480" w:after="240"/>
        <w:jc w:val="center"/>
        <w:rPr>
          <w:rFonts w:asciiTheme="minorHAnsi" w:eastAsia="MS PGothic" w:hAnsiTheme="minorHAnsi" w:cstheme="minorHAnsi"/>
          <w:b/>
          <w:sz w:val="24"/>
          <w:lang w:val="sr-Cyrl-CS" w:eastAsia="ja-JP"/>
        </w:rPr>
        <w:sectPr w:rsidR="00ED5386" w:rsidRPr="00F27A03" w:rsidSect="00ED5386">
          <w:type w:val="continuous"/>
          <w:pgSz w:w="12240" w:h="15840" w:code="1"/>
          <w:pgMar w:top="1440" w:right="1440" w:bottom="1440" w:left="1440" w:header="720" w:footer="720" w:gutter="0"/>
          <w:cols w:space="720"/>
          <w:docGrid w:linePitch="360"/>
        </w:sectPr>
      </w:pPr>
      <w:bookmarkStart w:id="33" w:name="_Toc119326597"/>
      <w:r w:rsidRPr="00F27A03">
        <w:rPr>
          <w:rFonts w:asciiTheme="minorHAnsi" w:eastAsia="Times New Roman" w:hAnsiTheme="minorHAnsi" w:cstheme="minorHAnsi"/>
          <w:b/>
          <w:sz w:val="24"/>
          <w:lang w:val="sr-Cyrl-CS"/>
        </w:rPr>
        <w:lastRenderedPageBreak/>
        <w:t>5</w:t>
      </w:r>
      <w:r w:rsidR="00ED5386" w:rsidRPr="00F27A03">
        <w:rPr>
          <w:rFonts w:asciiTheme="minorHAnsi" w:eastAsia="Times New Roman" w:hAnsiTheme="minorHAnsi" w:cstheme="minorHAnsi"/>
          <w:b/>
          <w:sz w:val="24"/>
          <w:lang w:val="sr-Cyrl-CS"/>
        </w:rPr>
        <w:t xml:space="preserve">. </w:t>
      </w:r>
      <w:r w:rsidR="00ED5386" w:rsidRPr="00F27A03">
        <w:rPr>
          <w:rFonts w:asciiTheme="minorHAnsi" w:eastAsia="MS PGothic" w:hAnsiTheme="minorHAnsi" w:cstheme="minorHAnsi"/>
          <w:b/>
          <w:sz w:val="24"/>
          <w:lang w:val="sr-Cyrl-CS" w:eastAsia="ja-JP"/>
        </w:rPr>
        <w:t>Циклично прилагођени и структурни фискални биланс</w:t>
      </w:r>
      <w:bookmarkEnd w:id="27"/>
      <w:bookmarkEnd w:id="28"/>
      <w:bookmarkEnd w:id="29"/>
      <w:bookmarkEnd w:id="30"/>
      <w:bookmarkEnd w:id="31"/>
      <w:bookmarkEnd w:id="33"/>
    </w:p>
    <w:p w14:paraId="2CC7F43D" w14:textId="77777777" w:rsidR="00ED5386" w:rsidRPr="00F27A03" w:rsidRDefault="00ED5386" w:rsidP="00E124CF">
      <w:pPr>
        <w:spacing w:after="120"/>
        <w:rPr>
          <w:rFonts w:ascii="Calibri" w:eastAsia="MS PGothic" w:hAnsi="Calibri" w:cs="Calibri"/>
          <w:szCs w:val="20"/>
          <w:lang w:val="sr-Cyrl-CS" w:eastAsia="ja-JP"/>
        </w:rPr>
      </w:pPr>
      <w:bookmarkStart w:id="34" w:name="_Toc499650054"/>
      <w:bookmarkStart w:id="35" w:name="_Toc530635110"/>
      <w:bookmarkStart w:id="36" w:name="_Toc11155996"/>
      <w:r w:rsidRPr="00F27A03">
        <w:rPr>
          <w:rFonts w:eastAsia="MS PGothic" w:cstheme="minorHAnsi"/>
          <w:szCs w:val="20"/>
          <w:lang w:val="sr-Cyrl-CS" w:eastAsia="ja-JP"/>
        </w:rPr>
        <w:t>Циклично прилагођени фискални биланс је фискални биланс из кога је искључен изоловани утицај привредног циклуса, а</w:t>
      </w:r>
      <w:r w:rsidRPr="00F27A03">
        <w:rPr>
          <w:rFonts w:ascii="Calibri" w:eastAsia="MS PGothic" w:hAnsi="Calibri" w:cs="Calibri"/>
          <w:szCs w:val="20"/>
          <w:lang w:val="sr-Cyrl-CS" w:eastAsia="ja-JP"/>
        </w:rPr>
        <w:t xml:space="preserve"> идентитет од кога се полази је следећи</w:t>
      </w:r>
      <w:r w:rsidRPr="00F27A03">
        <w:rPr>
          <w:rFonts w:ascii="Calibri" w:eastAsia="MS PGothic" w:hAnsi="Calibri" w:cs="Calibri"/>
          <w:szCs w:val="20"/>
          <w:vertAlign w:val="superscript"/>
          <w:lang w:val="sr-Cyrl-CS" w:eastAsia="ja-JP"/>
        </w:rPr>
        <w:footnoteReference w:id="11"/>
      </w:r>
      <w:r w:rsidRPr="00F27A03">
        <w:rPr>
          <w:rFonts w:ascii="Calibri" w:eastAsia="MS PGothic" w:hAnsi="Calibri" w:cs="Calibri"/>
          <w:szCs w:val="20"/>
          <w:lang w:val="sr-Cyrl-CS" w:eastAsia="ja-JP"/>
        </w:rPr>
        <w:t>:</w:t>
      </w:r>
    </w:p>
    <w:p w14:paraId="0DF184C8" w14:textId="77777777" w:rsidR="00ED5386" w:rsidRPr="00F27A03" w:rsidRDefault="00ED5386" w:rsidP="00E124CF">
      <w:pPr>
        <w:spacing w:after="120"/>
        <w:jc w:val="center"/>
        <w:rPr>
          <w:rFonts w:ascii="Calibri" w:eastAsia="MS PGothic" w:hAnsi="Calibri" w:cs="Calibri"/>
          <w:szCs w:val="20"/>
          <w:lang w:val="sr-Cyrl-CS" w:eastAsia="ja-JP"/>
        </w:rPr>
      </w:pPr>
      <w:r w:rsidRPr="00F27A03">
        <w:rPr>
          <w:rFonts w:ascii="Calibri" w:eastAsia="MS PGothic" w:hAnsi="Calibri" w:cs="Calibri"/>
          <w:szCs w:val="20"/>
          <w:lang w:val="sr-Cyrl-CS" w:eastAsia="ja-JP"/>
        </w:rPr>
        <w:t>FB = CB + CAB</w:t>
      </w:r>
    </w:p>
    <w:p w14:paraId="057F9E1D" w14:textId="77777777" w:rsidR="00ED5386" w:rsidRPr="00F27A03" w:rsidRDefault="00ED5386" w:rsidP="00E124CF">
      <w:pPr>
        <w:spacing w:after="120"/>
        <w:rPr>
          <w:rFonts w:eastAsia="MS PGothic" w:cstheme="minorHAnsi"/>
          <w:szCs w:val="20"/>
          <w:lang w:val="sr-Cyrl-CS" w:eastAsia="ja-JP"/>
        </w:rPr>
      </w:pPr>
      <w:r w:rsidRPr="00F27A03">
        <w:rPr>
          <w:rFonts w:ascii="Calibri" w:eastAsia="MS PGothic" w:hAnsi="Calibri" w:cs="Calibri"/>
          <w:szCs w:val="20"/>
          <w:lang w:val="sr-Cyrl-CS" w:eastAsia="ja-JP"/>
        </w:rPr>
        <w:t>Део фискалног биланса (FB)</w:t>
      </w:r>
      <w:r w:rsidRPr="00F27A03">
        <w:rPr>
          <w:rFonts w:ascii="Calibri" w:eastAsia="MS PGothic" w:hAnsi="Calibri" w:cs="Calibri"/>
          <w:i/>
          <w:szCs w:val="20"/>
          <w:lang w:val="sr-Cyrl-CS" w:eastAsia="ja-JP"/>
        </w:rPr>
        <w:t xml:space="preserve"> </w:t>
      </w:r>
      <w:r w:rsidRPr="00F27A03">
        <w:rPr>
          <w:rFonts w:ascii="Calibri" w:eastAsia="MS PGothic" w:hAnsi="Calibri" w:cs="Calibri"/>
          <w:szCs w:val="20"/>
          <w:lang w:val="sr-Cyrl-CS" w:eastAsia="ja-JP"/>
        </w:rPr>
        <w:t>који није под утицајем цикличних флуктуација назива се циклично прилагођени фискални биланс (CAB</w:t>
      </w:r>
      <w:r w:rsidRPr="00F27A03">
        <w:rPr>
          <w:rFonts w:ascii="Calibri" w:eastAsia="MS PGothic" w:hAnsi="Calibri" w:cs="Calibri"/>
          <w:i/>
          <w:szCs w:val="20"/>
          <w:lang w:val="sr-Cyrl-CS" w:eastAsia="ja-JP"/>
        </w:rPr>
        <w:t xml:space="preserve">), </w:t>
      </w:r>
      <w:r w:rsidRPr="00F27A03">
        <w:rPr>
          <w:rFonts w:ascii="Calibri" w:eastAsia="MS PGothic" w:hAnsi="Calibri" w:cs="Calibri"/>
          <w:szCs w:val="20"/>
          <w:lang w:val="sr-Cyrl-CS" w:eastAsia="ja-JP"/>
        </w:rPr>
        <w:t xml:space="preserve">а циљ ове процедуре је изоловање цикличне компоненте </w:t>
      </w:r>
      <w:r w:rsidRPr="00F27A03">
        <w:rPr>
          <w:rFonts w:eastAsia="MS PGothic" w:cstheme="minorHAnsi"/>
          <w:szCs w:val="20"/>
          <w:lang w:val="sr-Cyrl-CS" w:eastAsia="ja-JP"/>
        </w:rPr>
        <w:t>фискалног биланса (CB) која је резултат дејства производног јаза. Стварни фискални биланс биће једнак циклично прилагођеном у случају да је производни јаз једнак нули, тј. ако је стопа раста реалног БДП једнака потенцијалној. Структурни фискални биланс се даље рачунски добија елиминацијом једнократних ефеката на приходној и расходној страни, и тако показује структурну (трајну) фискалну позицију.</w:t>
      </w:r>
    </w:p>
    <w:p w14:paraId="0BE16D85" w14:textId="77777777" w:rsidR="00ED5386" w:rsidRPr="00F27A03" w:rsidRDefault="00ED5386" w:rsidP="00E124CF">
      <w:pPr>
        <w:spacing w:after="120"/>
        <w:rPr>
          <w:rFonts w:eastAsia="MS PGothic" w:cstheme="minorHAnsi"/>
          <w:szCs w:val="20"/>
          <w:lang w:val="sr-Cyrl-CS" w:eastAsia="ja-JP"/>
        </w:rPr>
      </w:pPr>
      <w:r w:rsidRPr="00F27A03">
        <w:rPr>
          <w:rFonts w:ascii="Calibri" w:eastAsia="MS PGothic" w:hAnsi="Calibri" w:cs="Calibri"/>
          <w:szCs w:val="20"/>
          <w:lang w:val="sr-Cyrl-CS" w:eastAsia="ja-JP"/>
        </w:rPr>
        <w:t>Ф</w:t>
      </w:r>
      <w:r w:rsidRPr="00F27A03">
        <w:rPr>
          <w:rFonts w:eastAsia="MS PGothic" w:cstheme="minorHAnsi"/>
          <w:szCs w:val="20"/>
          <w:lang w:val="sr-Cyrl-CS" w:eastAsia="ja-JP"/>
        </w:rPr>
        <w:t>искални простор креиран у претходном периоду и значајно структурно унапређена фискална позиција земље, омогућили су релаксацију фискалне политике у кризним временима.</w:t>
      </w:r>
    </w:p>
    <w:p w14:paraId="62333685" w14:textId="12220B07" w:rsidR="00ED5386" w:rsidRPr="00F27A03" w:rsidRDefault="00ED5386" w:rsidP="00ED5386">
      <w:pPr>
        <w:spacing w:after="120"/>
        <w:rPr>
          <w:rFonts w:ascii="Calibri" w:eastAsia="Calibri" w:hAnsi="Calibri" w:cs="Calibri"/>
          <w:szCs w:val="20"/>
          <w:lang w:val="sr-Cyrl-CS"/>
        </w:rPr>
      </w:pPr>
      <w:r w:rsidRPr="00F27A03">
        <w:rPr>
          <w:rFonts w:ascii="Calibri" w:eastAsia="MS PGothic" w:hAnsi="Calibri" w:cs="Calibri"/>
          <w:spacing w:val="-2"/>
          <w:szCs w:val="20"/>
          <w:lang w:val="sr-Cyrl-CS" w:eastAsia="ja-JP"/>
        </w:rPr>
        <w:t xml:space="preserve">Избијањем пандемије COVID-19 почетком 2020. године и увођењем мера за здравствену заштиту становништва, глобална економија је ушла у кризу без преседана. </w:t>
      </w:r>
      <w:r w:rsidRPr="00F27A03">
        <w:rPr>
          <w:rFonts w:ascii="Calibri" w:eastAsia="Calibri" w:hAnsi="Calibri" w:cs="Calibri"/>
          <w:szCs w:val="20"/>
          <w:lang w:val="sr-Cyrl-CS"/>
        </w:rPr>
        <w:t>Утицај на фискалну позицију је био видљив кроз смањене прихода буџета, који су последица успоравања економске активности услед пандемије, и драматично већих расхода условљених већим трошковима здравствене заштите и доношењем обимног пакета помоћи привреди и грађанима. У таквој ситуацији, уобичајена анализа привредног циклуса, квантификација фискалних мултипликатора и оцена еластичности фискалног баланса у односу на производни јаз не даје сасвим коректне оцене фискалне позиције земље.</w:t>
      </w:r>
      <w:r w:rsidRPr="00F27A03">
        <w:rPr>
          <w:rFonts w:ascii="Calibri" w:eastAsia="Calibri" w:hAnsi="Calibri" w:cs="Calibri"/>
          <w:spacing w:val="-2"/>
          <w:szCs w:val="20"/>
          <w:lang w:val="sr-Cyrl-CS"/>
        </w:rPr>
        <w:t xml:space="preserve"> </w:t>
      </w:r>
      <w:r w:rsidRPr="00F27A03">
        <w:rPr>
          <w:rFonts w:ascii="Calibri" w:eastAsia="Calibri" w:hAnsi="Calibri" w:cs="Calibri"/>
          <w:szCs w:val="20"/>
          <w:lang w:val="sr-Cyrl-CS"/>
        </w:rPr>
        <w:t>Одговор фискалне политике на сложену економску ситуацију узроковану пандемијом коронавируса у 2020. и 2021. години, представљен је опсежним пакетом мера помоћи привреди. У случају одсуства мера подршке привреди и становништву пад БДП у 2020. години и снажан опоравак током 2021. године би изостао, а већа контракција привреде би утицала на знатно спорији опоравак у наре</w:t>
      </w:r>
      <w:r w:rsidR="004E7EE8" w:rsidRPr="00F27A03">
        <w:rPr>
          <w:rFonts w:ascii="Calibri" w:eastAsia="Calibri" w:hAnsi="Calibri" w:cs="Calibri"/>
          <w:szCs w:val="20"/>
          <w:lang w:val="sr-Cyrl-CS"/>
        </w:rPr>
        <w:t>дном средњорочном периоду.</w:t>
      </w:r>
    </w:p>
    <w:p w14:paraId="61BF76CA" w14:textId="77777777" w:rsidR="00ED5386" w:rsidRPr="00F27A03" w:rsidRDefault="00ED5386" w:rsidP="00E124CF">
      <w:pPr>
        <w:spacing w:after="120"/>
        <w:rPr>
          <w:rFonts w:ascii="Calibri" w:eastAsia="Calibri" w:hAnsi="Calibri" w:cs="Calibri"/>
          <w:szCs w:val="20"/>
          <w:lang w:val="sr-Cyrl-CS"/>
        </w:rPr>
        <w:sectPr w:rsidR="00ED5386" w:rsidRPr="00F27A03" w:rsidSect="00ED5386">
          <w:type w:val="continuous"/>
          <w:pgSz w:w="12240" w:h="15840" w:code="1"/>
          <w:pgMar w:top="1417" w:right="1417" w:bottom="1417" w:left="1417" w:header="720" w:footer="720" w:gutter="0"/>
          <w:cols w:num="2" w:space="720"/>
          <w15:footnoteColumns w:val="1"/>
        </w:sectPr>
      </w:pPr>
    </w:p>
    <w:p w14:paraId="093D017F" w14:textId="77777777" w:rsidR="00ED5386" w:rsidRPr="00F27A03" w:rsidRDefault="00ED5386" w:rsidP="00E124CF">
      <w:pPr>
        <w:jc w:val="left"/>
        <w:rPr>
          <w:rFonts w:ascii="Calibri" w:eastAsia="MS PGothic" w:hAnsi="Calibri" w:cs="Calibri"/>
          <w:b/>
          <w:bCs/>
          <w:lang w:val="sr-Cyrl-CS"/>
        </w:rPr>
      </w:pPr>
    </w:p>
    <w:p w14:paraId="046F1E03" w14:textId="77777777" w:rsidR="00ED5386" w:rsidRPr="00F27A03" w:rsidRDefault="00ED5386">
      <w:pPr>
        <w:jc w:val="left"/>
        <w:rPr>
          <w:rFonts w:ascii="Calibri" w:eastAsia="MS PGothic" w:hAnsi="Calibri" w:cs="Calibri"/>
          <w:b/>
          <w:bCs/>
          <w:lang w:val="sr-Cyrl-CS"/>
        </w:rPr>
      </w:pPr>
      <w:r w:rsidRPr="00F27A03">
        <w:rPr>
          <w:rFonts w:ascii="Calibri" w:eastAsia="MS PGothic" w:hAnsi="Calibri" w:cs="Calibri"/>
          <w:b/>
          <w:bCs/>
          <w:color w:val="FF0000"/>
          <w:lang w:val="sr-Cyrl-CS"/>
        </w:rPr>
        <w:br w:type="page"/>
      </w:r>
    </w:p>
    <w:p w14:paraId="35DF0765" w14:textId="4A4D2869" w:rsidR="00ED5386" w:rsidRPr="00F27A03" w:rsidRDefault="00ED5386" w:rsidP="00E124CF">
      <w:pPr>
        <w:jc w:val="center"/>
        <w:rPr>
          <w:rFonts w:ascii="Calibri" w:eastAsia="MS PGothic" w:hAnsi="Calibri" w:cs="Calibri"/>
          <w:b/>
          <w:bCs/>
          <w:color w:val="002060"/>
          <w:lang w:val="sr-Cyrl-CS"/>
        </w:rPr>
      </w:pPr>
      <w:r w:rsidRPr="00F27A03">
        <w:rPr>
          <w:rFonts w:ascii="Calibri" w:eastAsia="MS PGothic" w:hAnsi="Calibri" w:cs="Calibri"/>
          <w:b/>
          <w:bCs/>
          <w:color w:val="002060"/>
          <w:lang w:val="sr-Cyrl-CS"/>
        </w:rPr>
        <w:lastRenderedPageBreak/>
        <w:t xml:space="preserve">Табела </w:t>
      </w:r>
      <w:r w:rsidR="00EB3946" w:rsidRPr="00F27A03">
        <w:rPr>
          <w:rFonts w:ascii="Calibri" w:eastAsia="MS PGothic" w:hAnsi="Calibri" w:cs="Calibri"/>
          <w:b/>
          <w:bCs/>
          <w:color w:val="002060"/>
          <w:lang w:val="sr-Cyrl-CS"/>
        </w:rPr>
        <w:t>19</w:t>
      </w:r>
      <w:r w:rsidRPr="00F27A03">
        <w:rPr>
          <w:rFonts w:ascii="Calibri" w:eastAsia="MS PGothic" w:hAnsi="Calibri" w:cs="Calibri"/>
          <w:b/>
          <w:bCs/>
          <w:color w:val="002060"/>
          <w:lang w:val="sr-Cyrl-CS"/>
        </w:rPr>
        <w:t xml:space="preserve">. Фискални биланс и компоненте за обрачун циклично прилагођеног биланса </w:t>
      </w:r>
      <w:r w:rsidRPr="00F27A03">
        <w:rPr>
          <w:rFonts w:ascii="Calibri" w:eastAsia="MS PGothic" w:hAnsi="Calibri" w:cs="Calibri"/>
          <w:b/>
          <w:bCs/>
          <w:color w:val="002060"/>
          <w:lang w:val="sr-Cyrl-CS"/>
        </w:rPr>
        <w:br w:type="textWrapping" w:clear="all"/>
        <w:t>у периоду 2005–2025. године, % БДП*</w:t>
      </w:r>
    </w:p>
    <w:tbl>
      <w:tblPr>
        <w:tblStyle w:val="LightShading-Accent337"/>
        <w:tblpPr w:leftFromText="180" w:rightFromText="180" w:vertAnchor="text" w:horzAnchor="margin" w:tblpXSpec="center" w:tblpY="28"/>
        <w:tblW w:w="4914" w:type="pct"/>
        <w:tblLook w:val="04A0" w:firstRow="1" w:lastRow="0" w:firstColumn="1" w:lastColumn="0" w:noHBand="0" w:noVBand="1"/>
      </w:tblPr>
      <w:tblGrid>
        <w:gridCol w:w="684"/>
        <w:gridCol w:w="1061"/>
        <w:gridCol w:w="1055"/>
        <w:gridCol w:w="1058"/>
        <w:gridCol w:w="1106"/>
        <w:gridCol w:w="1106"/>
        <w:gridCol w:w="1058"/>
        <w:gridCol w:w="1058"/>
        <w:gridCol w:w="1058"/>
      </w:tblGrid>
      <w:tr w:rsidR="00ED5386" w:rsidRPr="00F27A03" w14:paraId="2ED24623" w14:textId="77777777" w:rsidTr="00ED5386">
        <w:trPr>
          <w:cnfStyle w:val="100000000000" w:firstRow="1" w:lastRow="0" w:firstColumn="0" w:lastColumn="0" w:oddVBand="0" w:evenVBand="0" w:oddHBand="0" w:evenHBand="0" w:firstRowFirstColumn="0" w:firstRowLastColumn="0" w:lastRowFirstColumn="0" w:lastRowLastColumn="0"/>
          <w:trHeight w:val="731"/>
        </w:trPr>
        <w:tc>
          <w:tcPr>
            <w:cnfStyle w:val="001000000000" w:firstRow="0" w:lastRow="0" w:firstColumn="1" w:lastColumn="0" w:oddVBand="0" w:evenVBand="0" w:oddHBand="0" w:evenHBand="0" w:firstRowFirstColumn="0" w:firstRowLastColumn="0" w:lastRowFirstColumn="0" w:lastRowLastColumn="0"/>
            <w:tcW w:w="376" w:type="pct"/>
            <w:tcBorders>
              <w:top w:val="single" w:sz="4" w:space="0" w:color="002060"/>
              <w:bottom w:val="single" w:sz="4" w:space="0" w:color="002060"/>
            </w:tcBorders>
            <w:noWrap/>
            <w:hideMark/>
          </w:tcPr>
          <w:p w14:paraId="482B9145" w14:textId="77777777" w:rsidR="00ED5386" w:rsidRPr="00F27A03" w:rsidRDefault="00ED5386" w:rsidP="00E124CF">
            <w:pPr>
              <w:spacing w:line="256" w:lineRule="auto"/>
              <w:rPr>
                <w:rFonts w:ascii="Calibri" w:eastAsia="MS PGothic" w:hAnsi="Calibri" w:cs="Calibri"/>
                <w:color w:val="002060"/>
                <w:sz w:val="18"/>
                <w:szCs w:val="18"/>
                <w:lang w:val="sr-Cyrl-CS" w:eastAsia="ja-JP"/>
              </w:rPr>
            </w:pPr>
          </w:p>
        </w:tc>
        <w:tc>
          <w:tcPr>
            <w:tcW w:w="578" w:type="pct"/>
            <w:tcBorders>
              <w:top w:val="single" w:sz="4" w:space="0" w:color="002060"/>
              <w:bottom w:val="single" w:sz="4" w:space="0" w:color="002060"/>
            </w:tcBorders>
          </w:tcPr>
          <w:p w14:paraId="4A70ED44" w14:textId="77777777" w:rsidR="00ED5386" w:rsidRPr="00F27A03" w:rsidRDefault="00ED5386"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Производни јаз</w:t>
            </w:r>
          </w:p>
        </w:tc>
        <w:tc>
          <w:tcPr>
            <w:tcW w:w="578" w:type="pct"/>
            <w:tcBorders>
              <w:top w:val="single" w:sz="4" w:space="0" w:color="002060"/>
              <w:bottom w:val="single" w:sz="4" w:space="0" w:color="002060"/>
            </w:tcBorders>
            <w:hideMark/>
          </w:tcPr>
          <w:p w14:paraId="694B2470" w14:textId="77777777" w:rsidR="00ED5386" w:rsidRPr="00F27A03" w:rsidRDefault="00ED5386"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 xml:space="preserve">Фискални </w:t>
            </w:r>
            <w:r w:rsidRPr="00F27A03">
              <w:rPr>
                <w:rFonts w:ascii="Calibri" w:hAnsi="Calibri" w:cs="Calibri"/>
                <w:b w:val="0"/>
                <w:color w:val="002060"/>
                <w:sz w:val="16"/>
                <w:szCs w:val="16"/>
                <w:lang w:val="sr-Cyrl-CS"/>
              </w:rPr>
              <w:br/>
              <w:t>биланс</w:t>
            </w:r>
          </w:p>
        </w:tc>
        <w:tc>
          <w:tcPr>
            <w:tcW w:w="578" w:type="pct"/>
            <w:tcBorders>
              <w:top w:val="single" w:sz="4" w:space="0" w:color="002060"/>
              <w:bottom w:val="single" w:sz="4" w:space="0" w:color="002060"/>
            </w:tcBorders>
            <w:hideMark/>
          </w:tcPr>
          <w:p w14:paraId="02C1DB9F" w14:textId="77777777" w:rsidR="00ED5386" w:rsidRPr="00F27A03" w:rsidRDefault="00ED5386"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Примарни фискални биланс</w:t>
            </w:r>
          </w:p>
        </w:tc>
        <w:tc>
          <w:tcPr>
            <w:tcW w:w="578" w:type="pct"/>
            <w:tcBorders>
              <w:top w:val="single" w:sz="4" w:space="0" w:color="002060"/>
              <w:bottom w:val="single" w:sz="4" w:space="0" w:color="002060"/>
            </w:tcBorders>
            <w:hideMark/>
          </w:tcPr>
          <w:p w14:paraId="62130AB2" w14:textId="77777777" w:rsidR="00ED5386" w:rsidRPr="00F27A03" w:rsidRDefault="00ED5386"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 xml:space="preserve">Циклично </w:t>
            </w:r>
            <w:r w:rsidRPr="00F27A03">
              <w:rPr>
                <w:rFonts w:ascii="Calibri" w:hAnsi="Calibri" w:cs="Calibri"/>
                <w:b w:val="0"/>
                <w:color w:val="002060"/>
                <w:sz w:val="16"/>
                <w:szCs w:val="16"/>
                <w:lang w:val="sr-Cyrl-CS"/>
              </w:rPr>
              <w:br/>
              <w:t>прилагођени фискални биланс</w:t>
            </w:r>
          </w:p>
        </w:tc>
        <w:tc>
          <w:tcPr>
            <w:tcW w:w="578" w:type="pct"/>
            <w:tcBorders>
              <w:top w:val="single" w:sz="4" w:space="0" w:color="002060"/>
              <w:bottom w:val="single" w:sz="4" w:space="0" w:color="002060"/>
            </w:tcBorders>
            <w:hideMark/>
          </w:tcPr>
          <w:p w14:paraId="0F8E47C1" w14:textId="77777777" w:rsidR="00ED5386" w:rsidRPr="00F27A03" w:rsidRDefault="00ED5386"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 xml:space="preserve">Циклично </w:t>
            </w:r>
            <w:r w:rsidRPr="00F27A03">
              <w:rPr>
                <w:rFonts w:ascii="Calibri" w:hAnsi="Calibri" w:cs="Calibri"/>
                <w:b w:val="0"/>
                <w:color w:val="002060"/>
                <w:sz w:val="16"/>
                <w:szCs w:val="16"/>
                <w:lang w:val="sr-Cyrl-CS"/>
              </w:rPr>
              <w:br/>
              <w:t>прилагођени примарни фискални биланс</w:t>
            </w:r>
          </w:p>
        </w:tc>
        <w:tc>
          <w:tcPr>
            <w:tcW w:w="578" w:type="pct"/>
            <w:tcBorders>
              <w:top w:val="single" w:sz="4" w:space="0" w:color="002060"/>
              <w:bottom w:val="single" w:sz="4" w:space="0" w:color="002060"/>
            </w:tcBorders>
          </w:tcPr>
          <w:p w14:paraId="60636F9C" w14:textId="77777777" w:rsidR="00ED5386" w:rsidRPr="00F27A03" w:rsidRDefault="00ED5386"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Структурни фискални биланс</w:t>
            </w:r>
          </w:p>
        </w:tc>
        <w:tc>
          <w:tcPr>
            <w:tcW w:w="578" w:type="pct"/>
            <w:tcBorders>
              <w:top w:val="single" w:sz="4" w:space="0" w:color="002060"/>
              <w:bottom w:val="single" w:sz="4" w:space="0" w:color="002060"/>
            </w:tcBorders>
            <w:hideMark/>
          </w:tcPr>
          <w:p w14:paraId="61BD8BDC" w14:textId="77777777" w:rsidR="00ED5386" w:rsidRPr="00F27A03" w:rsidRDefault="00ED5386"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Структурни примарни фискални биланс**</w:t>
            </w:r>
          </w:p>
        </w:tc>
        <w:tc>
          <w:tcPr>
            <w:tcW w:w="578" w:type="pct"/>
            <w:tcBorders>
              <w:top w:val="single" w:sz="4" w:space="0" w:color="002060"/>
              <w:bottom w:val="single" w:sz="4" w:space="0" w:color="002060"/>
            </w:tcBorders>
            <w:hideMark/>
          </w:tcPr>
          <w:p w14:paraId="3FAB6F1B" w14:textId="77777777" w:rsidR="00ED5386" w:rsidRPr="00F27A03" w:rsidRDefault="00ED5386"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Фискални импулс</w:t>
            </w:r>
          </w:p>
        </w:tc>
      </w:tr>
      <w:tr w:rsidR="00ED5386" w:rsidRPr="00F27A03" w14:paraId="794CAE06"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single" w:sz="4" w:space="0" w:color="002060"/>
              <w:bottom w:val="nil"/>
            </w:tcBorders>
            <w:shd w:val="clear" w:color="auto" w:fill="FFFFFF" w:themeFill="background1"/>
            <w:noWrap/>
            <w:hideMark/>
          </w:tcPr>
          <w:p w14:paraId="53D972B2"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2005</w:t>
            </w:r>
          </w:p>
        </w:tc>
        <w:tc>
          <w:tcPr>
            <w:tcW w:w="578" w:type="pct"/>
            <w:tcBorders>
              <w:top w:val="single" w:sz="4" w:space="0" w:color="002060"/>
              <w:bottom w:val="nil"/>
            </w:tcBorders>
            <w:shd w:val="clear" w:color="auto" w:fill="FFFFFF" w:themeFill="background1"/>
          </w:tcPr>
          <w:p w14:paraId="58120987"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0,0</w:t>
            </w:r>
          </w:p>
        </w:tc>
        <w:tc>
          <w:tcPr>
            <w:tcW w:w="578" w:type="pct"/>
            <w:tcBorders>
              <w:top w:val="single" w:sz="4" w:space="0" w:color="002060"/>
              <w:bottom w:val="nil"/>
            </w:tcBorders>
            <w:shd w:val="clear" w:color="auto" w:fill="FFFFFF" w:themeFill="background1"/>
            <w:hideMark/>
          </w:tcPr>
          <w:p w14:paraId="47046B57"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1,1</w:t>
            </w:r>
          </w:p>
        </w:tc>
        <w:tc>
          <w:tcPr>
            <w:tcW w:w="578" w:type="pct"/>
            <w:tcBorders>
              <w:top w:val="single" w:sz="4" w:space="0" w:color="002060"/>
              <w:bottom w:val="nil"/>
            </w:tcBorders>
            <w:shd w:val="clear" w:color="auto" w:fill="FFFFFF" w:themeFill="background1"/>
            <w:hideMark/>
          </w:tcPr>
          <w:p w14:paraId="0F96C6A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2,0</w:t>
            </w:r>
          </w:p>
        </w:tc>
        <w:tc>
          <w:tcPr>
            <w:tcW w:w="578" w:type="pct"/>
            <w:tcBorders>
              <w:top w:val="single" w:sz="4" w:space="0" w:color="002060"/>
              <w:bottom w:val="nil"/>
            </w:tcBorders>
            <w:shd w:val="clear" w:color="auto" w:fill="FFFFFF" w:themeFill="background1"/>
            <w:noWrap/>
            <w:hideMark/>
          </w:tcPr>
          <w:p w14:paraId="264F59D8"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1,1</w:t>
            </w:r>
          </w:p>
        </w:tc>
        <w:tc>
          <w:tcPr>
            <w:tcW w:w="578" w:type="pct"/>
            <w:tcBorders>
              <w:top w:val="single" w:sz="4" w:space="0" w:color="002060"/>
              <w:bottom w:val="nil"/>
            </w:tcBorders>
            <w:shd w:val="clear" w:color="auto" w:fill="FFFFFF" w:themeFill="background1"/>
            <w:noWrap/>
            <w:hideMark/>
          </w:tcPr>
          <w:p w14:paraId="4D368C42"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2,0</w:t>
            </w:r>
          </w:p>
        </w:tc>
        <w:tc>
          <w:tcPr>
            <w:tcW w:w="578" w:type="pct"/>
            <w:tcBorders>
              <w:top w:val="single" w:sz="4" w:space="0" w:color="002060"/>
              <w:bottom w:val="nil"/>
            </w:tcBorders>
            <w:shd w:val="clear" w:color="auto" w:fill="FFFFFF" w:themeFill="background1"/>
          </w:tcPr>
          <w:p w14:paraId="40AFA32F"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1,3</w:t>
            </w:r>
          </w:p>
        </w:tc>
        <w:tc>
          <w:tcPr>
            <w:tcW w:w="578" w:type="pct"/>
            <w:tcBorders>
              <w:top w:val="single" w:sz="4" w:space="0" w:color="002060"/>
              <w:bottom w:val="nil"/>
            </w:tcBorders>
            <w:shd w:val="clear" w:color="auto" w:fill="FFFFFF" w:themeFill="background1"/>
            <w:noWrap/>
            <w:hideMark/>
          </w:tcPr>
          <w:p w14:paraId="2D14086F"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2,2</w:t>
            </w:r>
          </w:p>
        </w:tc>
        <w:tc>
          <w:tcPr>
            <w:tcW w:w="578" w:type="pct"/>
            <w:tcBorders>
              <w:top w:val="single" w:sz="4" w:space="0" w:color="002060"/>
              <w:bottom w:val="nil"/>
            </w:tcBorders>
            <w:shd w:val="clear" w:color="auto" w:fill="FFFFFF" w:themeFill="background1"/>
            <w:noWrap/>
            <w:hideMark/>
          </w:tcPr>
          <w:p w14:paraId="7494534D"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p>
        </w:tc>
      </w:tr>
      <w:tr w:rsidR="00ED5386" w:rsidRPr="00F27A03" w14:paraId="18161584"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left w:val="nil"/>
              <w:bottom w:val="nil"/>
              <w:right w:val="nil"/>
            </w:tcBorders>
            <w:shd w:val="clear" w:color="auto" w:fill="FFFFFF" w:themeFill="background1"/>
            <w:noWrap/>
            <w:hideMark/>
          </w:tcPr>
          <w:p w14:paraId="0DBD2288"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2006</w:t>
            </w:r>
          </w:p>
        </w:tc>
        <w:tc>
          <w:tcPr>
            <w:tcW w:w="578" w:type="pct"/>
            <w:tcBorders>
              <w:top w:val="nil"/>
              <w:left w:val="nil"/>
              <w:bottom w:val="nil"/>
              <w:right w:val="nil"/>
            </w:tcBorders>
            <w:shd w:val="clear" w:color="auto" w:fill="FFFFFF" w:themeFill="background1"/>
          </w:tcPr>
          <w:p w14:paraId="2BE262BF"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-2,7</w:t>
            </w:r>
          </w:p>
        </w:tc>
        <w:tc>
          <w:tcPr>
            <w:tcW w:w="578" w:type="pct"/>
            <w:tcBorders>
              <w:top w:val="nil"/>
              <w:left w:val="nil"/>
              <w:bottom w:val="nil"/>
              <w:right w:val="nil"/>
            </w:tcBorders>
            <w:shd w:val="clear" w:color="auto" w:fill="FFFFFF" w:themeFill="background1"/>
            <w:hideMark/>
          </w:tcPr>
          <w:p w14:paraId="26F2FAB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-1,4</w:t>
            </w:r>
          </w:p>
        </w:tc>
        <w:tc>
          <w:tcPr>
            <w:tcW w:w="578" w:type="pct"/>
            <w:tcBorders>
              <w:top w:val="nil"/>
              <w:left w:val="nil"/>
              <w:bottom w:val="nil"/>
              <w:right w:val="nil"/>
            </w:tcBorders>
            <w:shd w:val="clear" w:color="auto" w:fill="FFFFFF" w:themeFill="background1"/>
            <w:hideMark/>
          </w:tcPr>
          <w:p w14:paraId="52897408"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-0,1</w:t>
            </w:r>
          </w:p>
        </w:tc>
        <w:tc>
          <w:tcPr>
            <w:tcW w:w="578" w:type="pct"/>
            <w:tcBorders>
              <w:top w:val="nil"/>
              <w:left w:val="nil"/>
              <w:bottom w:val="nil"/>
              <w:right w:val="nil"/>
            </w:tcBorders>
            <w:shd w:val="clear" w:color="auto" w:fill="FFFFFF" w:themeFill="background1"/>
            <w:noWrap/>
            <w:hideMark/>
          </w:tcPr>
          <w:p w14:paraId="7E35352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-0,5</w:t>
            </w:r>
          </w:p>
        </w:tc>
        <w:tc>
          <w:tcPr>
            <w:tcW w:w="578" w:type="pct"/>
            <w:tcBorders>
              <w:top w:val="nil"/>
              <w:left w:val="nil"/>
              <w:bottom w:val="nil"/>
              <w:right w:val="nil"/>
            </w:tcBorders>
            <w:shd w:val="clear" w:color="auto" w:fill="FFFFFF" w:themeFill="background1"/>
            <w:noWrap/>
            <w:hideMark/>
          </w:tcPr>
          <w:p w14:paraId="5A45796D"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0,8</w:t>
            </w:r>
          </w:p>
        </w:tc>
        <w:tc>
          <w:tcPr>
            <w:tcW w:w="578" w:type="pct"/>
            <w:tcBorders>
              <w:top w:val="nil"/>
              <w:left w:val="nil"/>
              <w:bottom w:val="nil"/>
              <w:right w:val="nil"/>
            </w:tcBorders>
            <w:shd w:val="clear" w:color="auto" w:fill="FFFFFF" w:themeFill="background1"/>
          </w:tcPr>
          <w:p w14:paraId="36503D77"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0,2</w:t>
            </w:r>
          </w:p>
        </w:tc>
        <w:tc>
          <w:tcPr>
            <w:tcW w:w="578" w:type="pct"/>
            <w:tcBorders>
              <w:top w:val="nil"/>
              <w:left w:val="nil"/>
              <w:bottom w:val="nil"/>
              <w:right w:val="nil"/>
            </w:tcBorders>
            <w:shd w:val="clear" w:color="auto" w:fill="FFFFFF" w:themeFill="background1"/>
            <w:noWrap/>
            <w:hideMark/>
          </w:tcPr>
          <w:p w14:paraId="3F52C32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1,5</w:t>
            </w:r>
          </w:p>
        </w:tc>
        <w:tc>
          <w:tcPr>
            <w:tcW w:w="578" w:type="pct"/>
            <w:tcBorders>
              <w:top w:val="nil"/>
              <w:left w:val="nil"/>
              <w:bottom w:val="nil"/>
              <w:right w:val="nil"/>
            </w:tcBorders>
            <w:shd w:val="clear" w:color="auto" w:fill="FFFFFF" w:themeFill="background1"/>
            <w:noWrap/>
            <w:hideMark/>
          </w:tcPr>
          <w:p w14:paraId="6516004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1,2</w:t>
            </w:r>
          </w:p>
        </w:tc>
      </w:tr>
      <w:tr w:rsidR="00ED5386" w:rsidRPr="00F27A03" w14:paraId="6D7657BB"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hideMark/>
          </w:tcPr>
          <w:p w14:paraId="22441B62"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2007</w:t>
            </w:r>
          </w:p>
        </w:tc>
        <w:tc>
          <w:tcPr>
            <w:tcW w:w="578" w:type="pct"/>
            <w:tcBorders>
              <w:top w:val="nil"/>
              <w:bottom w:val="nil"/>
            </w:tcBorders>
            <w:shd w:val="clear" w:color="auto" w:fill="FFFFFF" w:themeFill="background1"/>
          </w:tcPr>
          <w:p w14:paraId="29DB3B72"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0,8</w:t>
            </w:r>
          </w:p>
        </w:tc>
        <w:tc>
          <w:tcPr>
            <w:tcW w:w="578" w:type="pct"/>
            <w:tcBorders>
              <w:top w:val="nil"/>
              <w:bottom w:val="nil"/>
            </w:tcBorders>
            <w:shd w:val="clear" w:color="auto" w:fill="FFFFFF" w:themeFill="background1"/>
            <w:hideMark/>
          </w:tcPr>
          <w:p w14:paraId="5A844AC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-1,8</w:t>
            </w:r>
          </w:p>
        </w:tc>
        <w:tc>
          <w:tcPr>
            <w:tcW w:w="578" w:type="pct"/>
            <w:tcBorders>
              <w:top w:val="nil"/>
              <w:bottom w:val="nil"/>
            </w:tcBorders>
            <w:shd w:val="clear" w:color="auto" w:fill="FFFFFF" w:themeFill="background1"/>
            <w:hideMark/>
          </w:tcPr>
          <w:p w14:paraId="203556EA"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-1,2</w:t>
            </w:r>
          </w:p>
        </w:tc>
        <w:tc>
          <w:tcPr>
            <w:tcW w:w="578" w:type="pct"/>
            <w:tcBorders>
              <w:top w:val="nil"/>
              <w:bottom w:val="nil"/>
            </w:tcBorders>
            <w:shd w:val="clear" w:color="auto" w:fill="FFFFFF" w:themeFill="background1"/>
            <w:hideMark/>
          </w:tcPr>
          <w:p w14:paraId="3953FF56"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-2,1</w:t>
            </w:r>
          </w:p>
        </w:tc>
        <w:tc>
          <w:tcPr>
            <w:tcW w:w="578" w:type="pct"/>
            <w:tcBorders>
              <w:top w:val="nil"/>
              <w:bottom w:val="nil"/>
            </w:tcBorders>
            <w:shd w:val="clear" w:color="auto" w:fill="FFFFFF" w:themeFill="background1"/>
            <w:noWrap/>
            <w:hideMark/>
          </w:tcPr>
          <w:p w14:paraId="66776626"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-1,5</w:t>
            </w:r>
          </w:p>
        </w:tc>
        <w:tc>
          <w:tcPr>
            <w:tcW w:w="578" w:type="pct"/>
            <w:tcBorders>
              <w:top w:val="nil"/>
              <w:bottom w:val="nil"/>
            </w:tcBorders>
            <w:shd w:val="clear" w:color="auto" w:fill="FFFFFF" w:themeFill="background1"/>
          </w:tcPr>
          <w:p w14:paraId="0D96ACD4"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-1,7</w:t>
            </w:r>
          </w:p>
        </w:tc>
        <w:tc>
          <w:tcPr>
            <w:tcW w:w="578" w:type="pct"/>
            <w:tcBorders>
              <w:top w:val="nil"/>
              <w:bottom w:val="nil"/>
            </w:tcBorders>
            <w:shd w:val="clear" w:color="auto" w:fill="FFFFFF" w:themeFill="background1"/>
            <w:noWrap/>
            <w:hideMark/>
          </w:tcPr>
          <w:p w14:paraId="6870FF81"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-1,2</w:t>
            </w:r>
          </w:p>
        </w:tc>
        <w:tc>
          <w:tcPr>
            <w:tcW w:w="578" w:type="pct"/>
            <w:tcBorders>
              <w:top w:val="nil"/>
              <w:bottom w:val="nil"/>
            </w:tcBorders>
            <w:shd w:val="clear" w:color="auto" w:fill="FFFFFF" w:themeFill="background1"/>
            <w:noWrap/>
            <w:hideMark/>
          </w:tcPr>
          <w:p w14:paraId="5206E46F"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2,3</w:t>
            </w:r>
          </w:p>
        </w:tc>
      </w:tr>
      <w:tr w:rsidR="00ED5386" w:rsidRPr="00F27A03" w14:paraId="09E0BA7C"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left w:val="nil"/>
              <w:bottom w:val="nil"/>
              <w:right w:val="nil"/>
            </w:tcBorders>
            <w:shd w:val="clear" w:color="auto" w:fill="FFFFFF" w:themeFill="background1"/>
            <w:noWrap/>
            <w:hideMark/>
          </w:tcPr>
          <w:p w14:paraId="70107FDD"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2008</w:t>
            </w:r>
          </w:p>
        </w:tc>
        <w:tc>
          <w:tcPr>
            <w:tcW w:w="578" w:type="pct"/>
            <w:tcBorders>
              <w:top w:val="nil"/>
              <w:left w:val="nil"/>
              <w:bottom w:val="nil"/>
              <w:right w:val="nil"/>
            </w:tcBorders>
            <w:shd w:val="clear" w:color="auto" w:fill="FFFFFF" w:themeFill="background1"/>
          </w:tcPr>
          <w:p w14:paraId="440646E2"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4,0</w:t>
            </w:r>
          </w:p>
        </w:tc>
        <w:tc>
          <w:tcPr>
            <w:tcW w:w="578" w:type="pct"/>
            <w:tcBorders>
              <w:top w:val="nil"/>
              <w:left w:val="nil"/>
              <w:bottom w:val="nil"/>
              <w:right w:val="nil"/>
            </w:tcBorders>
            <w:shd w:val="clear" w:color="auto" w:fill="FFFFFF" w:themeFill="background1"/>
            <w:hideMark/>
          </w:tcPr>
          <w:p w14:paraId="3FDA20D9"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-2,5</w:t>
            </w:r>
          </w:p>
        </w:tc>
        <w:tc>
          <w:tcPr>
            <w:tcW w:w="578" w:type="pct"/>
            <w:tcBorders>
              <w:top w:val="nil"/>
              <w:left w:val="nil"/>
              <w:bottom w:val="nil"/>
              <w:right w:val="nil"/>
            </w:tcBorders>
            <w:shd w:val="clear" w:color="auto" w:fill="FFFFFF" w:themeFill="background1"/>
            <w:hideMark/>
          </w:tcPr>
          <w:p w14:paraId="2E2AE905"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-1,9</w:t>
            </w:r>
          </w:p>
        </w:tc>
        <w:tc>
          <w:tcPr>
            <w:tcW w:w="578" w:type="pct"/>
            <w:tcBorders>
              <w:top w:val="nil"/>
              <w:left w:val="nil"/>
              <w:bottom w:val="nil"/>
              <w:right w:val="nil"/>
            </w:tcBorders>
            <w:shd w:val="clear" w:color="auto" w:fill="FFFFFF" w:themeFill="background1"/>
            <w:hideMark/>
          </w:tcPr>
          <w:p w14:paraId="3F3A2388"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-3,9</w:t>
            </w:r>
          </w:p>
        </w:tc>
        <w:tc>
          <w:tcPr>
            <w:tcW w:w="578" w:type="pct"/>
            <w:tcBorders>
              <w:top w:val="nil"/>
              <w:left w:val="nil"/>
              <w:bottom w:val="nil"/>
              <w:right w:val="nil"/>
            </w:tcBorders>
            <w:shd w:val="clear" w:color="auto" w:fill="FFFFFF" w:themeFill="background1"/>
            <w:noWrap/>
            <w:hideMark/>
          </w:tcPr>
          <w:p w14:paraId="3471F385"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-3,4</w:t>
            </w:r>
          </w:p>
        </w:tc>
        <w:tc>
          <w:tcPr>
            <w:tcW w:w="578" w:type="pct"/>
            <w:tcBorders>
              <w:top w:val="nil"/>
              <w:left w:val="nil"/>
              <w:bottom w:val="nil"/>
              <w:right w:val="nil"/>
            </w:tcBorders>
            <w:shd w:val="clear" w:color="auto" w:fill="FFFFFF" w:themeFill="background1"/>
          </w:tcPr>
          <w:p w14:paraId="12980A5D"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-4,0</w:t>
            </w:r>
          </w:p>
        </w:tc>
        <w:tc>
          <w:tcPr>
            <w:tcW w:w="578" w:type="pct"/>
            <w:tcBorders>
              <w:top w:val="nil"/>
              <w:left w:val="nil"/>
              <w:bottom w:val="nil"/>
              <w:right w:val="nil"/>
            </w:tcBorders>
            <w:shd w:val="clear" w:color="auto" w:fill="FFFFFF" w:themeFill="background1"/>
            <w:noWrap/>
            <w:hideMark/>
          </w:tcPr>
          <w:p w14:paraId="6DD24B7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-3,4</w:t>
            </w:r>
          </w:p>
        </w:tc>
        <w:tc>
          <w:tcPr>
            <w:tcW w:w="578" w:type="pct"/>
            <w:tcBorders>
              <w:top w:val="nil"/>
              <w:left w:val="nil"/>
              <w:bottom w:val="nil"/>
              <w:right w:val="nil"/>
            </w:tcBorders>
            <w:shd w:val="clear" w:color="auto" w:fill="FFFFFF" w:themeFill="background1"/>
            <w:noWrap/>
            <w:hideMark/>
          </w:tcPr>
          <w:p w14:paraId="37A68247"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1,9</w:t>
            </w:r>
          </w:p>
        </w:tc>
      </w:tr>
      <w:tr w:rsidR="00ED5386" w:rsidRPr="00F27A03" w14:paraId="3C796C4C"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hideMark/>
          </w:tcPr>
          <w:p w14:paraId="0D5ECE9D"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2009</w:t>
            </w:r>
          </w:p>
        </w:tc>
        <w:tc>
          <w:tcPr>
            <w:tcW w:w="578" w:type="pct"/>
            <w:tcBorders>
              <w:top w:val="nil"/>
              <w:bottom w:val="nil"/>
            </w:tcBorders>
            <w:shd w:val="clear" w:color="auto" w:fill="FFFFFF" w:themeFill="background1"/>
          </w:tcPr>
          <w:p w14:paraId="09290CEB"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-0,4</w:t>
            </w:r>
          </w:p>
        </w:tc>
        <w:tc>
          <w:tcPr>
            <w:tcW w:w="578" w:type="pct"/>
            <w:tcBorders>
              <w:top w:val="nil"/>
              <w:bottom w:val="nil"/>
            </w:tcBorders>
            <w:shd w:val="clear" w:color="auto" w:fill="FFFFFF" w:themeFill="background1"/>
            <w:hideMark/>
          </w:tcPr>
          <w:p w14:paraId="06E14979"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-4,2</w:t>
            </w:r>
          </w:p>
        </w:tc>
        <w:tc>
          <w:tcPr>
            <w:tcW w:w="578" w:type="pct"/>
            <w:tcBorders>
              <w:top w:val="nil"/>
              <w:bottom w:val="nil"/>
            </w:tcBorders>
            <w:shd w:val="clear" w:color="auto" w:fill="FFFFFF" w:themeFill="background1"/>
            <w:hideMark/>
          </w:tcPr>
          <w:p w14:paraId="0BCC5FFB"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-3,6</w:t>
            </w:r>
          </w:p>
        </w:tc>
        <w:tc>
          <w:tcPr>
            <w:tcW w:w="578" w:type="pct"/>
            <w:tcBorders>
              <w:top w:val="nil"/>
              <w:bottom w:val="nil"/>
            </w:tcBorders>
            <w:shd w:val="clear" w:color="auto" w:fill="FFFFFF" w:themeFill="background1"/>
            <w:hideMark/>
          </w:tcPr>
          <w:p w14:paraId="3A8ADC6D"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-4,0</w:t>
            </w:r>
          </w:p>
        </w:tc>
        <w:tc>
          <w:tcPr>
            <w:tcW w:w="578" w:type="pct"/>
            <w:tcBorders>
              <w:top w:val="nil"/>
              <w:bottom w:val="nil"/>
            </w:tcBorders>
            <w:shd w:val="clear" w:color="auto" w:fill="FFFFFF" w:themeFill="background1"/>
            <w:hideMark/>
          </w:tcPr>
          <w:p w14:paraId="7C371CEF"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-3,4</w:t>
            </w:r>
          </w:p>
        </w:tc>
        <w:tc>
          <w:tcPr>
            <w:tcW w:w="578" w:type="pct"/>
            <w:tcBorders>
              <w:top w:val="nil"/>
              <w:bottom w:val="nil"/>
            </w:tcBorders>
            <w:shd w:val="clear" w:color="auto" w:fill="FFFFFF" w:themeFill="background1"/>
          </w:tcPr>
          <w:p w14:paraId="695DE6C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-4,1</w:t>
            </w:r>
          </w:p>
        </w:tc>
        <w:tc>
          <w:tcPr>
            <w:tcW w:w="578" w:type="pct"/>
            <w:tcBorders>
              <w:top w:val="nil"/>
              <w:bottom w:val="nil"/>
            </w:tcBorders>
            <w:shd w:val="clear" w:color="auto" w:fill="FFFFFF" w:themeFill="background1"/>
            <w:noWrap/>
            <w:hideMark/>
          </w:tcPr>
          <w:p w14:paraId="526B0DC6"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-3,5</w:t>
            </w:r>
          </w:p>
        </w:tc>
        <w:tc>
          <w:tcPr>
            <w:tcW w:w="578" w:type="pct"/>
            <w:tcBorders>
              <w:top w:val="nil"/>
              <w:bottom w:val="nil"/>
            </w:tcBorders>
            <w:shd w:val="clear" w:color="auto" w:fill="FFFFFF" w:themeFill="background1"/>
            <w:noWrap/>
            <w:hideMark/>
          </w:tcPr>
          <w:p w14:paraId="6FFC489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0,0</w:t>
            </w:r>
          </w:p>
        </w:tc>
      </w:tr>
      <w:tr w:rsidR="00ED5386" w:rsidRPr="00F27A03" w14:paraId="3F05A641"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left w:val="nil"/>
              <w:bottom w:val="nil"/>
              <w:right w:val="nil"/>
            </w:tcBorders>
            <w:shd w:val="clear" w:color="auto" w:fill="FFFFFF" w:themeFill="background1"/>
            <w:noWrap/>
          </w:tcPr>
          <w:p w14:paraId="193C764E"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2010</w:t>
            </w:r>
          </w:p>
          <w:p w14:paraId="3F9347E2"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p>
        </w:tc>
        <w:tc>
          <w:tcPr>
            <w:tcW w:w="578" w:type="pct"/>
            <w:tcBorders>
              <w:top w:val="nil"/>
              <w:left w:val="nil"/>
              <w:bottom w:val="nil"/>
              <w:right w:val="nil"/>
            </w:tcBorders>
            <w:shd w:val="clear" w:color="auto" w:fill="FFFFFF" w:themeFill="background1"/>
          </w:tcPr>
          <w:p w14:paraId="10396FC3"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-0,7</w:t>
            </w:r>
          </w:p>
        </w:tc>
        <w:tc>
          <w:tcPr>
            <w:tcW w:w="578" w:type="pct"/>
            <w:tcBorders>
              <w:top w:val="nil"/>
              <w:left w:val="nil"/>
              <w:bottom w:val="nil"/>
              <w:right w:val="nil"/>
            </w:tcBorders>
            <w:shd w:val="clear" w:color="auto" w:fill="FFFFFF" w:themeFill="background1"/>
            <w:hideMark/>
          </w:tcPr>
          <w:p w14:paraId="06814A55"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-4,3</w:t>
            </w:r>
          </w:p>
        </w:tc>
        <w:tc>
          <w:tcPr>
            <w:tcW w:w="578" w:type="pct"/>
            <w:tcBorders>
              <w:top w:val="nil"/>
              <w:left w:val="nil"/>
              <w:bottom w:val="nil"/>
              <w:right w:val="nil"/>
            </w:tcBorders>
            <w:shd w:val="clear" w:color="auto" w:fill="FFFFFF" w:themeFill="background1"/>
            <w:hideMark/>
          </w:tcPr>
          <w:p w14:paraId="290D6517"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-3,4</w:t>
            </w:r>
          </w:p>
        </w:tc>
        <w:tc>
          <w:tcPr>
            <w:tcW w:w="578" w:type="pct"/>
            <w:tcBorders>
              <w:top w:val="nil"/>
              <w:left w:val="nil"/>
              <w:bottom w:val="nil"/>
              <w:right w:val="nil"/>
            </w:tcBorders>
            <w:shd w:val="clear" w:color="auto" w:fill="FFFFFF" w:themeFill="background1"/>
            <w:hideMark/>
          </w:tcPr>
          <w:p w14:paraId="01EBDE67"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-4,1</w:t>
            </w:r>
          </w:p>
        </w:tc>
        <w:tc>
          <w:tcPr>
            <w:tcW w:w="578" w:type="pct"/>
            <w:tcBorders>
              <w:top w:val="nil"/>
              <w:left w:val="nil"/>
              <w:bottom w:val="nil"/>
              <w:right w:val="nil"/>
            </w:tcBorders>
            <w:shd w:val="clear" w:color="auto" w:fill="FFFFFF" w:themeFill="background1"/>
            <w:hideMark/>
          </w:tcPr>
          <w:p w14:paraId="50BFCDFD"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-3,1</w:t>
            </w:r>
          </w:p>
        </w:tc>
        <w:tc>
          <w:tcPr>
            <w:tcW w:w="578" w:type="pct"/>
            <w:tcBorders>
              <w:top w:val="nil"/>
              <w:left w:val="nil"/>
              <w:bottom w:val="nil"/>
              <w:right w:val="nil"/>
            </w:tcBorders>
            <w:shd w:val="clear" w:color="auto" w:fill="FFFFFF" w:themeFill="background1"/>
          </w:tcPr>
          <w:p w14:paraId="694E4212"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-4,2</w:t>
            </w:r>
          </w:p>
        </w:tc>
        <w:tc>
          <w:tcPr>
            <w:tcW w:w="578" w:type="pct"/>
            <w:tcBorders>
              <w:top w:val="nil"/>
              <w:left w:val="nil"/>
              <w:bottom w:val="nil"/>
              <w:right w:val="nil"/>
            </w:tcBorders>
            <w:shd w:val="clear" w:color="auto" w:fill="FFFFFF" w:themeFill="background1"/>
            <w:noWrap/>
            <w:hideMark/>
          </w:tcPr>
          <w:p w14:paraId="7A49913D"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-3,2</w:t>
            </w:r>
          </w:p>
        </w:tc>
        <w:tc>
          <w:tcPr>
            <w:tcW w:w="578" w:type="pct"/>
            <w:tcBorders>
              <w:top w:val="nil"/>
              <w:left w:val="nil"/>
              <w:bottom w:val="nil"/>
              <w:right w:val="nil"/>
            </w:tcBorders>
            <w:shd w:val="clear" w:color="auto" w:fill="FFFFFF" w:themeFill="background1"/>
            <w:noWrap/>
            <w:hideMark/>
          </w:tcPr>
          <w:p w14:paraId="7355D628"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-0,3</w:t>
            </w:r>
          </w:p>
        </w:tc>
      </w:tr>
      <w:tr w:rsidR="00ED5386" w:rsidRPr="00F27A03" w14:paraId="4F73A694"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hideMark/>
          </w:tcPr>
          <w:p w14:paraId="56C7F0D7"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2011</w:t>
            </w:r>
          </w:p>
        </w:tc>
        <w:tc>
          <w:tcPr>
            <w:tcW w:w="578" w:type="pct"/>
            <w:tcBorders>
              <w:top w:val="nil"/>
              <w:bottom w:val="nil"/>
            </w:tcBorders>
            <w:shd w:val="clear" w:color="auto" w:fill="FFFFFF" w:themeFill="background1"/>
          </w:tcPr>
          <w:p w14:paraId="4F6F5128"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0,5</w:t>
            </w:r>
          </w:p>
        </w:tc>
        <w:tc>
          <w:tcPr>
            <w:tcW w:w="578" w:type="pct"/>
            <w:tcBorders>
              <w:top w:val="nil"/>
              <w:bottom w:val="nil"/>
            </w:tcBorders>
            <w:shd w:val="clear" w:color="auto" w:fill="FFFFFF" w:themeFill="background1"/>
            <w:hideMark/>
          </w:tcPr>
          <w:p w14:paraId="7C893854"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-4,5</w:t>
            </w:r>
          </w:p>
        </w:tc>
        <w:tc>
          <w:tcPr>
            <w:tcW w:w="578" w:type="pct"/>
            <w:tcBorders>
              <w:top w:val="nil"/>
              <w:bottom w:val="nil"/>
            </w:tcBorders>
            <w:shd w:val="clear" w:color="auto" w:fill="FFFFFF" w:themeFill="background1"/>
            <w:hideMark/>
          </w:tcPr>
          <w:p w14:paraId="3742F5B0"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-3,4</w:t>
            </w:r>
          </w:p>
        </w:tc>
        <w:tc>
          <w:tcPr>
            <w:tcW w:w="578" w:type="pct"/>
            <w:tcBorders>
              <w:top w:val="nil"/>
              <w:bottom w:val="nil"/>
            </w:tcBorders>
            <w:shd w:val="clear" w:color="auto" w:fill="FFFFFF" w:themeFill="background1"/>
            <w:hideMark/>
          </w:tcPr>
          <w:p w14:paraId="1ED82E7E"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-4,7</w:t>
            </w:r>
          </w:p>
        </w:tc>
        <w:tc>
          <w:tcPr>
            <w:tcW w:w="578" w:type="pct"/>
            <w:tcBorders>
              <w:top w:val="nil"/>
              <w:bottom w:val="nil"/>
            </w:tcBorders>
            <w:shd w:val="clear" w:color="auto" w:fill="FFFFFF" w:themeFill="background1"/>
            <w:hideMark/>
          </w:tcPr>
          <w:p w14:paraId="667C4B2C"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-3,6</w:t>
            </w:r>
          </w:p>
        </w:tc>
        <w:tc>
          <w:tcPr>
            <w:tcW w:w="578" w:type="pct"/>
            <w:tcBorders>
              <w:top w:val="nil"/>
              <w:bottom w:val="nil"/>
            </w:tcBorders>
            <w:shd w:val="clear" w:color="auto" w:fill="FFFFFF" w:themeFill="background1"/>
          </w:tcPr>
          <w:p w14:paraId="495CC80D"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-4,9</w:t>
            </w:r>
          </w:p>
        </w:tc>
        <w:tc>
          <w:tcPr>
            <w:tcW w:w="578" w:type="pct"/>
            <w:tcBorders>
              <w:top w:val="nil"/>
              <w:bottom w:val="nil"/>
            </w:tcBorders>
            <w:shd w:val="clear" w:color="auto" w:fill="FFFFFF" w:themeFill="background1"/>
            <w:noWrap/>
            <w:hideMark/>
          </w:tcPr>
          <w:p w14:paraId="0773783D"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-3,8</w:t>
            </w:r>
          </w:p>
        </w:tc>
        <w:tc>
          <w:tcPr>
            <w:tcW w:w="578" w:type="pct"/>
            <w:tcBorders>
              <w:top w:val="nil"/>
              <w:bottom w:val="nil"/>
            </w:tcBorders>
            <w:shd w:val="clear" w:color="auto" w:fill="FFFFFF" w:themeFill="background1"/>
            <w:noWrap/>
            <w:hideMark/>
          </w:tcPr>
          <w:p w14:paraId="73D863A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0,4</w:t>
            </w:r>
          </w:p>
        </w:tc>
      </w:tr>
      <w:tr w:rsidR="00ED5386" w:rsidRPr="00F27A03" w14:paraId="685E84F9"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22CA5C80"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2012</w:t>
            </w:r>
          </w:p>
          <w:p w14:paraId="484B6115"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p>
        </w:tc>
        <w:tc>
          <w:tcPr>
            <w:tcW w:w="578" w:type="pct"/>
            <w:tcBorders>
              <w:top w:val="nil"/>
              <w:bottom w:val="nil"/>
            </w:tcBorders>
            <w:shd w:val="clear" w:color="auto" w:fill="FFFFFF" w:themeFill="background1"/>
          </w:tcPr>
          <w:p w14:paraId="0ED84084"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-0,8</w:t>
            </w:r>
          </w:p>
        </w:tc>
        <w:tc>
          <w:tcPr>
            <w:tcW w:w="578" w:type="pct"/>
            <w:tcBorders>
              <w:top w:val="nil"/>
              <w:bottom w:val="nil"/>
            </w:tcBorders>
            <w:shd w:val="clear" w:color="auto" w:fill="FFFFFF" w:themeFill="background1"/>
          </w:tcPr>
          <w:p w14:paraId="192FD249"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-6,4</w:t>
            </w:r>
          </w:p>
        </w:tc>
        <w:tc>
          <w:tcPr>
            <w:tcW w:w="578" w:type="pct"/>
            <w:tcBorders>
              <w:top w:val="nil"/>
              <w:bottom w:val="nil"/>
            </w:tcBorders>
            <w:shd w:val="clear" w:color="auto" w:fill="FFFFFF" w:themeFill="background1"/>
          </w:tcPr>
          <w:p w14:paraId="5AA2F530"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-4,7</w:t>
            </w:r>
          </w:p>
        </w:tc>
        <w:tc>
          <w:tcPr>
            <w:tcW w:w="578" w:type="pct"/>
            <w:tcBorders>
              <w:top w:val="nil"/>
              <w:bottom w:val="nil"/>
            </w:tcBorders>
            <w:shd w:val="clear" w:color="auto" w:fill="FFFFFF" w:themeFill="background1"/>
          </w:tcPr>
          <w:p w14:paraId="38A514E5"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-6,1</w:t>
            </w:r>
          </w:p>
        </w:tc>
        <w:tc>
          <w:tcPr>
            <w:tcW w:w="578" w:type="pct"/>
            <w:tcBorders>
              <w:top w:val="nil"/>
              <w:bottom w:val="nil"/>
            </w:tcBorders>
            <w:shd w:val="clear" w:color="auto" w:fill="FFFFFF" w:themeFill="background1"/>
          </w:tcPr>
          <w:p w14:paraId="301F6298"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-4,4</w:t>
            </w:r>
          </w:p>
        </w:tc>
        <w:tc>
          <w:tcPr>
            <w:tcW w:w="578" w:type="pct"/>
            <w:tcBorders>
              <w:top w:val="nil"/>
              <w:bottom w:val="nil"/>
            </w:tcBorders>
            <w:shd w:val="clear" w:color="auto" w:fill="FFFFFF" w:themeFill="background1"/>
          </w:tcPr>
          <w:p w14:paraId="3F162D0C"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-6,1</w:t>
            </w:r>
          </w:p>
        </w:tc>
        <w:tc>
          <w:tcPr>
            <w:tcW w:w="578" w:type="pct"/>
            <w:tcBorders>
              <w:top w:val="nil"/>
              <w:bottom w:val="nil"/>
            </w:tcBorders>
            <w:shd w:val="clear" w:color="auto" w:fill="FFFFFF" w:themeFill="background1"/>
            <w:noWrap/>
          </w:tcPr>
          <w:p w14:paraId="50CAF84E"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-4,4</w:t>
            </w:r>
          </w:p>
        </w:tc>
        <w:tc>
          <w:tcPr>
            <w:tcW w:w="578" w:type="pct"/>
            <w:tcBorders>
              <w:top w:val="nil"/>
              <w:bottom w:val="nil"/>
            </w:tcBorders>
            <w:shd w:val="clear" w:color="auto" w:fill="FFFFFF" w:themeFill="background1"/>
            <w:noWrap/>
          </w:tcPr>
          <w:p w14:paraId="15A4A51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0,9</w:t>
            </w:r>
          </w:p>
        </w:tc>
      </w:tr>
      <w:tr w:rsidR="00ED5386" w:rsidRPr="00F27A03" w14:paraId="653ACE19"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0D203CF2"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2013</w:t>
            </w:r>
          </w:p>
        </w:tc>
        <w:tc>
          <w:tcPr>
            <w:tcW w:w="578" w:type="pct"/>
            <w:tcBorders>
              <w:top w:val="nil"/>
              <w:bottom w:val="nil"/>
            </w:tcBorders>
            <w:shd w:val="clear" w:color="auto" w:fill="FFFFFF" w:themeFill="background1"/>
          </w:tcPr>
          <w:p w14:paraId="28CEC664"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1,2</w:t>
            </w:r>
          </w:p>
        </w:tc>
        <w:tc>
          <w:tcPr>
            <w:tcW w:w="578" w:type="pct"/>
            <w:tcBorders>
              <w:top w:val="nil"/>
              <w:bottom w:val="nil"/>
            </w:tcBorders>
            <w:shd w:val="clear" w:color="auto" w:fill="FFFFFF" w:themeFill="background1"/>
          </w:tcPr>
          <w:p w14:paraId="1F9D9FD4"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-5,1</w:t>
            </w:r>
          </w:p>
        </w:tc>
        <w:tc>
          <w:tcPr>
            <w:tcW w:w="578" w:type="pct"/>
            <w:tcBorders>
              <w:top w:val="nil"/>
              <w:bottom w:val="nil"/>
            </w:tcBorders>
            <w:shd w:val="clear" w:color="auto" w:fill="FFFFFF" w:themeFill="background1"/>
          </w:tcPr>
          <w:p w14:paraId="7D095603"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-3,0</w:t>
            </w:r>
          </w:p>
        </w:tc>
        <w:tc>
          <w:tcPr>
            <w:tcW w:w="578" w:type="pct"/>
            <w:tcBorders>
              <w:top w:val="nil"/>
              <w:bottom w:val="nil"/>
            </w:tcBorders>
            <w:shd w:val="clear" w:color="auto" w:fill="FFFFFF" w:themeFill="background1"/>
          </w:tcPr>
          <w:p w14:paraId="6A35B4A9"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-5,6</w:t>
            </w:r>
          </w:p>
        </w:tc>
        <w:tc>
          <w:tcPr>
            <w:tcW w:w="578" w:type="pct"/>
            <w:tcBorders>
              <w:top w:val="nil"/>
              <w:bottom w:val="nil"/>
            </w:tcBorders>
            <w:shd w:val="clear" w:color="auto" w:fill="FFFFFF" w:themeFill="background1"/>
          </w:tcPr>
          <w:p w14:paraId="2960B61A"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-3,4</w:t>
            </w:r>
          </w:p>
        </w:tc>
        <w:tc>
          <w:tcPr>
            <w:tcW w:w="578" w:type="pct"/>
            <w:tcBorders>
              <w:top w:val="nil"/>
              <w:bottom w:val="nil"/>
            </w:tcBorders>
            <w:shd w:val="clear" w:color="auto" w:fill="FFFFFF" w:themeFill="background1"/>
          </w:tcPr>
          <w:p w14:paraId="7E36BCD6"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-5,3</w:t>
            </w:r>
          </w:p>
        </w:tc>
        <w:tc>
          <w:tcPr>
            <w:tcW w:w="578" w:type="pct"/>
            <w:tcBorders>
              <w:top w:val="nil"/>
              <w:bottom w:val="nil"/>
            </w:tcBorders>
            <w:shd w:val="clear" w:color="auto" w:fill="FFFFFF" w:themeFill="background1"/>
            <w:noWrap/>
          </w:tcPr>
          <w:p w14:paraId="14F76331"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-3,1</w:t>
            </w:r>
          </w:p>
        </w:tc>
        <w:tc>
          <w:tcPr>
            <w:tcW w:w="578" w:type="pct"/>
            <w:tcBorders>
              <w:top w:val="nil"/>
              <w:bottom w:val="nil"/>
            </w:tcBorders>
            <w:shd w:val="clear" w:color="auto" w:fill="FFFFFF" w:themeFill="background1"/>
            <w:noWrap/>
          </w:tcPr>
          <w:p w14:paraId="71A5159B"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-1,0</w:t>
            </w:r>
          </w:p>
        </w:tc>
      </w:tr>
      <w:tr w:rsidR="00ED5386" w:rsidRPr="00F27A03" w14:paraId="4D1A309F"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1C01796A"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2014</w:t>
            </w:r>
          </w:p>
        </w:tc>
        <w:tc>
          <w:tcPr>
            <w:tcW w:w="578" w:type="pct"/>
            <w:tcBorders>
              <w:top w:val="nil"/>
              <w:bottom w:val="nil"/>
            </w:tcBorders>
            <w:shd w:val="clear" w:color="auto" w:fill="FFFFFF" w:themeFill="background1"/>
          </w:tcPr>
          <w:p w14:paraId="7F9B934C"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-1,4</w:t>
            </w:r>
          </w:p>
        </w:tc>
        <w:tc>
          <w:tcPr>
            <w:tcW w:w="578" w:type="pct"/>
            <w:tcBorders>
              <w:top w:val="nil"/>
              <w:bottom w:val="nil"/>
            </w:tcBorders>
            <w:shd w:val="clear" w:color="auto" w:fill="FFFFFF" w:themeFill="background1"/>
          </w:tcPr>
          <w:p w14:paraId="0E6EC8DE"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-6,2</w:t>
            </w:r>
          </w:p>
        </w:tc>
        <w:tc>
          <w:tcPr>
            <w:tcW w:w="578" w:type="pct"/>
            <w:tcBorders>
              <w:top w:val="nil"/>
              <w:bottom w:val="nil"/>
            </w:tcBorders>
            <w:shd w:val="clear" w:color="auto" w:fill="FFFFFF" w:themeFill="background1"/>
          </w:tcPr>
          <w:p w14:paraId="4B1CA2AC"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-3,5</w:t>
            </w:r>
          </w:p>
        </w:tc>
        <w:tc>
          <w:tcPr>
            <w:tcW w:w="578" w:type="pct"/>
            <w:tcBorders>
              <w:top w:val="nil"/>
              <w:bottom w:val="nil"/>
            </w:tcBorders>
            <w:shd w:val="clear" w:color="auto" w:fill="FFFFFF" w:themeFill="background1"/>
          </w:tcPr>
          <w:p w14:paraId="249978E7"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-5,7</w:t>
            </w:r>
          </w:p>
        </w:tc>
        <w:tc>
          <w:tcPr>
            <w:tcW w:w="578" w:type="pct"/>
            <w:tcBorders>
              <w:top w:val="nil"/>
              <w:bottom w:val="nil"/>
            </w:tcBorders>
            <w:shd w:val="clear" w:color="auto" w:fill="FFFFFF" w:themeFill="background1"/>
          </w:tcPr>
          <w:p w14:paraId="2EBFF648"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-3,0</w:t>
            </w:r>
          </w:p>
        </w:tc>
        <w:tc>
          <w:tcPr>
            <w:tcW w:w="578" w:type="pct"/>
            <w:tcBorders>
              <w:top w:val="nil"/>
              <w:bottom w:val="nil"/>
            </w:tcBorders>
            <w:shd w:val="clear" w:color="auto" w:fill="FFFFFF" w:themeFill="background1"/>
          </w:tcPr>
          <w:p w14:paraId="1558031F"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-4,8</w:t>
            </w:r>
          </w:p>
        </w:tc>
        <w:tc>
          <w:tcPr>
            <w:tcW w:w="578" w:type="pct"/>
            <w:tcBorders>
              <w:top w:val="nil"/>
              <w:bottom w:val="nil"/>
            </w:tcBorders>
            <w:shd w:val="clear" w:color="auto" w:fill="FFFFFF" w:themeFill="background1"/>
            <w:noWrap/>
          </w:tcPr>
          <w:p w14:paraId="6C7C835E"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-2,2</w:t>
            </w:r>
          </w:p>
        </w:tc>
        <w:tc>
          <w:tcPr>
            <w:tcW w:w="578" w:type="pct"/>
            <w:tcBorders>
              <w:top w:val="nil"/>
              <w:bottom w:val="nil"/>
            </w:tcBorders>
            <w:shd w:val="clear" w:color="auto" w:fill="FFFFFF" w:themeFill="background1"/>
            <w:noWrap/>
          </w:tcPr>
          <w:p w14:paraId="7FC89572"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-0,4</w:t>
            </w:r>
          </w:p>
        </w:tc>
      </w:tr>
      <w:tr w:rsidR="00ED5386" w:rsidRPr="00F27A03" w14:paraId="2C2DD8A4"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00C8277F"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2015</w:t>
            </w:r>
          </w:p>
        </w:tc>
        <w:tc>
          <w:tcPr>
            <w:tcW w:w="578" w:type="pct"/>
            <w:tcBorders>
              <w:top w:val="nil"/>
              <w:bottom w:val="nil"/>
            </w:tcBorders>
            <w:shd w:val="clear" w:color="auto" w:fill="FFFFFF" w:themeFill="background1"/>
          </w:tcPr>
          <w:p w14:paraId="199FDD8C"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-1,2</w:t>
            </w:r>
          </w:p>
        </w:tc>
        <w:tc>
          <w:tcPr>
            <w:tcW w:w="578" w:type="pct"/>
            <w:tcBorders>
              <w:top w:val="nil"/>
              <w:bottom w:val="nil"/>
            </w:tcBorders>
            <w:shd w:val="clear" w:color="auto" w:fill="FFFFFF" w:themeFill="background1"/>
          </w:tcPr>
          <w:p w14:paraId="2503165C"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-3,5</w:t>
            </w:r>
          </w:p>
        </w:tc>
        <w:tc>
          <w:tcPr>
            <w:tcW w:w="578" w:type="pct"/>
            <w:tcBorders>
              <w:top w:val="nil"/>
              <w:bottom w:val="nil"/>
            </w:tcBorders>
            <w:shd w:val="clear" w:color="auto" w:fill="FFFFFF" w:themeFill="background1"/>
          </w:tcPr>
          <w:p w14:paraId="027D85E1"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-0,5</w:t>
            </w:r>
          </w:p>
        </w:tc>
        <w:tc>
          <w:tcPr>
            <w:tcW w:w="578" w:type="pct"/>
            <w:tcBorders>
              <w:top w:val="nil"/>
              <w:bottom w:val="nil"/>
            </w:tcBorders>
            <w:shd w:val="clear" w:color="auto" w:fill="FFFFFF" w:themeFill="background1"/>
          </w:tcPr>
          <w:p w14:paraId="2485B848"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-3,0</w:t>
            </w:r>
          </w:p>
        </w:tc>
        <w:tc>
          <w:tcPr>
            <w:tcW w:w="578" w:type="pct"/>
            <w:tcBorders>
              <w:top w:val="nil"/>
              <w:bottom w:val="nil"/>
            </w:tcBorders>
            <w:shd w:val="clear" w:color="auto" w:fill="FFFFFF" w:themeFill="background1"/>
          </w:tcPr>
          <w:p w14:paraId="38FB7272"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0,0</w:t>
            </w:r>
          </w:p>
        </w:tc>
        <w:tc>
          <w:tcPr>
            <w:tcW w:w="578" w:type="pct"/>
            <w:tcBorders>
              <w:top w:val="nil"/>
              <w:bottom w:val="nil"/>
            </w:tcBorders>
            <w:shd w:val="clear" w:color="auto" w:fill="FFFFFF" w:themeFill="background1"/>
          </w:tcPr>
          <w:p w14:paraId="21624ECE"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-2,2</w:t>
            </w:r>
          </w:p>
        </w:tc>
        <w:tc>
          <w:tcPr>
            <w:tcW w:w="578" w:type="pct"/>
            <w:tcBorders>
              <w:top w:val="nil"/>
              <w:bottom w:val="nil"/>
            </w:tcBorders>
            <w:shd w:val="clear" w:color="auto" w:fill="FFFFFF" w:themeFill="background1"/>
            <w:noWrap/>
          </w:tcPr>
          <w:p w14:paraId="5375E64A"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0,8</w:t>
            </w:r>
          </w:p>
        </w:tc>
        <w:tc>
          <w:tcPr>
            <w:tcW w:w="578" w:type="pct"/>
            <w:tcBorders>
              <w:top w:val="nil"/>
              <w:bottom w:val="nil"/>
            </w:tcBorders>
            <w:shd w:val="clear" w:color="auto" w:fill="FFFFFF" w:themeFill="background1"/>
            <w:noWrap/>
          </w:tcPr>
          <w:p w14:paraId="6D107A39"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-3,0</w:t>
            </w:r>
          </w:p>
        </w:tc>
      </w:tr>
      <w:tr w:rsidR="00ED5386" w:rsidRPr="00F27A03" w14:paraId="60E432D9"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75DCCFD6"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2016</w:t>
            </w:r>
          </w:p>
        </w:tc>
        <w:tc>
          <w:tcPr>
            <w:tcW w:w="578" w:type="pct"/>
            <w:tcBorders>
              <w:top w:val="nil"/>
              <w:bottom w:val="nil"/>
            </w:tcBorders>
            <w:shd w:val="clear" w:color="auto" w:fill="FFFFFF" w:themeFill="background1"/>
          </w:tcPr>
          <w:p w14:paraId="331E30C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-0,1</w:t>
            </w:r>
          </w:p>
        </w:tc>
        <w:tc>
          <w:tcPr>
            <w:tcW w:w="578" w:type="pct"/>
            <w:tcBorders>
              <w:top w:val="nil"/>
              <w:bottom w:val="nil"/>
            </w:tcBorders>
            <w:shd w:val="clear" w:color="auto" w:fill="FFFFFF" w:themeFill="background1"/>
          </w:tcPr>
          <w:p w14:paraId="28428C87"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-1,2</w:t>
            </w:r>
          </w:p>
        </w:tc>
        <w:tc>
          <w:tcPr>
            <w:tcW w:w="578" w:type="pct"/>
            <w:tcBorders>
              <w:top w:val="nil"/>
              <w:bottom w:val="nil"/>
            </w:tcBorders>
            <w:shd w:val="clear" w:color="auto" w:fill="FFFFFF" w:themeFill="background1"/>
          </w:tcPr>
          <w:p w14:paraId="1C15D40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1,7</w:t>
            </w:r>
          </w:p>
        </w:tc>
        <w:tc>
          <w:tcPr>
            <w:tcW w:w="578" w:type="pct"/>
            <w:tcBorders>
              <w:top w:val="nil"/>
              <w:bottom w:val="nil"/>
            </w:tcBorders>
            <w:shd w:val="clear" w:color="auto" w:fill="FFFFFF" w:themeFill="background1"/>
          </w:tcPr>
          <w:p w14:paraId="0C743191"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-1,2</w:t>
            </w:r>
          </w:p>
        </w:tc>
        <w:tc>
          <w:tcPr>
            <w:tcW w:w="578" w:type="pct"/>
            <w:tcBorders>
              <w:top w:val="nil"/>
              <w:bottom w:val="nil"/>
            </w:tcBorders>
            <w:shd w:val="clear" w:color="auto" w:fill="FFFFFF" w:themeFill="background1"/>
          </w:tcPr>
          <w:p w14:paraId="609E486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1,7</w:t>
            </w:r>
          </w:p>
        </w:tc>
        <w:tc>
          <w:tcPr>
            <w:tcW w:w="578" w:type="pct"/>
            <w:tcBorders>
              <w:top w:val="nil"/>
              <w:bottom w:val="nil"/>
            </w:tcBorders>
            <w:shd w:val="clear" w:color="auto" w:fill="FFFFFF" w:themeFill="background1"/>
          </w:tcPr>
          <w:p w14:paraId="334CE1F3"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-1,1</w:t>
            </w:r>
          </w:p>
        </w:tc>
        <w:tc>
          <w:tcPr>
            <w:tcW w:w="578" w:type="pct"/>
            <w:tcBorders>
              <w:top w:val="nil"/>
              <w:bottom w:val="nil"/>
            </w:tcBorders>
            <w:shd w:val="clear" w:color="auto" w:fill="FFFFFF" w:themeFill="background1"/>
            <w:noWrap/>
          </w:tcPr>
          <w:p w14:paraId="27850025"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1,8</w:t>
            </w:r>
          </w:p>
        </w:tc>
        <w:tc>
          <w:tcPr>
            <w:tcW w:w="578" w:type="pct"/>
            <w:tcBorders>
              <w:top w:val="nil"/>
              <w:bottom w:val="nil"/>
            </w:tcBorders>
            <w:shd w:val="clear" w:color="auto" w:fill="FFFFFF" w:themeFill="background1"/>
            <w:noWrap/>
          </w:tcPr>
          <w:p w14:paraId="34634F41"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-1,8</w:t>
            </w:r>
          </w:p>
        </w:tc>
      </w:tr>
      <w:tr w:rsidR="00ED5386" w:rsidRPr="00F27A03" w14:paraId="31A36B8E"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2D7F9E8D"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2017</w:t>
            </w:r>
          </w:p>
        </w:tc>
        <w:tc>
          <w:tcPr>
            <w:tcW w:w="578" w:type="pct"/>
            <w:tcBorders>
              <w:top w:val="nil"/>
              <w:bottom w:val="nil"/>
            </w:tcBorders>
            <w:shd w:val="clear" w:color="auto" w:fill="FFFFFF" w:themeFill="background1"/>
          </w:tcPr>
          <w:p w14:paraId="13F25A6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-0,6</w:t>
            </w:r>
          </w:p>
        </w:tc>
        <w:tc>
          <w:tcPr>
            <w:tcW w:w="578" w:type="pct"/>
            <w:tcBorders>
              <w:top w:val="nil"/>
              <w:bottom w:val="nil"/>
            </w:tcBorders>
            <w:shd w:val="clear" w:color="auto" w:fill="FFFFFF" w:themeFill="background1"/>
          </w:tcPr>
          <w:p w14:paraId="53829FFE"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1,1</w:t>
            </w:r>
          </w:p>
        </w:tc>
        <w:tc>
          <w:tcPr>
            <w:tcW w:w="578" w:type="pct"/>
            <w:tcBorders>
              <w:top w:val="nil"/>
              <w:bottom w:val="nil"/>
            </w:tcBorders>
            <w:shd w:val="clear" w:color="auto" w:fill="FFFFFF" w:themeFill="background1"/>
          </w:tcPr>
          <w:p w14:paraId="5540C22B"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3,6</w:t>
            </w:r>
          </w:p>
        </w:tc>
        <w:tc>
          <w:tcPr>
            <w:tcW w:w="578" w:type="pct"/>
            <w:tcBorders>
              <w:top w:val="nil"/>
              <w:bottom w:val="nil"/>
            </w:tcBorders>
            <w:shd w:val="clear" w:color="auto" w:fill="FFFFFF" w:themeFill="background1"/>
          </w:tcPr>
          <w:p w14:paraId="3065BEDE"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1,3</w:t>
            </w:r>
          </w:p>
        </w:tc>
        <w:tc>
          <w:tcPr>
            <w:tcW w:w="578" w:type="pct"/>
            <w:tcBorders>
              <w:top w:val="nil"/>
              <w:bottom w:val="nil"/>
            </w:tcBorders>
            <w:shd w:val="clear" w:color="auto" w:fill="FFFFFF" w:themeFill="background1"/>
          </w:tcPr>
          <w:p w14:paraId="4A581CEB"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3,8</w:t>
            </w:r>
          </w:p>
        </w:tc>
        <w:tc>
          <w:tcPr>
            <w:tcW w:w="578" w:type="pct"/>
            <w:tcBorders>
              <w:top w:val="nil"/>
              <w:bottom w:val="nil"/>
            </w:tcBorders>
            <w:shd w:val="clear" w:color="auto" w:fill="FFFFFF" w:themeFill="background1"/>
          </w:tcPr>
          <w:p w14:paraId="315A4E2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1,2</w:t>
            </w:r>
          </w:p>
        </w:tc>
        <w:tc>
          <w:tcPr>
            <w:tcW w:w="578" w:type="pct"/>
            <w:tcBorders>
              <w:top w:val="nil"/>
              <w:bottom w:val="nil"/>
            </w:tcBorders>
            <w:shd w:val="clear" w:color="auto" w:fill="FFFFFF" w:themeFill="background1"/>
            <w:noWrap/>
          </w:tcPr>
          <w:p w14:paraId="7074B50F"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3,7</w:t>
            </w:r>
          </w:p>
        </w:tc>
        <w:tc>
          <w:tcPr>
            <w:tcW w:w="578" w:type="pct"/>
            <w:tcBorders>
              <w:top w:val="nil"/>
              <w:bottom w:val="nil"/>
            </w:tcBorders>
            <w:shd w:val="clear" w:color="auto" w:fill="FFFFFF" w:themeFill="background1"/>
            <w:noWrap/>
          </w:tcPr>
          <w:p w14:paraId="4852F590"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-2,1</w:t>
            </w:r>
          </w:p>
        </w:tc>
      </w:tr>
      <w:tr w:rsidR="00ED5386" w:rsidRPr="00F27A03" w14:paraId="61B53689"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6562030C"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2018</w:t>
            </w:r>
          </w:p>
        </w:tc>
        <w:tc>
          <w:tcPr>
            <w:tcW w:w="578" w:type="pct"/>
            <w:tcBorders>
              <w:top w:val="nil"/>
              <w:bottom w:val="nil"/>
            </w:tcBorders>
            <w:shd w:val="clear" w:color="auto" w:fill="FFFFFF" w:themeFill="background1"/>
          </w:tcPr>
          <w:p w14:paraId="7C1BC2BD"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0,8</w:t>
            </w:r>
          </w:p>
        </w:tc>
        <w:tc>
          <w:tcPr>
            <w:tcW w:w="578" w:type="pct"/>
            <w:tcBorders>
              <w:top w:val="nil"/>
              <w:bottom w:val="nil"/>
            </w:tcBorders>
            <w:shd w:val="clear" w:color="auto" w:fill="FFFFFF" w:themeFill="background1"/>
          </w:tcPr>
          <w:p w14:paraId="500AD5A1"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0,6</w:t>
            </w:r>
          </w:p>
        </w:tc>
        <w:tc>
          <w:tcPr>
            <w:tcW w:w="578" w:type="pct"/>
            <w:tcBorders>
              <w:top w:val="nil"/>
              <w:bottom w:val="nil"/>
            </w:tcBorders>
            <w:shd w:val="clear" w:color="auto" w:fill="FFFFFF" w:themeFill="background1"/>
          </w:tcPr>
          <w:p w14:paraId="4AB25CD3"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2,7</w:t>
            </w:r>
          </w:p>
        </w:tc>
        <w:tc>
          <w:tcPr>
            <w:tcW w:w="578" w:type="pct"/>
            <w:tcBorders>
              <w:top w:val="nil"/>
              <w:bottom w:val="nil"/>
            </w:tcBorders>
            <w:shd w:val="clear" w:color="auto" w:fill="FFFFFF" w:themeFill="background1"/>
          </w:tcPr>
          <w:p w14:paraId="379FF49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0,4</w:t>
            </w:r>
          </w:p>
        </w:tc>
        <w:tc>
          <w:tcPr>
            <w:tcW w:w="578" w:type="pct"/>
            <w:tcBorders>
              <w:top w:val="nil"/>
              <w:bottom w:val="nil"/>
            </w:tcBorders>
            <w:shd w:val="clear" w:color="auto" w:fill="FFFFFF" w:themeFill="background1"/>
          </w:tcPr>
          <w:p w14:paraId="0E778BA5"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2,5</w:t>
            </w:r>
          </w:p>
        </w:tc>
        <w:tc>
          <w:tcPr>
            <w:tcW w:w="578" w:type="pct"/>
            <w:tcBorders>
              <w:top w:val="nil"/>
              <w:bottom w:val="nil"/>
            </w:tcBorders>
            <w:shd w:val="clear" w:color="auto" w:fill="FFFFFF" w:themeFill="background1"/>
          </w:tcPr>
          <w:p w14:paraId="1B34E84C"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0,2</w:t>
            </w:r>
          </w:p>
        </w:tc>
        <w:tc>
          <w:tcPr>
            <w:tcW w:w="578" w:type="pct"/>
            <w:tcBorders>
              <w:top w:val="nil"/>
              <w:bottom w:val="nil"/>
            </w:tcBorders>
            <w:shd w:val="clear" w:color="auto" w:fill="FFFFFF" w:themeFill="background1"/>
            <w:noWrap/>
          </w:tcPr>
          <w:p w14:paraId="57C07DA8"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2,3</w:t>
            </w:r>
          </w:p>
        </w:tc>
        <w:tc>
          <w:tcPr>
            <w:tcW w:w="578" w:type="pct"/>
            <w:tcBorders>
              <w:top w:val="nil"/>
              <w:bottom w:val="nil"/>
            </w:tcBorders>
            <w:shd w:val="clear" w:color="auto" w:fill="FFFFFF" w:themeFill="background1"/>
            <w:noWrap/>
          </w:tcPr>
          <w:p w14:paraId="0EA16BE7"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1,4</w:t>
            </w:r>
          </w:p>
        </w:tc>
      </w:tr>
      <w:tr w:rsidR="00ED5386" w:rsidRPr="00F27A03" w14:paraId="73414345"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7FFA19C1"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2019</w:t>
            </w:r>
          </w:p>
          <w:p w14:paraId="38BB0836"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p>
        </w:tc>
        <w:tc>
          <w:tcPr>
            <w:tcW w:w="578" w:type="pct"/>
            <w:tcBorders>
              <w:top w:val="nil"/>
              <w:bottom w:val="nil"/>
            </w:tcBorders>
            <w:shd w:val="clear" w:color="auto" w:fill="FFFFFF" w:themeFill="background1"/>
          </w:tcPr>
          <w:p w14:paraId="7A36C64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1,9</w:t>
            </w:r>
          </w:p>
        </w:tc>
        <w:tc>
          <w:tcPr>
            <w:tcW w:w="578" w:type="pct"/>
            <w:tcBorders>
              <w:top w:val="nil"/>
              <w:bottom w:val="nil"/>
            </w:tcBorders>
            <w:shd w:val="clear" w:color="auto" w:fill="FFFFFF" w:themeFill="background1"/>
          </w:tcPr>
          <w:p w14:paraId="22615049"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-0,2</w:t>
            </w:r>
          </w:p>
        </w:tc>
        <w:tc>
          <w:tcPr>
            <w:tcW w:w="578" w:type="pct"/>
            <w:tcBorders>
              <w:top w:val="nil"/>
              <w:bottom w:val="nil"/>
            </w:tcBorders>
            <w:shd w:val="clear" w:color="auto" w:fill="FFFFFF" w:themeFill="background1"/>
          </w:tcPr>
          <w:p w14:paraId="0A51C6E1"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1,8</w:t>
            </w:r>
          </w:p>
        </w:tc>
        <w:tc>
          <w:tcPr>
            <w:tcW w:w="578" w:type="pct"/>
            <w:tcBorders>
              <w:top w:val="nil"/>
              <w:bottom w:val="nil"/>
            </w:tcBorders>
            <w:shd w:val="clear" w:color="auto" w:fill="FFFFFF" w:themeFill="background1"/>
          </w:tcPr>
          <w:p w14:paraId="7E476EB7"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-0,9</w:t>
            </w:r>
          </w:p>
        </w:tc>
        <w:tc>
          <w:tcPr>
            <w:tcW w:w="578" w:type="pct"/>
            <w:tcBorders>
              <w:top w:val="nil"/>
              <w:bottom w:val="nil"/>
            </w:tcBorders>
            <w:shd w:val="clear" w:color="auto" w:fill="FFFFFF" w:themeFill="background1"/>
          </w:tcPr>
          <w:p w14:paraId="156F5F8A"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1,1</w:t>
            </w:r>
          </w:p>
        </w:tc>
        <w:tc>
          <w:tcPr>
            <w:tcW w:w="578" w:type="pct"/>
            <w:tcBorders>
              <w:top w:val="nil"/>
              <w:bottom w:val="nil"/>
            </w:tcBorders>
            <w:shd w:val="clear" w:color="auto" w:fill="FFFFFF" w:themeFill="background1"/>
          </w:tcPr>
          <w:p w14:paraId="6CB0EAC0"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-1,0</w:t>
            </w:r>
          </w:p>
        </w:tc>
        <w:tc>
          <w:tcPr>
            <w:tcW w:w="578" w:type="pct"/>
            <w:tcBorders>
              <w:top w:val="nil"/>
              <w:bottom w:val="nil"/>
            </w:tcBorders>
            <w:shd w:val="clear" w:color="auto" w:fill="FFFFFF" w:themeFill="background1"/>
            <w:noWrap/>
          </w:tcPr>
          <w:p w14:paraId="5A2ABBBD"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0,9</w:t>
            </w:r>
          </w:p>
        </w:tc>
        <w:tc>
          <w:tcPr>
            <w:tcW w:w="578" w:type="pct"/>
            <w:tcBorders>
              <w:top w:val="nil"/>
              <w:bottom w:val="nil"/>
            </w:tcBorders>
            <w:shd w:val="clear" w:color="auto" w:fill="FFFFFF" w:themeFill="background1"/>
            <w:noWrap/>
          </w:tcPr>
          <w:p w14:paraId="34712265"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1,3</w:t>
            </w:r>
          </w:p>
        </w:tc>
      </w:tr>
      <w:tr w:rsidR="00ED5386" w:rsidRPr="00F27A03" w14:paraId="4D0D67D8"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29BEB251"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2020</w:t>
            </w:r>
          </w:p>
          <w:p w14:paraId="13CB97D5"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2021</w:t>
            </w:r>
          </w:p>
          <w:p w14:paraId="048C8805"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2021</w:t>
            </w:r>
          </w:p>
          <w:p w14:paraId="1E4ADFCA"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202</w:t>
            </w:r>
          </w:p>
        </w:tc>
        <w:tc>
          <w:tcPr>
            <w:tcW w:w="578" w:type="pct"/>
            <w:tcBorders>
              <w:top w:val="nil"/>
              <w:bottom w:val="nil"/>
            </w:tcBorders>
            <w:shd w:val="clear" w:color="auto" w:fill="FFFFFF" w:themeFill="background1"/>
          </w:tcPr>
          <w:p w14:paraId="39781629"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-2,4</w:t>
            </w:r>
          </w:p>
        </w:tc>
        <w:tc>
          <w:tcPr>
            <w:tcW w:w="578" w:type="pct"/>
            <w:tcBorders>
              <w:top w:val="nil"/>
              <w:bottom w:val="nil"/>
            </w:tcBorders>
            <w:shd w:val="clear" w:color="auto" w:fill="FFFFFF" w:themeFill="background1"/>
          </w:tcPr>
          <w:p w14:paraId="4EF6EB33"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-8,0</w:t>
            </w:r>
          </w:p>
        </w:tc>
        <w:tc>
          <w:tcPr>
            <w:tcW w:w="578" w:type="pct"/>
            <w:tcBorders>
              <w:top w:val="nil"/>
              <w:bottom w:val="nil"/>
            </w:tcBorders>
            <w:shd w:val="clear" w:color="auto" w:fill="FFFFFF" w:themeFill="background1"/>
          </w:tcPr>
          <w:p w14:paraId="71A9E83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-6,0</w:t>
            </w:r>
          </w:p>
        </w:tc>
        <w:tc>
          <w:tcPr>
            <w:tcW w:w="578" w:type="pct"/>
            <w:tcBorders>
              <w:top w:val="nil"/>
              <w:bottom w:val="nil"/>
            </w:tcBorders>
            <w:shd w:val="clear" w:color="auto" w:fill="FFFFFF" w:themeFill="background1"/>
          </w:tcPr>
          <w:p w14:paraId="1E3EFE12"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-7,2</w:t>
            </w:r>
          </w:p>
        </w:tc>
        <w:tc>
          <w:tcPr>
            <w:tcW w:w="578" w:type="pct"/>
            <w:tcBorders>
              <w:top w:val="nil"/>
              <w:bottom w:val="nil"/>
            </w:tcBorders>
            <w:shd w:val="clear" w:color="auto" w:fill="FFFFFF" w:themeFill="background1"/>
          </w:tcPr>
          <w:p w14:paraId="71A5BBE6"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-5,2</w:t>
            </w:r>
          </w:p>
        </w:tc>
        <w:tc>
          <w:tcPr>
            <w:tcW w:w="578" w:type="pct"/>
            <w:tcBorders>
              <w:top w:val="nil"/>
              <w:bottom w:val="nil"/>
            </w:tcBorders>
            <w:shd w:val="clear" w:color="auto" w:fill="FFFFFF" w:themeFill="background1"/>
          </w:tcPr>
          <w:p w14:paraId="7E264BB4"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-0,2</w:t>
            </w:r>
          </w:p>
        </w:tc>
        <w:tc>
          <w:tcPr>
            <w:tcW w:w="578" w:type="pct"/>
            <w:tcBorders>
              <w:top w:val="nil"/>
              <w:bottom w:val="nil"/>
            </w:tcBorders>
            <w:shd w:val="clear" w:color="auto" w:fill="FFFFFF" w:themeFill="background1"/>
            <w:noWrap/>
          </w:tcPr>
          <w:p w14:paraId="1E3340FD"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1,8</w:t>
            </w:r>
          </w:p>
        </w:tc>
        <w:tc>
          <w:tcPr>
            <w:tcW w:w="578" w:type="pct"/>
            <w:tcBorders>
              <w:top w:val="nil"/>
              <w:bottom w:val="nil"/>
            </w:tcBorders>
            <w:shd w:val="clear" w:color="auto" w:fill="FFFFFF" w:themeFill="background1"/>
            <w:noWrap/>
          </w:tcPr>
          <w:p w14:paraId="2F50E27B"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6,3</w:t>
            </w:r>
          </w:p>
        </w:tc>
      </w:tr>
      <w:tr w:rsidR="00ED5386" w:rsidRPr="00F27A03" w14:paraId="4F88558A"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1655972C"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2021</w:t>
            </w:r>
          </w:p>
        </w:tc>
        <w:tc>
          <w:tcPr>
            <w:tcW w:w="578" w:type="pct"/>
            <w:tcBorders>
              <w:top w:val="nil"/>
              <w:bottom w:val="nil"/>
            </w:tcBorders>
            <w:shd w:val="clear" w:color="auto" w:fill="FFFFFF" w:themeFill="background1"/>
          </w:tcPr>
          <w:p w14:paraId="6C953452"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1,3</w:t>
            </w:r>
          </w:p>
        </w:tc>
        <w:tc>
          <w:tcPr>
            <w:tcW w:w="578" w:type="pct"/>
            <w:tcBorders>
              <w:top w:val="nil"/>
              <w:bottom w:val="nil"/>
            </w:tcBorders>
            <w:shd w:val="clear" w:color="auto" w:fill="FFFFFF" w:themeFill="background1"/>
          </w:tcPr>
          <w:p w14:paraId="3305169D"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-4,1</w:t>
            </w:r>
          </w:p>
        </w:tc>
        <w:tc>
          <w:tcPr>
            <w:tcW w:w="578" w:type="pct"/>
            <w:tcBorders>
              <w:top w:val="nil"/>
              <w:bottom w:val="nil"/>
            </w:tcBorders>
            <w:shd w:val="clear" w:color="auto" w:fill="FFFFFF" w:themeFill="background1"/>
          </w:tcPr>
          <w:p w14:paraId="6541635E"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-2,4</w:t>
            </w:r>
          </w:p>
        </w:tc>
        <w:tc>
          <w:tcPr>
            <w:tcW w:w="578" w:type="pct"/>
            <w:tcBorders>
              <w:top w:val="nil"/>
              <w:bottom w:val="nil"/>
            </w:tcBorders>
            <w:shd w:val="clear" w:color="auto" w:fill="FFFFFF" w:themeFill="background1"/>
          </w:tcPr>
          <w:p w14:paraId="188E014A"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-4,6</w:t>
            </w:r>
          </w:p>
        </w:tc>
        <w:tc>
          <w:tcPr>
            <w:tcW w:w="578" w:type="pct"/>
            <w:tcBorders>
              <w:top w:val="nil"/>
              <w:bottom w:val="nil"/>
            </w:tcBorders>
            <w:shd w:val="clear" w:color="auto" w:fill="FFFFFF" w:themeFill="background1"/>
          </w:tcPr>
          <w:p w14:paraId="1AD43C31"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-2,8</w:t>
            </w:r>
          </w:p>
        </w:tc>
        <w:tc>
          <w:tcPr>
            <w:tcW w:w="578" w:type="pct"/>
            <w:tcBorders>
              <w:top w:val="nil"/>
              <w:bottom w:val="nil"/>
            </w:tcBorders>
            <w:shd w:val="clear" w:color="auto" w:fill="FFFFFF" w:themeFill="background1"/>
          </w:tcPr>
          <w:p w14:paraId="5B15E224"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-0,5</w:t>
            </w:r>
          </w:p>
        </w:tc>
        <w:tc>
          <w:tcPr>
            <w:tcW w:w="578" w:type="pct"/>
            <w:tcBorders>
              <w:top w:val="nil"/>
              <w:bottom w:val="nil"/>
            </w:tcBorders>
            <w:shd w:val="clear" w:color="auto" w:fill="FFFFFF" w:themeFill="background1"/>
            <w:noWrap/>
          </w:tcPr>
          <w:p w14:paraId="71915DB6"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1,3</w:t>
            </w:r>
          </w:p>
        </w:tc>
        <w:tc>
          <w:tcPr>
            <w:tcW w:w="578" w:type="pct"/>
            <w:tcBorders>
              <w:top w:val="nil"/>
              <w:bottom w:val="nil"/>
            </w:tcBorders>
            <w:shd w:val="clear" w:color="auto" w:fill="FFFFFF" w:themeFill="background1"/>
            <w:noWrap/>
          </w:tcPr>
          <w:p w14:paraId="70C4F8C3"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-2,4</w:t>
            </w:r>
          </w:p>
        </w:tc>
      </w:tr>
      <w:tr w:rsidR="00ED5386" w:rsidRPr="00F27A03" w14:paraId="2E47B28D"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3C465CFC"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2022</w:t>
            </w:r>
          </w:p>
        </w:tc>
        <w:tc>
          <w:tcPr>
            <w:tcW w:w="578" w:type="pct"/>
            <w:tcBorders>
              <w:top w:val="nil"/>
              <w:bottom w:val="nil"/>
            </w:tcBorders>
            <w:shd w:val="clear" w:color="auto" w:fill="FFFFFF" w:themeFill="background1"/>
          </w:tcPr>
          <w:p w14:paraId="7269FED1"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0,7</w:t>
            </w:r>
          </w:p>
        </w:tc>
        <w:tc>
          <w:tcPr>
            <w:tcW w:w="578" w:type="pct"/>
            <w:tcBorders>
              <w:top w:val="nil"/>
              <w:bottom w:val="nil"/>
            </w:tcBorders>
            <w:shd w:val="clear" w:color="auto" w:fill="FFFFFF" w:themeFill="background1"/>
          </w:tcPr>
          <w:p w14:paraId="67619EDF"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-3,8</w:t>
            </w:r>
          </w:p>
        </w:tc>
        <w:tc>
          <w:tcPr>
            <w:tcW w:w="578" w:type="pct"/>
            <w:tcBorders>
              <w:top w:val="nil"/>
              <w:bottom w:val="nil"/>
            </w:tcBorders>
            <w:shd w:val="clear" w:color="auto" w:fill="FFFFFF" w:themeFill="background1"/>
          </w:tcPr>
          <w:p w14:paraId="2718B019"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-2,2</w:t>
            </w:r>
          </w:p>
        </w:tc>
        <w:tc>
          <w:tcPr>
            <w:tcW w:w="578" w:type="pct"/>
            <w:tcBorders>
              <w:top w:val="nil"/>
              <w:bottom w:val="nil"/>
            </w:tcBorders>
            <w:shd w:val="clear" w:color="auto" w:fill="FFFFFF" w:themeFill="background1"/>
          </w:tcPr>
          <w:p w14:paraId="792875D0"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-4,1</w:t>
            </w:r>
          </w:p>
        </w:tc>
        <w:tc>
          <w:tcPr>
            <w:tcW w:w="578" w:type="pct"/>
            <w:tcBorders>
              <w:top w:val="nil"/>
              <w:bottom w:val="nil"/>
            </w:tcBorders>
            <w:shd w:val="clear" w:color="auto" w:fill="FFFFFF" w:themeFill="background1"/>
          </w:tcPr>
          <w:p w14:paraId="203C9863"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-2,4</w:t>
            </w:r>
          </w:p>
        </w:tc>
        <w:tc>
          <w:tcPr>
            <w:tcW w:w="578" w:type="pct"/>
            <w:tcBorders>
              <w:top w:val="nil"/>
              <w:bottom w:val="nil"/>
            </w:tcBorders>
            <w:shd w:val="clear" w:color="auto" w:fill="FFFFFF" w:themeFill="background1"/>
          </w:tcPr>
          <w:p w14:paraId="4FAED020"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-1,1</w:t>
            </w:r>
          </w:p>
        </w:tc>
        <w:tc>
          <w:tcPr>
            <w:tcW w:w="578" w:type="pct"/>
            <w:tcBorders>
              <w:top w:val="nil"/>
              <w:bottom w:val="nil"/>
            </w:tcBorders>
            <w:shd w:val="clear" w:color="auto" w:fill="FFFFFF" w:themeFill="background1"/>
            <w:noWrap/>
          </w:tcPr>
          <w:p w14:paraId="00734461"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0,5</w:t>
            </w:r>
          </w:p>
        </w:tc>
        <w:tc>
          <w:tcPr>
            <w:tcW w:w="578" w:type="pct"/>
            <w:tcBorders>
              <w:top w:val="nil"/>
              <w:bottom w:val="nil"/>
            </w:tcBorders>
            <w:shd w:val="clear" w:color="auto" w:fill="FFFFFF" w:themeFill="background1"/>
            <w:noWrap/>
          </w:tcPr>
          <w:p w14:paraId="6112EE2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-0,4</w:t>
            </w:r>
          </w:p>
        </w:tc>
      </w:tr>
      <w:tr w:rsidR="00ED5386" w:rsidRPr="00F27A03" w14:paraId="2237AAC1"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0F99A2BE"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2023</w:t>
            </w:r>
          </w:p>
        </w:tc>
        <w:tc>
          <w:tcPr>
            <w:tcW w:w="578" w:type="pct"/>
            <w:tcBorders>
              <w:top w:val="nil"/>
              <w:bottom w:val="nil"/>
            </w:tcBorders>
            <w:shd w:val="clear" w:color="auto" w:fill="FFFFFF" w:themeFill="background1"/>
          </w:tcPr>
          <w:p w14:paraId="14050C7F"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-0,3</w:t>
            </w:r>
          </w:p>
        </w:tc>
        <w:tc>
          <w:tcPr>
            <w:tcW w:w="578" w:type="pct"/>
            <w:tcBorders>
              <w:top w:val="nil"/>
              <w:bottom w:val="nil"/>
            </w:tcBorders>
            <w:shd w:val="clear" w:color="auto" w:fill="FFFFFF" w:themeFill="background1"/>
          </w:tcPr>
          <w:p w14:paraId="20BD23D4"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-3,3</w:t>
            </w:r>
          </w:p>
        </w:tc>
        <w:tc>
          <w:tcPr>
            <w:tcW w:w="578" w:type="pct"/>
            <w:tcBorders>
              <w:top w:val="nil"/>
              <w:bottom w:val="nil"/>
            </w:tcBorders>
            <w:shd w:val="clear" w:color="auto" w:fill="FFFFFF" w:themeFill="background1"/>
          </w:tcPr>
          <w:p w14:paraId="13143EA1"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-1,5</w:t>
            </w:r>
          </w:p>
        </w:tc>
        <w:tc>
          <w:tcPr>
            <w:tcW w:w="578" w:type="pct"/>
            <w:tcBorders>
              <w:top w:val="nil"/>
              <w:bottom w:val="nil"/>
            </w:tcBorders>
            <w:shd w:val="clear" w:color="auto" w:fill="FFFFFF" w:themeFill="background1"/>
          </w:tcPr>
          <w:p w14:paraId="0AB36C53"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-3,2</w:t>
            </w:r>
          </w:p>
        </w:tc>
        <w:tc>
          <w:tcPr>
            <w:tcW w:w="578" w:type="pct"/>
            <w:tcBorders>
              <w:top w:val="nil"/>
              <w:bottom w:val="nil"/>
            </w:tcBorders>
            <w:shd w:val="clear" w:color="auto" w:fill="FFFFFF" w:themeFill="background1"/>
          </w:tcPr>
          <w:p w14:paraId="204F6AB8"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-1,4</w:t>
            </w:r>
          </w:p>
        </w:tc>
        <w:tc>
          <w:tcPr>
            <w:tcW w:w="578" w:type="pct"/>
            <w:tcBorders>
              <w:top w:val="nil"/>
              <w:bottom w:val="nil"/>
            </w:tcBorders>
            <w:shd w:val="clear" w:color="auto" w:fill="FFFFFF" w:themeFill="background1"/>
          </w:tcPr>
          <w:p w14:paraId="21BDE206"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-1,6</w:t>
            </w:r>
          </w:p>
        </w:tc>
        <w:tc>
          <w:tcPr>
            <w:tcW w:w="578" w:type="pct"/>
            <w:tcBorders>
              <w:top w:val="nil"/>
              <w:bottom w:val="nil"/>
            </w:tcBorders>
            <w:shd w:val="clear" w:color="auto" w:fill="FFFFFF" w:themeFill="background1"/>
            <w:noWrap/>
          </w:tcPr>
          <w:p w14:paraId="0C94B71B"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0,2</w:t>
            </w:r>
          </w:p>
        </w:tc>
        <w:tc>
          <w:tcPr>
            <w:tcW w:w="578" w:type="pct"/>
            <w:tcBorders>
              <w:top w:val="nil"/>
              <w:bottom w:val="nil"/>
            </w:tcBorders>
            <w:shd w:val="clear" w:color="auto" w:fill="FFFFFF" w:themeFill="background1"/>
            <w:noWrap/>
          </w:tcPr>
          <w:p w14:paraId="40413FC1"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-1,0</w:t>
            </w:r>
          </w:p>
        </w:tc>
      </w:tr>
      <w:tr w:rsidR="00ED5386" w:rsidRPr="00F27A03" w14:paraId="61CCD86A" w14:textId="77777777" w:rsidTr="00ED5386">
        <w:trPr>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4C9E6735" w14:textId="77777777" w:rsidR="00ED5386" w:rsidRPr="00F27A03" w:rsidRDefault="00ED5386" w:rsidP="00ED5386">
            <w:pPr>
              <w:shd w:val="clear" w:color="auto" w:fill="FFFFFF" w:themeFill="background1"/>
              <w:spacing w:line="276" w:lineRule="auto"/>
              <w:jc w:val="left"/>
              <w:rPr>
                <w:rFonts w:ascii="Calibri" w:hAnsi="Calibri" w:cs="Calibri"/>
                <w:color w:val="002060"/>
                <w:sz w:val="16"/>
                <w:szCs w:val="16"/>
                <w:lang w:val="sr-Cyrl-CS"/>
              </w:rPr>
            </w:pPr>
            <w:r w:rsidRPr="00F27A03">
              <w:rPr>
                <w:rFonts w:ascii="Calibri" w:hAnsi="Calibri" w:cs="Calibri"/>
                <w:b w:val="0"/>
                <w:color w:val="002060"/>
                <w:sz w:val="16"/>
                <w:szCs w:val="16"/>
                <w:lang w:val="sr-Cyrl-CS"/>
              </w:rPr>
              <w:t>2024</w:t>
            </w:r>
          </w:p>
        </w:tc>
        <w:tc>
          <w:tcPr>
            <w:tcW w:w="578" w:type="pct"/>
            <w:tcBorders>
              <w:top w:val="nil"/>
              <w:bottom w:val="nil"/>
            </w:tcBorders>
            <w:shd w:val="clear" w:color="auto" w:fill="FFFFFF" w:themeFill="background1"/>
          </w:tcPr>
          <w:p w14:paraId="73EA45D3"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-0,4</w:t>
            </w:r>
          </w:p>
        </w:tc>
        <w:tc>
          <w:tcPr>
            <w:tcW w:w="578" w:type="pct"/>
            <w:tcBorders>
              <w:top w:val="nil"/>
              <w:bottom w:val="nil"/>
            </w:tcBorders>
            <w:shd w:val="clear" w:color="auto" w:fill="FFFFFF" w:themeFill="background1"/>
          </w:tcPr>
          <w:p w14:paraId="7D85AD3B"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-2,2</w:t>
            </w:r>
          </w:p>
        </w:tc>
        <w:tc>
          <w:tcPr>
            <w:tcW w:w="578" w:type="pct"/>
            <w:tcBorders>
              <w:top w:val="nil"/>
              <w:bottom w:val="nil"/>
            </w:tcBorders>
            <w:shd w:val="clear" w:color="auto" w:fill="FFFFFF" w:themeFill="background1"/>
          </w:tcPr>
          <w:p w14:paraId="0C539AC3"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-0,1</w:t>
            </w:r>
          </w:p>
        </w:tc>
        <w:tc>
          <w:tcPr>
            <w:tcW w:w="578" w:type="pct"/>
            <w:tcBorders>
              <w:top w:val="nil"/>
              <w:bottom w:val="nil"/>
            </w:tcBorders>
            <w:shd w:val="clear" w:color="auto" w:fill="FFFFFF" w:themeFill="background1"/>
          </w:tcPr>
          <w:p w14:paraId="7E64D4B9"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-2,0</w:t>
            </w:r>
          </w:p>
        </w:tc>
        <w:tc>
          <w:tcPr>
            <w:tcW w:w="578" w:type="pct"/>
            <w:tcBorders>
              <w:top w:val="nil"/>
              <w:bottom w:val="nil"/>
            </w:tcBorders>
            <w:shd w:val="clear" w:color="auto" w:fill="FFFFFF" w:themeFill="background1"/>
          </w:tcPr>
          <w:p w14:paraId="7D41ABA6"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0,0</w:t>
            </w:r>
          </w:p>
        </w:tc>
        <w:tc>
          <w:tcPr>
            <w:tcW w:w="578" w:type="pct"/>
            <w:tcBorders>
              <w:top w:val="nil"/>
              <w:bottom w:val="nil"/>
            </w:tcBorders>
            <w:shd w:val="clear" w:color="auto" w:fill="FFFFFF" w:themeFill="background1"/>
          </w:tcPr>
          <w:p w14:paraId="5B62F59D"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-2,0</w:t>
            </w:r>
          </w:p>
        </w:tc>
        <w:tc>
          <w:tcPr>
            <w:tcW w:w="578" w:type="pct"/>
            <w:tcBorders>
              <w:top w:val="nil"/>
              <w:bottom w:val="nil"/>
            </w:tcBorders>
            <w:shd w:val="clear" w:color="auto" w:fill="FFFFFF" w:themeFill="background1"/>
            <w:noWrap/>
          </w:tcPr>
          <w:p w14:paraId="7E75810A"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0,0</w:t>
            </w:r>
          </w:p>
        </w:tc>
        <w:tc>
          <w:tcPr>
            <w:tcW w:w="578" w:type="pct"/>
            <w:tcBorders>
              <w:top w:val="nil"/>
              <w:bottom w:val="nil"/>
            </w:tcBorders>
            <w:shd w:val="clear" w:color="auto" w:fill="FFFFFF" w:themeFill="background1"/>
            <w:noWrap/>
          </w:tcPr>
          <w:p w14:paraId="7CE46A3E" w14:textId="77777777" w:rsidR="00ED5386" w:rsidRPr="00F27A03" w:rsidRDefault="00ED5386" w:rsidP="00ED5386">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-1,4</w:t>
            </w:r>
          </w:p>
        </w:tc>
      </w:tr>
      <w:tr w:rsidR="00ED5386" w:rsidRPr="00F27A03" w14:paraId="2D9938D4" w14:textId="77777777" w:rsidTr="00ED5386">
        <w:trPr>
          <w:cnfStyle w:val="000000100000" w:firstRow="0" w:lastRow="0" w:firstColumn="0" w:lastColumn="0" w:oddVBand="0" w:evenVBand="0" w:oddHBand="1" w:evenHBand="0" w:firstRowFirstColumn="0" w:firstRowLastColumn="0" w:lastRowFirstColumn="0" w:lastRowLastColumn="0"/>
          <w:trHeight w:hRule="exact" w:val="230"/>
        </w:trPr>
        <w:tc>
          <w:tcPr>
            <w:cnfStyle w:val="001000000000" w:firstRow="0" w:lastRow="0" w:firstColumn="1" w:lastColumn="0" w:oddVBand="0" w:evenVBand="0" w:oddHBand="0" w:evenHBand="0" w:firstRowFirstColumn="0" w:firstRowLastColumn="0" w:lastRowFirstColumn="0" w:lastRowLastColumn="0"/>
            <w:tcW w:w="376" w:type="pct"/>
            <w:tcBorders>
              <w:top w:val="nil"/>
              <w:bottom w:val="single" w:sz="4" w:space="0" w:color="002060"/>
            </w:tcBorders>
            <w:shd w:val="clear" w:color="auto" w:fill="FFFFFF" w:themeFill="background1"/>
            <w:noWrap/>
          </w:tcPr>
          <w:p w14:paraId="0A973925" w14:textId="77777777" w:rsidR="00ED5386" w:rsidRPr="00F27A03" w:rsidRDefault="00ED5386" w:rsidP="00ED5386">
            <w:pPr>
              <w:shd w:val="clear" w:color="auto" w:fill="FFFFFF" w:themeFill="background1"/>
              <w:spacing w:line="276" w:lineRule="auto"/>
              <w:jc w:val="left"/>
              <w:rPr>
                <w:rFonts w:ascii="Calibri" w:hAnsi="Calibri" w:cs="Calibri"/>
                <w:b w:val="0"/>
                <w:color w:val="002060"/>
                <w:sz w:val="16"/>
                <w:szCs w:val="16"/>
                <w:lang w:val="sr-Cyrl-CS"/>
              </w:rPr>
            </w:pPr>
            <w:r w:rsidRPr="00F27A03">
              <w:rPr>
                <w:rFonts w:ascii="Calibri" w:hAnsi="Calibri" w:cs="Calibri"/>
                <w:b w:val="0"/>
                <w:color w:val="002060"/>
                <w:sz w:val="16"/>
                <w:szCs w:val="16"/>
                <w:lang w:val="sr-Cyrl-CS"/>
              </w:rPr>
              <w:t>2025</w:t>
            </w:r>
          </w:p>
          <w:p w14:paraId="667803BA" w14:textId="77777777" w:rsidR="00ED5386" w:rsidRPr="00F27A03" w:rsidRDefault="00ED5386" w:rsidP="00ED5386">
            <w:pPr>
              <w:shd w:val="clear" w:color="auto" w:fill="FFFFFF" w:themeFill="background1"/>
              <w:spacing w:line="276" w:lineRule="auto"/>
              <w:jc w:val="left"/>
              <w:rPr>
                <w:rFonts w:ascii="Calibri" w:hAnsi="Calibri" w:cs="Calibri"/>
                <w:color w:val="002060"/>
                <w:sz w:val="16"/>
                <w:szCs w:val="16"/>
                <w:lang w:val="sr-Cyrl-CS"/>
              </w:rPr>
            </w:pPr>
          </w:p>
        </w:tc>
        <w:tc>
          <w:tcPr>
            <w:tcW w:w="578" w:type="pct"/>
            <w:tcBorders>
              <w:top w:val="nil"/>
              <w:bottom w:val="single" w:sz="4" w:space="0" w:color="002060"/>
            </w:tcBorders>
            <w:shd w:val="clear" w:color="auto" w:fill="FFFFFF" w:themeFill="background1"/>
          </w:tcPr>
          <w:p w14:paraId="2533D4C2"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-0,2</w:t>
            </w:r>
          </w:p>
        </w:tc>
        <w:tc>
          <w:tcPr>
            <w:tcW w:w="578" w:type="pct"/>
            <w:tcBorders>
              <w:top w:val="nil"/>
              <w:bottom w:val="single" w:sz="4" w:space="0" w:color="002060"/>
            </w:tcBorders>
            <w:shd w:val="clear" w:color="auto" w:fill="FFFFFF" w:themeFill="background1"/>
          </w:tcPr>
          <w:p w14:paraId="5075D651"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-1,4</w:t>
            </w:r>
          </w:p>
        </w:tc>
        <w:tc>
          <w:tcPr>
            <w:tcW w:w="578" w:type="pct"/>
            <w:tcBorders>
              <w:top w:val="nil"/>
              <w:bottom w:val="single" w:sz="4" w:space="0" w:color="002060"/>
            </w:tcBorders>
            <w:shd w:val="clear" w:color="auto" w:fill="FFFFFF" w:themeFill="background1"/>
          </w:tcPr>
          <w:p w14:paraId="53ABB1F9"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0,5</w:t>
            </w:r>
          </w:p>
        </w:tc>
        <w:tc>
          <w:tcPr>
            <w:tcW w:w="578" w:type="pct"/>
            <w:tcBorders>
              <w:top w:val="nil"/>
              <w:bottom w:val="single" w:sz="4" w:space="0" w:color="002060"/>
            </w:tcBorders>
            <w:shd w:val="clear" w:color="auto" w:fill="FFFFFF" w:themeFill="background1"/>
          </w:tcPr>
          <w:p w14:paraId="7CD78168"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-1,3</w:t>
            </w:r>
          </w:p>
        </w:tc>
        <w:tc>
          <w:tcPr>
            <w:tcW w:w="578" w:type="pct"/>
            <w:tcBorders>
              <w:top w:val="nil"/>
              <w:bottom w:val="single" w:sz="4" w:space="0" w:color="002060"/>
            </w:tcBorders>
            <w:shd w:val="clear" w:color="auto" w:fill="FFFFFF" w:themeFill="background1"/>
          </w:tcPr>
          <w:p w14:paraId="728C7ED2"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0,6</w:t>
            </w:r>
          </w:p>
        </w:tc>
        <w:tc>
          <w:tcPr>
            <w:tcW w:w="578" w:type="pct"/>
            <w:tcBorders>
              <w:top w:val="nil"/>
              <w:bottom w:val="single" w:sz="4" w:space="0" w:color="002060"/>
            </w:tcBorders>
            <w:shd w:val="clear" w:color="auto" w:fill="FFFFFF" w:themeFill="background1"/>
          </w:tcPr>
          <w:p w14:paraId="12EA2ADD"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-1,3</w:t>
            </w:r>
          </w:p>
        </w:tc>
        <w:tc>
          <w:tcPr>
            <w:tcW w:w="578" w:type="pct"/>
            <w:tcBorders>
              <w:top w:val="nil"/>
              <w:bottom w:val="single" w:sz="4" w:space="0" w:color="002060"/>
            </w:tcBorders>
            <w:shd w:val="clear" w:color="auto" w:fill="FFFFFF" w:themeFill="background1"/>
            <w:noWrap/>
          </w:tcPr>
          <w:p w14:paraId="3C7B1B67"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0,6</w:t>
            </w:r>
          </w:p>
        </w:tc>
        <w:tc>
          <w:tcPr>
            <w:tcW w:w="578" w:type="pct"/>
            <w:tcBorders>
              <w:top w:val="nil"/>
              <w:bottom w:val="single" w:sz="4" w:space="0" w:color="002060"/>
            </w:tcBorders>
            <w:shd w:val="clear" w:color="auto" w:fill="FFFFFF" w:themeFill="background1"/>
            <w:noWrap/>
          </w:tcPr>
          <w:p w14:paraId="59D72452" w14:textId="77777777" w:rsidR="00ED5386" w:rsidRPr="00F27A03" w:rsidRDefault="00ED5386" w:rsidP="00ED5386">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27A03">
              <w:rPr>
                <w:rFonts w:asciiTheme="minorHAnsi" w:hAnsiTheme="minorHAnsi" w:cstheme="minorHAnsi"/>
                <w:color w:val="002060"/>
                <w:sz w:val="16"/>
                <w:szCs w:val="16"/>
                <w:lang w:val="sr-Cyrl-CS"/>
              </w:rPr>
              <w:t>-0,6</w:t>
            </w:r>
          </w:p>
        </w:tc>
      </w:tr>
    </w:tbl>
    <w:p w14:paraId="6A25EB17" w14:textId="77777777" w:rsidR="00ED5386" w:rsidRPr="00F27A03" w:rsidRDefault="00ED5386" w:rsidP="00E124CF">
      <w:pPr>
        <w:shd w:val="clear" w:color="auto" w:fill="FFFFFF" w:themeFill="background1"/>
        <w:spacing w:before="40" w:after="0" w:line="276" w:lineRule="auto"/>
        <w:rPr>
          <w:rFonts w:ascii="Calibri" w:eastAsia="MS PGothic" w:hAnsi="Calibri" w:cs="Calibri"/>
          <w:sz w:val="16"/>
          <w:szCs w:val="16"/>
          <w:lang w:val="sr-Cyrl-CS" w:eastAsia="ja-JP"/>
        </w:rPr>
      </w:pPr>
      <w:r w:rsidRPr="00F27A03">
        <w:rPr>
          <w:rFonts w:ascii="Calibri" w:eastAsia="MS PGothic" w:hAnsi="Calibri" w:cs="Calibri"/>
          <w:bCs/>
          <w:sz w:val="16"/>
          <w:szCs w:val="16"/>
          <w:lang w:val="sr-Cyrl-CS" w:eastAsia="ja-JP"/>
        </w:rPr>
        <w:t xml:space="preserve">* </w:t>
      </w:r>
      <w:r w:rsidRPr="00F27A03">
        <w:rPr>
          <w:rFonts w:ascii="Calibri" w:eastAsia="MS PGothic" w:hAnsi="Calibri" w:cs="Calibri"/>
          <w:sz w:val="16"/>
          <w:szCs w:val="16"/>
          <w:lang w:val="sr-Cyrl-CS" w:eastAsia="ja-JP"/>
        </w:rPr>
        <w:t>За период 2022–2025. године приказане су пројектоване вредности.</w:t>
      </w:r>
    </w:p>
    <w:p w14:paraId="4BB8B589" w14:textId="77777777" w:rsidR="00ED5386" w:rsidRPr="00F27A03" w:rsidRDefault="00ED5386" w:rsidP="00ED5386">
      <w:pPr>
        <w:shd w:val="clear" w:color="auto" w:fill="FFFFFF" w:themeFill="background1"/>
        <w:spacing w:after="0" w:line="276" w:lineRule="auto"/>
        <w:rPr>
          <w:rFonts w:ascii="Calibri" w:eastAsia="MS PGothic" w:hAnsi="Calibri" w:cs="Calibri"/>
          <w:sz w:val="16"/>
          <w:szCs w:val="16"/>
          <w:lang w:val="sr-Cyrl-CS" w:eastAsia="ja-JP"/>
        </w:rPr>
      </w:pPr>
      <w:r w:rsidRPr="00F27A03">
        <w:rPr>
          <w:rFonts w:ascii="Calibri" w:eastAsia="MS PGothic" w:hAnsi="Calibri" w:cs="Calibri"/>
          <w:bCs/>
          <w:sz w:val="16"/>
          <w:szCs w:val="16"/>
          <w:lang w:val="sr-Cyrl-CS" w:eastAsia="ja-JP"/>
        </w:rPr>
        <w:t>** Структурни примарни биланс добијен је искључивањем процењених једнократних прихода и расхода</w:t>
      </w:r>
      <w:r w:rsidRPr="00F27A03">
        <w:rPr>
          <w:rFonts w:ascii="Calibri" w:eastAsia="MS PGothic" w:hAnsi="Calibri" w:cs="Calibri"/>
          <w:sz w:val="16"/>
          <w:szCs w:val="16"/>
          <w:lang w:val="sr-Cyrl-CS" w:eastAsia="ja-JP"/>
        </w:rPr>
        <w:t>. Резултати који приказују промену структурног примарног дефицита не искључују експлицитно ефекте повећања ефикасности наплате прихода, па се оцена структурног прилагођавања у 2015. и 2016. години делимично разликује од претходно приказаних ефеката.</w:t>
      </w:r>
    </w:p>
    <w:p w14:paraId="08191CFE" w14:textId="7585E11E" w:rsidR="00ED5386" w:rsidRPr="00F27A03" w:rsidRDefault="00ED5386" w:rsidP="00476BF8">
      <w:pPr>
        <w:spacing w:line="276" w:lineRule="auto"/>
        <w:rPr>
          <w:rFonts w:ascii="Calibri" w:eastAsia="Calibri" w:hAnsi="Calibri" w:cs="Calibri"/>
          <w:sz w:val="16"/>
          <w:szCs w:val="20"/>
          <w:lang w:val="sr-Cyrl-CS"/>
        </w:rPr>
      </w:pPr>
      <w:r w:rsidRPr="00F27A03">
        <w:rPr>
          <w:rFonts w:ascii="Calibri" w:eastAsia="Calibri" w:hAnsi="Calibri" w:cs="Calibri"/>
          <w:sz w:val="16"/>
          <w:szCs w:val="16"/>
          <w:lang w:val="sr-Cyrl-CS"/>
        </w:rPr>
        <w:t xml:space="preserve">Извор: </w:t>
      </w:r>
      <w:r w:rsidRPr="00F27A03">
        <w:rPr>
          <w:rFonts w:ascii="Calibri" w:eastAsia="Calibri" w:hAnsi="Calibri" w:cs="Calibri"/>
          <w:sz w:val="16"/>
          <w:szCs w:val="20"/>
          <w:lang w:val="sr-Cyrl-CS"/>
        </w:rPr>
        <w:t>Министарство финансија</w:t>
      </w:r>
    </w:p>
    <w:p w14:paraId="2C1A2792" w14:textId="77777777" w:rsidR="00ED5386" w:rsidRPr="00F27A03" w:rsidRDefault="00ED5386" w:rsidP="00476BF8">
      <w:pPr>
        <w:spacing w:line="276" w:lineRule="auto"/>
        <w:rPr>
          <w:rFonts w:ascii="Calibri" w:eastAsia="Calibri" w:hAnsi="Calibri" w:cs="Calibri"/>
          <w:sz w:val="16"/>
          <w:szCs w:val="16"/>
          <w:lang w:val="sr-Cyrl-CS"/>
        </w:rPr>
        <w:sectPr w:rsidR="00ED5386" w:rsidRPr="00F27A03" w:rsidSect="00ED5386">
          <w:type w:val="continuous"/>
          <w:pgSz w:w="12240" w:h="15840" w:code="1"/>
          <w:pgMar w:top="1417" w:right="1417" w:bottom="1417" w:left="1417" w:header="720" w:footer="720" w:gutter="0"/>
          <w:cols w:space="720"/>
        </w:sectPr>
      </w:pPr>
    </w:p>
    <w:p w14:paraId="00ED4972" w14:textId="77777777" w:rsidR="00ED5386" w:rsidRPr="00F27A03" w:rsidRDefault="00ED5386" w:rsidP="00BC2E7D">
      <w:pPr>
        <w:spacing w:after="0"/>
        <w:jc w:val="center"/>
        <w:rPr>
          <w:lang w:val="sr-Cyrl-CS" w:eastAsia="sr-Cyrl-RS"/>
        </w:rPr>
      </w:pPr>
      <w:r w:rsidRPr="00F27A03">
        <w:rPr>
          <w:rFonts w:cstheme="minorHAnsi"/>
          <w:b/>
          <w:color w:val="002060"/>
          <w:lang w:val="sr-Cyrl-CS"/>
        </w:rPr>
        <w:t>Производни јаз, циклично прилаг. и структурни фиск. биланс у периоду 2005–2025. год, % БДП*</w:t>
      </w:r>
    </w:p>
    <w:p w14:paraId="2A273B62" w14:textId="77777777" w:rsidR="00ED5386" w:rsidRPr="00F27A03" w:rsidRDefault="00ED5386" w:rsidP="00E124CF">
      <w:pPr>
        <w:spacing w:after="0"/>
        <w:jc w:val="left"/>
        <w:rPr>
          <w:lang w:val="sr-Cyrl-CS" w:eastAsia="sr-Cyrl-RS"/>
        </w:rPr>
      </w:pPr>
      <w:r w:rsidRPr="00F27A03">
        <w:rPr>
          <w:noProof/>
          <w:lang w:val="sr-Cyrl-RS" w:eastAsia="sr-Cyrl-RS"/>
        </w:rPr>
        <w:drawing>
          <wp:inline distT="0" distB="0" distL="0" distR="0" wp14:anchorId="2354FD5B" wp14:editId="37747C56">
            <wp:extent cx="2639833" cy="2118995"/>
            <wp:effectExtent l="0" t="0" r="8255" b="0"/>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E1DF572" w14:textId="77777777" w:rsidR="00ED5386" w:rsidRPr="00F27A03" w:rsidRDefault="00ED5386" w:rsidP="002F6B52">
      <w:pPr>
        <w:jc w:val="left"/>
        <w:rPr>
          <w:rFonts w:ascii="Calibri" w:eastAsia="MS PGothic" w:hAnsi="Calibri" w:cs="Calibri"/>
          <w:sz w:val="16"/>
          <w:szCs w:val="20"/>
          <w:lang w:val="sr-Cyrl-CS" w:eastAsia="ja-JP"/>
        </w:rPr>
      </w:pPr>
      <w:r w:rsidRPr="00F27A03">
        <w:rPr>
          <w:rFonts w:ascii="Calibri" w:eastAsia="MS PGothic" w:hAnsi="Calibri" w:cs="Calibri"/>
          <w:sz w:val="16"/>
          <w:szCs w:val="20"/>
          <w:lang w:val="sr-Cyrl-CS" w:eastAsia="ja-JP"/>
        </w:rPr>
        <w:t>* За период 2022–2025. године приказане су пројектоване вредности.</w:t>
      </w:r>
    </w:p>
    <w:p w14:paraId="1E5DE966" w14:textId="77777777" w:rsidR="00ED5386" w:rsidRPr="00F27A03" w:rsidRDefault="00ED5386" w:rsidP="00730036">
      <w:pPr>
        <w:spacing w:after="0"/>
        <w:jc w:val="center"/>
        <w:rPr>
          <w:lang w:val="sr-Cyrl-CS" w:eastAsia="sr-Cyrl-RS"/>
        </w:rPr>
      </w:pPr>
      <w:r w:rsidRPr="00F27A03">
        <w:rPr>
          <w:rFonts w:cstheme="minorHAnsi"/>
          <w:b/>
          <w:color w:val="002060"/>
          <w:lang w:val="sr-Cyrl-CS"/>
        </w:rPr>
        <w:t>Карактер и ефекти фискалне политике у периоду 2006–2025. године, % БДП*</w:t>
      </w:r>
    </w:p>
    <w:p w14:paraId="425032C6" w14:textId="77777777" w:rsidR="00BC2E7D" w:rsidRPr="00F27A03" w:rsidRDefault="00ED5386" w:rsidP="002F6B52">
      <w:pPr>
        <w:jc w:val="left"/>
        <w:rPr>
          <w:rFonts w:ascii="Calibri" w:eastAsia="MS PGothic" w:hAnsi="Calibri" w:cs="Calibri"/>
          <w:sz w:val="16"/>
          <w:szCs w:val="20"/>
          <w:lang w:val="sr-Cyrl-CS" w:eastAsia="ja-JP"/>
        </w:rPr>
      </w:pPr>
      <w:r w:rsidRPr="00F27A03">
        <w:rPr>
          <w:noProof/>
          <w:lang w:val="sr-Cyrl-RS" w:eastAsia="sr-Cyrl-RS"/>
        </w:rPr>
        <w:drawing>
          <wp:inline distT="0" distB="0" distL="0" distR="0" wp14:anchorId="1C677788" wp14:editId="7961658C">
            <wp:extent cx="2723322" cy="2011680"/>
            <wp:effectExtent l="0" t="0" r="1270" b="762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13CFBB16" w14:textId="0E1B2467" w:rsidR="00ED5386" w:rsidRPr="00F27A03" w:rsidRDefault="00ED5386" w:rsidP="002F6B52">
      <w:pPr>
        <w:jc w:val="left"/>
        <w:rPr>
          <w:rFonts w:ascii="Calibri" w:eastAsia="MS PGothic" w:hAnsi="Calibri" w:cs="Calibri"/>
          <w:sz w:val="16"/>
          <w:szCs w:val="20"/>
          <w:lang w:val="sr-Cyrl-CS" w:eastAsia="ja-JP"/>
        </w:rPr>
      </w:pPr>
      <w:r w:rsidRPr="00F27A03">
        <w:rPr>
          <w:rFonts w:ascii="Calibri" w:eastAsia="MS PGothic" w:hAnsi="Calibri" w:cs="Calibri"/>
          <w:sz w:val="16"/>
          <w:szCs w:val="20"/>
          <w:lang w:val="sr-Cyrl-CS" w:eastAsia="ja-JP"/>
        </w:rPr>
        <w:t>* За период 2022–2025. године приказане су пројектоване вредности.</w:t>
      </w:r>
    </w:p>
    <w:p w14:paraId="1898824D" w14:textId="77777777" w:rsidR="00476BF8" w:rsidRPr="00F27A03" w:rsidRDefault="00476BF8" w:rsidP="002F6B52">
      <w:pPr>
        <w:jc w:val="left"/>
        <w:rPr>
          <w:rFonts w:ascii="Calibri" w:eastAsia="MS PGothic" w:hAnsi="Calibri" w:cs="Calibri"/>
          <w:sz w:val="16"/>
          <w:szCs w:val="20"/>
          <w:lang w:val="sr-Cyrl-CS" w:eastAsia="ja-JP"/>
        </w:rPr>
        <w:sectPr w:rsidR="00476BF8" w:rsidRPr="00F27A03" w:rsidSect="00ED5386">
          <w:type w:val="continuous"/>
          <w:pgSz w:w="12240" w:h="15840" w:code="1"/>
          <w:pgMar w:top="1417" w:right="1417" w:bottom="1417" w:left="1417" w:header="720" w:footer="720" w:gutter="0"/>
          <w:cols w:num="2" w:space="720"/>
        </w:sectPr>
      </w:pPr>
    </w:p>
    <w:p w14:paraId="44C5D8E6" w14:textId="77777777" w:rsidR="00476BF8" w:rsidRPr="00F27A03" w:rsidRDefault="00476BF8" w:rsidP="00E124CF">
      <w:pPr>
        <w:spacing w:after="120"/>
        <w:rPr>
          <w:rFonts w:ascii="Calibri" w:eastAsia="Calibri" w:hAnsi="Calibri" w:cs="Calibri"/>
          <w:szCs w:val="20"/>
          <w:lang w:val="sr-Cyrl-CS"/>
        </w:rPr>
      </w:pPr>
    </w:p>
    <w:p w14:paraId="415C79B7" w14:textId="77777777" w:rsidR="00476BF8" w:rsidRPr="00F27A03" w:rsidRDefault="00476BF8" w:rsidP="00E124CF">
      <w:pPr>
        <w:spacing w:after="120"/>
        <w:rPr>
          <w:rFonts w:ascii="Calibri" w:eastAsia="Calibri" w:hAnsi="Calibri" w:cs="Calibri"/>
          <w:szCs w:val="20"/>
          <w:lang w:val="sr-Cyrl-CS"/>
        </w:rPr>
      </w:pPr>
    </w:p>
    <w:p w14:paraId="2348E3FB" w14:textId="476FC6E7" w:rsidR="00ED5386" w:rsidRPr="00F27A03" w:rsidRDefault="00ED5386" w:rsidP="00E124CF">
      <w:pPr>
        <w:spacing w:after="120"/>
        <w:rPr>
          <w:rFonts w:ascii="Calibri" w:eastAsia="Calibri" w:hAnsi="Calibri" w:cs="Calibri"/>
          <w:szCs w:val="20"/>
          <w:lang w:val="sr-Cyrl-CS"/>
        </w:rPr>
      </w:pPr>
      <w:r w:rsidRPr="00F27A03">
        <w:rPr>
          <w:rFonts w:ascii="Calibri" w:eastAsia="Calibri" w:hAnsi="Calibri" w:cs="Calibri"/>
          <w:szCs w:val="20"/>
          <w:lang w:val="sr-Cyrl-CS"/>
        </w:rPr>
        <w:lastRenderedPageBreak/>
        <w:t xml:space="preserve">Структурна фискална позиција земље није значајно нарушена у периоду између 2020. и 2022. године, због тога што су спроведене мере помоћи привреди из домена фискалне политике биле временски ограниченог карактера. Током 2022. години предвиђен је одређени износ средстава као вид помоћи становништву у висини од 0,92% БДП. Осим тога, енергетска криза условила је значајне интервенције државе у домену обезбеђивања енергетске стабилности. Осим повећаних издатака за енергенте, помоћ становништву и привреди, обезбеђена је и смањењем акциза на </w:t>
      </w:r>
      <w:r w:rsidR="00476BF8" w:rsidRPr="00F27A03">
        <w:rPr>
          <w:lang w:val="sr-Cyrl-CS" w:eastAsia="ja-JP"/>
        </w:rPr>
        <w:t>нафтне деривате.</w:t>
      </w:r>
    </w:p>
    <w:p w14:paraId="3E5ED55F" w14:textId="34C2B0C0" w:rsidR="00ED5386" w:rsidRPr="00F27A03" w:rsidRDefault="00ED5386" w:rsidP="00ED5386">
      <w:pPr>
        <w:spacing w:after="120"/>
        <w:rPr>
          <w:rFonts w:eastAsia="MS PGothic" w:cs="Calibri"/>
          <w:szCs w:val="20"/>
          <w:lang w:val="sr-Cyrl-CS" w:eastAsia="ja-JP"/>
        </w:rPr>
      </w:pPr>
      <w:r w:rsidRPr="00F27A03">
        <w:rPr>
          <w:lang w:val="sr-Cyrl-CS" w:eastAsia="ja-JP"/>
        </w:rPr>
        <w:t xml:space="preserve">Како је фискални импулс дефинисан као разлика два узастопна циклично прилагођена (примарна) резултата, оцењује се да је фискална политика током 2020. године била изразито експанзивно-контрациклична, усмерена на ублажавање негативног економског циклуса. Услед нешто мањег обима пакета мера економске подршке у 2021. години, фискална политика је рестриктивнија него претходне године, а по карактеру такође контрациклична. За 2022. до 2023. године оцењено је да ће фискална политика остати благо рестриктивна, и поред значајних издвајања </w:t>
      </w:r>
      <w:r w:rsidR="00476BF8" w:rsidRPr="00F27A03">
        <w:rPr>
          <w:lang w:val="sr-Cyrl-CS" w:eastAsia="ja-JP"/>
        </w:rPr>
        <w:t>за ублажавање енергетске кризе.</w:t>
      </w:r>
    </w:p>
    <w:p w14:paraId="572C7866" w14:textId="77777777" w:rsidR="00ED5386" w:rsidRPr="00F27A03" w:rsidRDefault="00ED5386" w:rsidP="00ED5386">
      <w:pPr>
        <w:spacing w:after="120"/>
        <w:jc w:val="center"/>
        <w:rPr>
          <w:lang w:val="sr-Cyrl-CS"/>
        </w:rPr>
      </w:pPr>
      <w:r w:rsidRPr="00F27A03">
        <w:rPr>
          <w:rFonts w:cstheme="minorHAnsi"/>
          <w:b/>
          <w:color w:val="002060"/>
          <w:lang w:val="sr-Cyrl-CS"/>
        </w:rPr>
        <w:t>Карактер и ефекти фискалне политике у периоду 2006–2022. године, % БДП</w:t>
      </w:r>
      <w:r w:rsidRPr="00F27A03">
        <w:rPr>
          <w:noProof/>
          <w:lang w:val="sr-Cyrl-RS" w:eastAsia="sr-Cyrl-RS"/>
        </w:rPr>
        <w:drawing>
          <wp:inline distT="0" distB="0" distL="0" distR="0" wp14:anchorId="57B868FB" wp14:editId="58A04491">
            <wp:extent cx="2847975" cy="3133725"/>
            <wp:effectExtent l="0" t="0" r="9525" b="952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6013C78E" w14:textId="77777777" w:rsidR="00ED5386" w:rsidRPr="00F27A03" w:rsidRDefault="00ED5386" w:rsidP="00476BF8">
      <w:pPr>
        <w:rPr>
          <w:lang w:val="sr-Cyrl-CS"/>
        </w:rPr>
      </w:pPr>
    </w:p>
    <w:p w14:paraId="71DB7F01" w14:textId="77777777" w:rsidR="00ED5386" w:rsidRPr="00F27A03" w:rsidRDefault="00ED5386" w:rsidP="00476BF8">
      <w:pPr>
        <w:rPr>
          <w:lang w:val="sr-Cyrl-CS"/>
        </w:rPr>
      </w:pPr>
    </w:p>
    <w:p w14:paraId="1D3DFD1C" w14:textId="77777777" w:rsidR="00ED5386" w:rsidRPr="00F27A03" w:rsidRDefault="00ED5386" w:rsidP="00E124CF">
      <w:pPr>
        <w:spacing w:after="120"/>
        <w:rPr>
          <w:rFonts w:ascii="Calibri" w:eastAsia="MS PGothic" w:hAnsi="Calibri" w:cs="Calibri"/>
          <w:szCs w:val="20"/>
          <w:lang w:val="sr-Cyrl-CS" w:eastAsia="ja-JP"/>
        </w:rPr>
        <w:sectPr w:rsidR="00ED5386" w:rsidRPr="00F27A03" w:rsidSect="00ED5386">
          <w:type w:val="continuous"/>
          <w:pgSz w:w="12240" w:h="15840" w:code="1"/>
          <w:pgMar w:top="1417" w:right="1417" w:bottom="1417" w:left="1417" w:header="720" w:footer="720" w:gutter="0"/>
          <w:cols w:num="2" w:space="720"/>
        </w:sectPr>
      </w:pPr>
    </w:p>
    <w:p w14:paraId="70EC0EC1" w14:textId="043DE4E7" w:rsidR="00ED5386" w:rsidRPr="00F27A03" w:rsidRDefault="00ED5386" w:rsidP="0059003C">
      <w:pPr>
        <w:pStyle w:val="Heading2"/>
        <w:spacing w:before="480" w:after="160"/>
        <w:jc w:val="center"/>
        <w:rPr>
          <w:rFonts w:asciiTheme="minorHAnsi" w:eastAsia="Times New Roman" w:hAnsiTheme="minorHAnsi" w:cstheme="minorHAnsi"/>
          <w:b/>
          <w:sz w:val="24"/>
          <w:lang w:val="sr-Cyrl-CS"/>
        </w:rPr>
        <w:sectPr w:rsidR="00ED5386" w:rsidRPr="00F27A03" w:rsidSect="00ED5386">
          <w:type w:val="continuous"/>
          <w:pgSz w:w="12240" w:h="15840" w:code="1"/>
          <w:pgMar w:top="1417" w:right="1417" w:bottom="1417" w:left="1417" w:header="720" w:footer="720" w:gutter="0"/>
          <w:cols w:space="720"/>
        </w:sectPr>
      </w:pPr>
      <w:bookmarkStart w:id="37" w:name="_Toc56667081"/>
      <w:bookmarkStart w:id="38" w:name="_Toc73364973"/>
      <w:r w:rsidRPr="00F27A03">
        <w:rPr>
          <w:lang w:val="sr-Cyrl-CS" w:eastAsia="ja-JP"/>
        </w:rPr>
        <w:br w:type="page"/>
      </w:r>
      <w:bookmarkStart w:id="39" w:name="_Toc119326598"/>
      <w:r w:rsidR="0059003C" w:rsidRPr="00F27A03">
        <w:rPr>
          <w:rFonts w:asciiTheme="minorHAnsi" w:eastAsia="Times New Roman" w:hAnsiTheme="minorHAnsi" w:cstheme="minorHAnsi"/>
          <w:b/>
          <w:sz w:val="24"/>
          <w:lang w:val="sr-Cyrl-CS"/>
        </w:rPr>
        <w:lastRenderedPageBreak/>
        <w:t>6</w:t>
      </w:r>
      <w:r w:rsidRPr="00F27A03">
        <w:rPr>
          <w:rFonts w:asciiTheme="minorHAnsi" w:eastAsia="Times New Roman" w:hAnsiTheme="minorHAnsi" w:cstheme="minorHAnsi"/>
          <w:b/>
          <w:sz w:val="24"/>
          <w:lang w:val="sr-Cyrl-CS"/>
        </w:rPr>
        <w:t>. Програм за смањење дуга</w:t>
      </w:r>
      <w:bookmarkEnd w:id="34"/>
      <w:bookmarkEnd w:id="35"/>
      <w:bookmarkEnd w:id="36"/>
      <w:bookmarkEnd w:id="37"/>
      <w:bookmarkEnd w:id="38"/>
      <w:bookmarkEnd w:id="39"/>
    </w:p>
    <w:p w14:paraId="2AFF03F7" w14:textId="16937E7F" w:rsidR="00ED5386" w:rsidRPr="00F27A03" w:rsidRDefault="00ED5386" w:rsidP="00E124CF">
      <w:pPr>
        <w:rPr>
          <w:rFonts w:ascii="Calibri" w:eastAsia="MS PGothic" w:hAnsi="Calibri" w:cs="Calibri"/>
          <w:szCs w:val="20"/>
          <w:lang w:val="sr-Cyrl-CS" w:eastAsia="ja-JP"/>
        </w:rPr>
      </w:pPr>
      <w:r w:rsidRPr="00F27A03">
        <w:rPr>
          <w:rFonts w:ascii="Calibri" w:eastAsia="MS PGothic" w:hAnsi="Calibri" w:cs="Calibri"/>
          <w:szCs w:val="20"/>
          <w:lang w:val="sr-Cyrl-CS" w:eastAsia="ja-JP"/>
        </w:rPr>
        <w:t>У складу са важећим одредбама Закона о буџетском систему уколико дуг опште државе пређе 45% БДП, Влада је дужна да предложи мере којима ће се дуг приближити циљаном нивоу и вратити у одрживе оквире</w:t>
      </w:r>
      <w:r w:rsidRPr="00F27A03">
        <w:rPr>
          <w:rFonts w:ascii="Calibri" w:eastAsia="Calibri" w:hAnsi="Calibri" w:cs="Calibri"/>
          <w:szCs w:val="20"/>
          <w:vertAlign w:val="superscript"/>
          <w:lang w:val="sr-Cyrl-CS"/>
        </w:rPr>
        <w:footnoteReference w:id="12"/>
      </w:r>
      <w:r w:rsidRPr="00F27A03">
        <w:rPr>
          <w:rFonts w:ascii="Calibri" w:eastAsia="Calibri" w:hAnsi="Calibri" w:cs="Calibri"/>
          <w:szCs w:val="20"/>
          <w:lang w:val="sr-Cyrl-CS"/>
        </w:rPr>
        <w:t>.</w:t>
      </w:r>
      <w:r w:rsidRPr="00F27A03">
        <w:rPr>
          <w:rFonts w:ascii="Calibri" w:eastAsia="Calibri" w:hAnsi="Calibri" w:cs="Calibri"/>
          <w:color w:val="2F5496" w:themeColor="accent1" w:themeShade="BF"/>
          <w:szCs w:val="20"/>
          <w:lang w:val="sr-Cyrl-CS"/>
        </w:rPr>
        <w:t xml:space="preserve"> </w:t>
      </w:r>
      <w:r w:rsidRPr="00F27A03">
        <w:rPr>
          <w:rFonts w:ascii="Calibri" w:eastAsia="MS PGothic" w:hAnsi="Calibri" w:cs="Calibri"/>
          <w:szCs w:val="20"/>
          <w:lang w:val="sr-Cyrl-CS" w:eastAsia="ja-JP"/>
        </w:rPr>
        <w:t>До краја године очекују нас измене и допуне овог закона у делу који се односи на фискална правила и принципе фискалне одговорности и одрживости</w:t>
      </w:r>
      <w:r w:rsidRPr="00F27A03">
        <w:rPr>
          <w:rFonts w:eastAsia="MS PGothic"/>
          <w:vertAlign w:val="superscript"/>
          <w:lang w:val="sr-Cyrl-CS" w:eastAsia="ja-JP"/>
        </w:rPr>
        <w:footnoteReference w:id="13"/>
      </w:r>
      <w:r w:rsidRPr="00F27A03">
        <w:rPr>
          <w:rFonts w:ascii="Calibri" w:eastAsia="MS PGothic" w:hAnsi="Calibri" w:cs="Calibri"/>
          <w:szCs w:val="20"/>
          <w:lang w:val="sr-Cyrl-CS" w:eastAsia="ja-JP"/>
        </w:rPr>
        <w:t>. У складу са променама општих фискалних правила о дефициту и дугу, измењена је и процедура у случају прекорачења горње границе дуга. Тако, у случају да је дуг изнад 55%, Влада у оквиру Фискалне стратегије и по процедури за усвајање фискалне стратегије предлаже Програм за смањење дуга са конкретним мерама за смањење дуга испод задате границе. Програм се подноси за сваку годину у којој тај дуг остаје изнад 55% БДП. Уколико је дуг изнад 60% БДП, што је и највиша дозвољена горња граница дуга сектора државе Програм за смањење дуга усваја Народна скупштина најмање једанпут годишње, у поступку доношења и припреме буџ</w:t>
      </w:r>
      <w:r w:rsidR="004313FD" w:rsidRPr="00F27A03">
        <w:rPr>
          <w:rFonts w:ascii="Calibri" w:eastAsia="MS PGothic" w:hAnsi="Calibri" w:cs="Calibri"/>
          <w:szCs w:val="20"/>
          <w:lang w:val="sr-Cyrl-CS" w:eastAsia="ja-JP"/>
        </w:rPr>
        <w:t>ета за наредну фискалну годину.</w:t>
      </w:r>
    </w:p>
    <w:p w14:paraId="1447EC55" w14:textId="77777777" w:rsidR="00ED5386" w:rsidRPr="00F27A03" w:rsidRDefault="00ED5386" w:rsidP="00E124CF">
      <w:pPr>
        <w:rPr>
          <w:rFonts w:ascii="Calibri" w:eastAsia="Calibri" w:hAnsi="Calibri" w:cs="Calibri"/>
          <w:szCs w:val="20"/>
          <w:lang w:val="sr-Cyrl-CS"/>
        </w:rPr>
      </w:pPr>
      <w:r w:rsidRPr="00F27A03">
        <w:rPr>
          <w:rFonts w:ascii="Calibri" w:eastAsia="Calibri" w:hAnsi="Calibri" w:cs="Calibri"/>
          <w:szCs w:val="20"/>
          <w:lang w:val="sr-Cyrl-CS"/>
        </w:rPr>
        <w:t>У периоду од 2008. до 2014. године дефицит опште државе је значајно повећан уз истовремено експлозивну путању раста јавног дуга, при чему је однос дуга и БДП више него удвостручен. Мере фискалне консолидације усвојене крајем 2012. и током 2013. године делимично су ублажиле овај тренд, али је ниво јавног дуга и даље значајно растао. Смањивање примарног дефицита у периоду 2012–2014. године није било довољно да стабилизује учешће нивоа јавног дуга у БДП. Ефекти првог таласа фискалне консолидације, која се односила углавном на приходну страну, изостали су, услед повећаног обима сиве економије, карактеристичног у периоду након подизања пореских стопа. На расходној страни, високе камате и одређени једнократни расходи су додатно погоршавали фискалну позицију.</w:t>
      </w:r>
    </w:p>
    <w:p w14:paraId="264224F0" w14:textId="77777777" w:rsidR="00ED5386" w:rsidRPr="00F27A03" w:rsidRDefault="00ED5386" w:rsidP="00476BF8">
      <w:pPr>
        <w:rPr>
          <w:lang w:val="sr-Cyrl-CS"/>
        </w:rPr>
      </w:pPr>
    </w:p>
    <w:p w14:paraId="528FDD88" w14:textId="77777777" w:rsidR="00ED5386" w:rsidRPr="00F27A03" w:rsidRDefault="00ED5386" w:rsidP="00476BF8">
      <w:pPr>
        <w:rPr>
          <w:lang w:val="sr-Cyrl-CS"/>
        </w:rPr>
      </w:pPr>
    </w:p>
    <w:p w14:paraId="74329C25" w14:textId="77777777" w:rsidR="00ED5386" w:rsidRPr="00F27A03" w:rsidRDefault="00ED5386" w:rsidP="00E124CF">
      <w:pPr>
        <w:spacing w:after="40"/>
        <w:jc w:val="center"/>
        <w:rPr>
          <w:rFonts w:ascii="Calibri" w:eastAsia="Calibri" w:hAnsi="Calibri" w:cs="Calibri"/>
          <w:szCs w:val="20"/>
          <w:lang w:val="sr-Cyrl-CS"/>
        </w:rPr>
      </w:pPr>
      <w:r w:rsidRPr="00F27A03">
        <w:rPr>
          <w:rFonts w:cstheme="minorHAnsi"/>
          <w:b/>
          <w:color w:val="002060"/>
          <w:lang w:val="sr-Cyrl-CS"/>
        </w:rPr>
        <w:t xml:space="preserve">Јавни дуг опште државе у периоду </w:t>
      </w:r>
      <w:r w:rsidRPr="00F27A03">
        <w:rPr>
          <w:rFonts w:cstheme="minorHAnsi"/>
          <w:b/>
          <w:color w:val="002060"/>
          <w:lang w:val="sr-Cyrl-CS"/>
        </w:rPr>
        <w:br w:type="textWrapping" w:clear="all"/>
        <w:t>2008–2022. године, % БДП</w:t>
      </w:r>
    </w:p>
    <w:p w14:paraId="549D2D4D" w14:textId="77777777" w:rsidR="00ED5386" w:rsidRPr="00F27A03" w:rsidRDefault="00ED5386" w:rsidP="00E124CF">
      <w:pPr>
        <w:spacing w:after="0"/>
        <w:jc w:val="center"/>
        <w:rPr>
          <w:rFonts w:cstheme="minorHAnsi"/>
          <w:b/>
          <w:color w:val="002060"/>
          <w:lang w:val="sr-Cyrl-CS"/>
        </w:rPr>
      </w:pPr>
      <w:r w:rsidRPr="00F27A03">
        <w:rPr>
          <w:noProof/>
          <w:lang w:val="sr-Cyrl-RS" w:eastAsia="sr-Cyrl-RS"/>
        </w:rPr>
        <w:drawing>
          <wp:inline distT="0" distB="0" distL="0" distR="0" wp14:anchorId="17735149" wp14:editId="700EAAC9">
            <wp:extent cx="2757805" cy="2232000"/>
            <wp:effectExtent l="0" t="0" r="4445" b="0"/>
            <wp:docPr id="78" name="Chart 78">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2CDFD889" w14:textId="77777777" w:rsidR="00ED5386" w:rsidRPr="00F27A03" w:rsidRDefault="00ED5386" w:rsidP="00E124CF">
      <w:pPr>
        <w:spacing w:after="0" w:line="240" w:lineRule="auto"/>
        <w:rPr>
          <w:rFonts w:cstheme="minorHAnsi"/>
          <w:bCs/>
          <w:sz w:val="16"/>
          <w:szCs w:val="72"/>
          <w:lang w:val="sr-Cyrl-CS"/>
        </w:rPr>
      </w:pPr>
      <w:r w:rsidRPr="00F27A03">
        <w:rPr>
          <w:rFonts w:ascii="Calibri" w:eastAsia="Calibri" w:hAnsi="Calibri" w:cs="Calibri"/>
          <w:sz w:val="16"/>
          <w:szCs w:val="16"/>
          <w:lang w:val="sr-Cyrl-CS"/>
        </w:rPr>
        <w:t xml:space="preserve">* </w:t>
      </w:r>
      <w:r w:rsidRPr="00F27A03">
        <w:rPr>
          <w:rFonts w:cstheme="minorHAnsi"/>
          <w:bCs/>
          <w:sz w:val="16"/>
          <w:szCs w:val="72"/>
          <w:lang w:val="sr-Cyrl-CS"/>
        </w:rPr>
        <w:t>апроксимација локалног дуга</w:t>
      </w:r>
    </w:p>
    <w:p w14:paraId="2282D963" w14:textId="77777777" w:rsidR="00ED5386" w:rsidRPr="00F27A03" w:rsidRDefault="00ED5386" w:rsidP="00D97946">
      <w:pPr>
        <w:spacing w:after="60" w:line="276" w:lineRule="auto"/>
        <w:rPr>
          <w:rFonts w:cstheme="minorHAnsi"/>
          <w:bCs/>
          <w:sz w:val="16"/>
          <w:szCs w:val="72"/>
          <w:lang w:val="sr-Cyrl-CS"/>
        </w:rPr>
      </w:pPr>
      <w:r w:rsidRPr="00F27A03">
        <w:rPr>
          <w:rFonts w:cstheme="minorHAnsi"/>
          <w:bCs/>
          <w:sz w:val="16"/>
          <w:szCs w:val="72"/>
          <w:lang w:val="sr-Cyrl-CS"/>
        </w:rPr>
        <w:t>** процена за 2022. годину</w:t>
      </w:r>
    </w:p>
    <w:p w14:paraId="10DA67BC" w14:textId="77777777" w:rsidR="00ED5386" w:rsidRPr="00F27A03" w:rsidRDefault="00ED5386" w:rsidP="00E124CF">
      <w:pPr>
        <w:rPr>
          <w:rFonts w:ascii="Calibri" w:eastAsia="Calibri" w:hAnsi="Calibri" w:cs="Calibri"/>
          <w:szCs w:val="20"/>
          <w:lang w:val="sr-Cyrl-CS"/>
        </w:rPr>
      </w:pPr>
      <w:r w:rsidRPr="00F27A03">
        <w:rPr>
          <w:rFonts w:ascii="Calibri" w:eastAsia="Calibri" w:hAnsi="Calibri" w:cs="Calibri"/>
          <w:szCs w:val="20"/>
          <w:lang w:val="sr-Cyrl-CS"/>
        </w:rPr>
        <w:t>Мере фискалне консолидације донете крајем 2014. године спустиле су примарни дефицит и успориле раст јавног дуга већ током 2015. године. До смањења јавног дуга у БДП дошло је у 2016. години, годину дана раније него што је било предвиђено аранжманом са ММФ. У 2016. години остварен је примарни суфицит од 1,7% БДП, чиме су се коначно стекли услови за пад учешћа јавног дуга у БДП. Након тога, у 2017. години, остварени примарни фискални суфицит од 3,6% БДП доводи до још значајнијег пада учешћа дуга, за више од 10 п.п. БДП, на 58,6% БДП.</w:t>
      </w:r>
      <w:r w:rsidRPr="00F27A03">
        <w:rPr>
          <w:lang w:val="sr-Cyrl-CS"/>
        </w:rPr>
        <w:t xml:space="preserve"> </w:t>
      </w:r>
      <w:r w:rsidRPr="00F27A03">
        <w:rPr>
          <w:rFonts w:ascii="Calibri" w:eastAsia="Calibri" w:hAnsi="Calibri" w:cs="Calibri"/>
          <w:szCs w:val="20"/>
          <w:lang w:val="sr-Cyrl-CS"/>
        </w:rPr>
        <w:t>Током 2018. године настављен је тренд смањења учешћа јавног дуга у БДП на 54,4% БДП. Фискална релаксација током 2019. године није угрозила опадајућу путању јавног дуга. Позитиван примарни фискални резултат у 2019. години од 1,8% БДП утицао je на даље смањење јавног дуга за још 1,6 п.п. БДП.</w:t>
      </w:r>
    </w:p>
    <w:p w14:paraId="25CA56B0" w14:textId="1788CD75" w:rsidR="00ED5386" w:rsidRPr="00F27A03" w:rsidRDefault="00ED5386" w:rsidP="00ED5386">
      <w:pPr>
        <w:spacing w:after="120"/>
        <w:rPr>
          <w:rFonts w:ascii="Calibri" w:eastAsia="Calibri" w:hAnsi="Calibri" w:cs="Calibri"/>
          <w:spacing w:val="-2"/>
          <w:szCs w:val="20"/>
          <w:lang w:val="sr-Cyrl-CS"/>
        </w:rPr>
      </w:pPr>
      <w:r w:rsidRPr="00F27A03">
        <w:rPr>
          <w:rFonts w:ascii="Calibri" w:eastAsia="Calibri" w:hAnsi="Calibri" w:cs="Calibri"/>
          <w:spacing w:val="-2"/>
          <w:szCs w:val="20"/>
          <w:lang w:val="sr-Cyrl-CS"/>
        </w:rPr>
        <w:t xml:space="preserve">Период од 2020. године обележила је једна од највећих здравствених и последично економских криза у последњих неколико деценија, изазвана пандемијом COVID-19. Најважнији фактори који су утицали на кретања дуга током поменутог периода су ниво укупног и примарног фискалног дефицита, додатне потребе за финансирањем и отплата доспелог дела дуга. Остварени фискални дефицит од 8% БДП (примарни дефицит од 6% БДП) у 2020. </w:t>
      </w:r>
      <w:r w:rsidRPr="00F27A03">
        <w:rPr>
          <w:rFonts w:ascii="Calibri" w:eastAsia="Calibri" w:hAnsi="Calibri" w:cs="Calibri"/>
          <w:spacing w:val="-2"/>
          <w:szCs w:val="20"/>
          <w:lang w:val="sr-Cyrl-CS"/>
        </w:rPr>
        <w:lastRenderedPageBreak/>
        <w:t xml:space="preserve">години и дефицит од 4,1% БДП у 2021. години, утицали су на то да се, до сада, опадајућа путања учешћа јавног дуга привремено преокрене. И поред тога учешће јавног дуга опште државе у БДП у 2021. години благо опада </w:t>
      </w:r>
      <w:r w:rsidR="00477B6F" w:rsidRPr="00F27A03">
        <w:rPr>
          <w:rFonts w:ascii="Calibri" w:eastAsia="Calibri" w:hAnsi="Calibri" w:cs="Calibri"/>
          <w:spacing w:val="-2"/>
          <w:szCs w:val="20"/>
          <w:lang w:val="sr-Cyrl-CS"/>
        </w:rPr>
        <w:t>на 57,1% БДП. За 2022. годину, пројектован ниво</w:t>
      </w:r>
      <w:r w:rsidRPr="00F27A03">
        <w:rPr>
          <w:rFonts w:ascii="Calibri" w:eastAsia="Calibri" w:hAnsi="Calibri" w:cs="Calibri"/>
          <w:spacing w:val="-2"/>
          <w:szCs w:val="20"/>
          <w:lang w:val="sr-Cyrl-CS"/>
        </w:rPr>
        <w:t xml:space="preserve"> примарног фискалног резултата (примарни дефицит 2,2% БДП) смањује учешће јавног дуга, на 56,9%. Фискалном стратегијом за наредни средњорочни период предвиђена је постепена стабилизација јавних финансија и мањи нивои дефицита који ће јавни дуг вр</w:t>
      </w:r>
      <w:r w:rsidR="00476BF8" w:rsidRPr="00F27A03">
        <w:rPr>
          <w:rFonts w:ascii="Calibri" w:eastAsia="Calibri" w:hAnsi="Calibri" w:cs="Calibri"/>
          <w:spacing w:val="-2"/>
          <w:szCs w:val="20"/>
          <w:lang w:val="sr-Cyrl-CS"/>
        </w:rPr>
        <w:t>атити у зону опадајућег тренда.</w:t>
      </w:r>
    </w:p>
    <w:p w14:paraId="5E6C6B0A" w14:textId="77777777" w:rsidR="00ED5386" w:rsidRPr="00F27A03" w:rsidRDefault="00ED5386" w:rsidP="00E124CF">
      <w:pPr>
        <w:spacing w:after="0"/>
        <w:jc w:val="center"/>
        <w:rPr>
          <w:rFonts w:cstheme="minorHAnsi"/>
          <w:b/>
          <w:color w:val="002060"/>
          <w:spacing w:val="-2"/>
          <w:lang w:val="sr-Cyrl-CS"/>
        </w:rPr>
      </w:pPr>
      <w:r w:rsidRPr="00F27A03">
        <w:rPr>
          <w:rFonts w:cstheme="minorHAnsi"/>
          <w:b/>
          <w:color w:val="002060"/>
          <w:spacing w:val="-2"/>
          <w:lang w:val="sr-Cyrl-CS"/>
        </w:rPr>
        <w:t>Примарни резултат који стабилизује учешће дуга у БДП и остварени/пројектовани резултат*, % БДП</w:t>
      </w:r>
    </w:p>
    <w:p w14:paraId="005334F4" w14:textId="77777777" w:rsidR="00ED5386" w:rsidRPr="00F27A03" w:rsidRDefault="00ED5386" w:rsidP="00E124CF">
      <w:pPr>
        <w:spacing w:after="0" w:line="276" w:lineRule="auto"/>
        <w:rPr>
          <w:lang w:val="sr-Cyrl-CS"/>
        </w:rPr>
      </w:pPr>
      <w:r w:rsidRPr="00F27A03">
        <w:rPr>
          <w:noProof/>
          <w:lang w:val="sr-Cyrl-RS" w:eastAsia="sr-Cyrl-RS"/>
        </w:rPr>
        <w:drawing>
          <wp:inline distT="0" distB="0" distL="0" distR="0" wp14:anchorId="708C55B8" wp14:editId="125BA677">
            <wp:extent cx="2757805" cy="2160000"/>
            <wp:effectExtent l="0" t="0" r="4445" b="0"/>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132331B6" w14:textId="77777777" w:rsidR="00ED5386" w:rsidRPr="00F27A03" w:rsidRDefault="00ED5386" w:rsidP="00E124CF">
      <w:pPr>
        <w:spacing w:after="40" w:line="240" w:lineRule="auto"/>
        <w:rPr>
          <w:rFonts w:cstheme="minorHAnsi"/>
          <w:bCs/>
          <w:sz w:val="16"/>
          <w:szCs w:val="72"/>
          <w:lang w:val="sr-Cyrl-CS"/>
        </w:rPr>
      </w:pPr>
      <w:r w:rsidRPr="00F27A03">
        <w:rPr>
          <w:rFonts w:ascii="Calibri" w:eastAsia="Calibri" w:hAnsi="Calibri" w:cs="Calibri"/>
          <w:sz w:val="16"/>
          <w:szCs w:val="16"/>
          <w:lang w:val="sr-Cyrl-CS"/>
        </w:rPr>
        <w:t xml:space="preserve">* </w:t>
      </w:r>
      <w:r w:rsidRPr="00F27A03">
        <w:rPr>
          <w:rFonts w:cstheme="minorHAnsi"/>
          <w:bCs/>
          <w:sz w:val="16"/>
          <w:szCs w:val="72"/>
          <w:lang w:val="sr-Cyrl-CS"/>
        </w:rPr>
        <w:t>За период 2022. до 2025. дате су пројектоване вредности.</w:t>
      </w:r>
    </w:p>
    <w:p w14:paraId="4836C805" w14:textId="77777777" w:rsidR="00ED5386" w:rsidRPr="00F27A03" w:rsidRDefault="00ED5386" w:rsidP="00E124CF">
      <w:pPr>
        <w:spacing w:after="120" w:line="276" w:lineRule="auto"/>
        <w:rPr>
          <w:rFonts w:ascii="Calibri" w:eastAsia="MS PGothic" w:hAnsi="Calibri" w:cs="Calibri"/>
          <w:b/>
          <w:szCs w:val="20"/>
          <w:lang w:val="sr-Cyrl-CS" w:eastAsia="ja-JP"/>
        </w:rPr>
      </w:pPr>
      <w:r w:rsidRPr="00F27A03">
        <w:rPr>
          <w:rFonts w:cstheme="minorHAnsi"/>
          <w:bCs/>
          <w:sz w:val="16"/>
          <w:szCs w:val="72"/>
          <w:lang w:val="sr-Cyrl-CS"/>
        </w:rPr>
        <w:t>Извор: Министарство финансија</w:t>
      </w:r>
    </w:p>
    <w:p w14:paraId="78A432CC" w14:textId="77777777" w:rsidR="00ED5386" w:rsidRPr="00F27A03" w:rsidRDefault="00ED5386" w:rsidP="00E124CF">
      <w:pPr>
        <w:rPr>
          <w:rFonts w:ascii="Calibri" w:eastAsia="Calibri" w:hAnsi="Calibri" w:cs="Calibri"/>
          <w:spacing w:val="-2"/>
          <w:szCs w:val="20"/>
          <w:lang w:val="sr-Cyrl-CS"/>
        </w:rPr>
      </w:pPr>
      <w:r w:rsidRPr="00F27A03">
        <w:rPr>
          <w:rFonts w:ascii="Calibri" w:eastAsia="Calibri" w:hAnsi="Calibri" w:cs="Calibri"/>
          <w:spacing w:val="-2"/>
          <w:szCs w:val="20"/>
          <w:lang w:val="sr-Cyrl-CS"/>
        </w:rPr>
        <w:t>Анализом примарног стабилизационог јаза који је дефинисан као разлика између оствареног примарног резултата и примарног резултата који је неопходан да би се стабилизовало учешће јавног дуга у текућој години могуће је оценити постављене квантитативне фискалне лимите. Од 2016. године присутан је позитиван примарни стабилизациони јаз, а путања дуга преокренута. Током 2017. и 2018. године позитиван јаз се повећава и у том периоду је остварено највеће смањење учешћа дуга у БДП. Супротан тренд бележи се током 2020. године кад се достиже највећа негативна вредност овог показатеља. У периоду од 2022–2025. године, у складу са фискалним оквиром датим у овом документу, пројектоване су позитивне вредности овог параметра.</w:t>
      </w:r>
    </w:p>
    <w:p w14:paraId="4E3DBD5C" w14:textId="77777777" w:rsidR="00ED5386" w:rsidRPr="00F27A03" w:rsidRDefault="00ED5386" w:rsidP="00E124CF">
      <w:pPr>
        <w:rPr>
          <w:rFonts w:ascii="Calibri" w:eastAsia="Calibri" w:hAnsi="Calibri" w:cs="Calibri"/>
          <w:szCs w:val="20"/>
          <w:lang w:val="sr-Cyrl-CS"/>
        </w:rPr>
      </w:pPr>
      <w:r w:rsidRPr="00F27A03">
        <w:rPr>
          <w:rFonts w:ascii="Calibri" w:eastAsia="Calibri" w:hAnsi="Calibri" w:cs="Calibri"/>
          <w:szCs w:val="20"/>
          <w:lang w:val="sr-Cyrl-CS"/>
        </w:rPr>
        <w:t xml:space="preserve">Пројектована је динамика спуштања нивоа јавног дуга на 45% БДП, у складу са важећим фискалним правилима, а основни сценарио представљен </w:t>
      </w:r>
      <w:r w:rsidRPr="00F27A03">
        <w:rPr>
          <w:rFonts w:ascii="Calibri" w:eastAsia="Calibri" w:hAnsi="Calibri" w:cs="Calibri"/>
          <w:szCs w:val="20"/>
          <w:lang w:val="sr-Cyrl-CS"/>
        </w:rPr>
        <w:t>овим фискалним оквиром предвиђа постепено смањивање фискалног дефицита на 1,4% БДП на крају 2025. године.</w:t>
      </w:r>
    </w:p>
    <w:p w14:paraId="31965900" w14:textId="77777777" w:rsidR="00ED5386" w:rsidRPr="00F27A03" w:rsidRDefault="00ED5386" w:rsidP="00C43FA1">
      <w:pPr>
        <w:spacing w:after="60"/>
        <w:rPr>
          <w:rFonts w:ascii="Calibri" w:eastAsia="Calibri" w:hAnsi="Calibri" w:cs="Calibri"/>
          <w:szCs w:val="20"/>
          <w:lang w:val="sr-Cyrl-CS"/>
        </w:rPr>
      </w:pPr>
      <w:r w:rsidRPr="00F27A03">
        <w:rPr>
          <w:rFonts w:ascii="Calibri" w:eastAsia="Calibri" w:hAnsi="Calibri" w:cs="Calibri"/>
          <w:szCs w:val="20"/>
          <w:lang w:val="sr-Cyrl-CS"/>
        </w:rPr>
        <w:t>Управљање и одрживост јавног дуга ће се додатно обезбедити:</w:t>
      </w:r>
    </w:p>
    <w:p w14:paraId="6FE12206" w14:textId="77777777" w:rsidR="00ED5386" w:rsidRPr="00F27A03" w:rsidRDefault="00ED5386" w:rsidP="00DB0157">
      <w:pPr>
        <w:numPr>
          <w:ilvl w:val="0"/>
          <w:numId w:val="2"/>
        </w:numPr>
        <w:spacing w:after="60"/>
        <w:ind w:left="180" w:hanging="180"/>
        <w:rPr>
          <w:rFonts w:ascii="Calibri" w:eastAsia="Calibri" w:hAnsi="Calibri" w:cs="Calibri"/>
          <w:szCs w:val="20"/>
          <w:lang w:val="sr-Cyrl-CS"/>
        </w:rPr>
      </w:pPr>
      <w:r w:rsidRPr="00F27A03">
        <w:rPr>
          <w:rFonts w:ascii="Calibri" w:eastAsia="Calibri" w:hAnsi="Calibri" w:cs="Calibri"/>
          <w:szCs w:val="20"/>
          <w:lang w:val="sr-Cyrl-CS"/>
        </w:rPr>
        <w:t>ограничењем издавања нових гаранција;</w:t>
      </w:r>
    </w:p>
    <w:p w14:paraId="2AE335E5" w14:textId="77777777" w:rsidR="00ED5386" w:rsidRPr="00F27A03" w:rsidRDefault="00ED5386" w:rsidP="00DB0157">
      <w:pPr>
        <w:numPr>
          <w:ilvl w:val="0"/>
          <w:numId w:val="2"/>
        </w:numPr>
        <w:spacing w:after="60"/>
        <w:ind w:left="180" w:hanging="180"/>
        <w:rPr>
          <w:rFonts w:ascii="Calibri" w:eastAsia="Calibri" w:hAnsi="Calibri" w:cs="Calibri"/>
          <w:szCs w:val="20"/>
          <w:lang w:val="sr-Cyrl-CS"/>
        </w:rPr>
      </w:pPr>
      <w:r w:rsidRPr="00F27A03">
        <w:rPr>
          <w:rFonts w:ascii="Calibri" w:eastAsia="Calibri" w:hAnsi="Calibri" w:cs="Calibri"/>
          <w:szCs w:val="20"/>
          <w:lang w:val="sr-Cyrl-CS"/>
        </w:rPr>
        <w:t>ограничењем закључивања нових пројектних зајмова у случајевима да претходно одобрени зајмови нису ефикасно коришћени;</w:t>
      </w:r>
    </w:p>
    <w:p w14:paraId="69975374" w14:textId="77777777" w:rsidR="00ED5386" w:rsidRPr="00F27A03" w:rsidRDefault="00ED5386" w:rsidP="00DB0157">
      <w:pPr>
        <w:numPr>
          <w:ilvl w:val="0"/>
          <w:numId w:val="2"/>
        </w:numPr>
        <w:spacing w:after="60"/>
        <w:ind w:left="180" w:hanging="180"/>
        <w:rPr>
          <w:rFonts w:ascii="Calibri" w:eastAsia="Calibri" w:hAnsi="Calibri" w:cs="Calibri"/>
          <w:szCs w:val="20"/>
          <w:lang w:val="sr-Cyrl-CS"/>
        </w:rPr>
      </w:pPr>
      <w:r w:rsidRPr="00F27A03">
        <w:rPr>
          <w:rFonts w:ascii="Calibri" w:eastAsia="Calibri" w:hAnsi="Calibri" w:cs="Calibri"/>
          <w:szCs w:val="20"/>
          <w:lang w:val="sr-Cyrl-CS"/>
        </w:rPr>
        <w:t>откупом једног дела скупог дуга коришћењем средстава из повољнијих зајмова или приватизационих прихода уколико за то постоје могућности;</w:t>
      </w:r>
    </w:p>
    <w:p w14:paraId="6D696AFF" w14:textId="77777777" w:rsidR="00ED5386" w:rsidRPr="00F27A03" w:rsidRDefault="00ED5386" w:rsidP="00DB0157">
      <w:pPr>
        <w:numPr>
          <w:ilvl w:val="0"/>
          <w:numId w:val="2"/>
        </w:numPr>
        <w:spacing w:after="60"/>
        <w:ind w:left="181" w:hanging="181"/>
        <w:rPr>
          <w:rFonts w:ascii="Calibri" w:eastAsia="Calibri" w:hAnsi="Calibri" w:cs="Calibri"/>
          <w:szCs w:val="20"/>
          <w:lang w:val="sr-Cyrl-CS"/>
        </w:rPr>
      </w:pPr>
      <w:r w:rsidRPr="00F27A03">
        <w:rPr>
          <w:rFonts w:ascii="Calibri" w:eastAsia="Calibri" w:hAnsi="Calibri" w:cs="Calibri"/>
          <w:szCs w:val="20"/>
          <w:lang w:val="sr-Cyrl-CS"/>
        </w:rPr>
        <w:t>идентификацијом и бољим управљањем фискалним ризицима.</w:t>
      </w:r>
    </w:p>
    <w:p w14:paraId="003A9B06" w14:textId="77777777" w:rsidR="00ED5386" w:rsidRPr="00F27A03" w:rsidRDefault="00ED5386" w:rsidP="00E124CF">
      <w:pPr>
        <w:rPr>
          <w:rFonts w:ascii="Calibri" w:eastAsia="Calibri" w:hAnsi="Calibri" w:cs="Calibri"/>
          <w:szCs w:val="20"/>
          <w:lang w:val="sr-Cyrl-CS"/>
        </w:rPr>
      </w:pPr>
      <w:r w:rsidRPr="00F27A03">
        <w:rPr>
          <w:rFonts w:ascii="Calibri" w:eastAsia="Calibri" w:hAnsi="Calibri" w:cs="Calibri"/>
          <w:szCs w:val="20"/>
          <w:lang w:val="sr-Cyrl-CS"/>
        </w:rPr>
        <w:t>Законски предвиђено учешће јавног дуга у БДП од 45% биће достигнуто током 2030. године. Успех претходног програма структурног фискалног прилагођавања омогућио је смањење учешћа дуга од 2015. до 2019. године за 18,4 п.п. БДП. Овакве околности утицале су на могућност Републике Србије да без тешкоће обезбеди неопходно финансирање фискалног дефицита током трајања пандемије COVID-19, као и несметану отплату доспелог дуга. Неизвесност у погледу тока и трајања глобалне економске и енергетске кризе, захтева опрезно вођење фискалне политике у наредном периоду.</w:t>
      </w:r>
    </w:p>
    <w:p w14:paraId="6359D552" w14:textId="77777777" w:rsidR="00ED5386" w:rsidRPr="00F27A03" w:rsidRDefault="00ED5386" w:rsidP="00E124CF">
      <w:pPr>
        <w:rPr>
          <w:rFonts w:ascii="Calibri" w:eastAsia="Calibri" w:hAnsi="Calibri" w:cs="Calibri"/>
          <w:szCs w:val="20"/>
          <w:lang w:val="sr-Cyrl-CS"/>
        </w:rPr>
      </w:pPr>
      <w:r w:rsidRPr="00F27A03">
        <w:rPr>
          <w:rFonts w:ascii="Calibri" w:eastAsia="Calibri" w:hAnsi="Calibri" w:cs="Calibri"/>
          <w:szCs w:val="20"/>
          <w:lang w:val="sr-Cyrl-CS"/>
        </w:rPr>
        <w:t>Како је фискалним правилима предвиђена граница дуга од 45% БДП која се достиже током 2030. године, урађена је симулација кретања учешћа у случају варијације фактора који утичу на динамику дуга.</w:t>
      </w:r>
    </w:p>
    <w:p w14:paraId="0859A813" w14:textId="77777777" w:rsidR="00ED5386" w:rsidRPr="00F27A03" w:rsidRDefault="00ED5386" w:rsidP="00E124CF">
      <w:pPr>
        <w:spacing w:after="60"/>
        <w:rPr>
          <w:rFonts w:ascii="Calibri" w:eastAsia="Calibri" w:hAnsi="Calibri" w:cs="Calibri"/>
          <w:szCs w:val="20"/>
          <w:lang w:val="sr-Cyrl-CS"/>
        </w:rPr>
      </w:pPr>
      <w:r w:rsidRPr="00F27A03">
        <w:rPr>
          <w:rFonts w:ascii="Calibri" w:eastAsia="Calibri" w:hAnsi="Calibri" w:cs="Calibri"/>
          <w:szCs w:val="20"/>
          <w:lang w:val="sr-Cyrl-CS"/>
        </w:rPr>
        <w:t>Претпоставке у основном сценарију су:</w:t>
      </w:r>
    </w:p>
    <w:p w14:paraId="7291975F" w14:textId="77777777" w:rsidR="00ED5386" w:rsidRPr="00F27A03" w:rsidRDefault="00ED5386" w:rsidP="00E67CD6">
      <w:pPr>
        <w:numPr>
          <w:ilvl w:val="0"/>
          <w:numId w:val="3"/>
        </w:numPr>
        <w:spacing w:after="40"/>
        <w:ind w:left="91" w:hanging="181"/>
        <w:rPr>
          <w:rFonts w:cs="Calibri"/>
          <w:bCs/>
          <w:spacing w:val="-6"/>
          <w:szCs w:val="20"/>
          <w:lang w:val="sr-Cyrl-CS" w:eastAsia="ja-JP"/>
        </w:rPr>
      </w:pPr>
      <w:r w:rsidRPr="00F27A03">
        <w:rPr>
          <w:rFonts w:cs="Calibri"/>
          <w:bCs/>
          <w:spacing w:val="-6"/>
          <w:szCs w:val="20"/>
          <w:lang w:val="sr-Cyrl-CS" w:eastAsia="ja-JP"/>
        </w:rPr>
        <w:t>након оствареног високог нивоа фискалног дефицита у 2020. години, у периоду од 2021. до 2025. године ниво општег и примарног фискалног резултата омогућава постепено смањење учешћа јавног дуга у БДП. Након тога, фискални дефицит се смањује са 1,2% БДП у 2026. години на ниво од 0,5% БДП;</w:t>
      </w:r>
    </w:p>
    <w:p w14:paraId="566919BC" w14:textId="77777777" w:rsidR="00ED5386" w:rsidRPr="00F27A03" w:rsidRDefault="00ED5386" w:rsidP="00E67CD6">
      <w:pPr>
        <w:numPr>
          <w:ilvl w:val="0"/>
          <w:numId w:val="3"/>
        </w:numPr>
        <w:spacing w:after="40"/>
        <w:ind w:left="91" w:hanging="180"/>
        <w:rPr>
          <w:rFonts w:cs="Calibri"/>
          <w:bCs/>
          <w:szCs w:val="20"/>
          <w:lang w:val="sr-Cyrl-CS" w:eastAsia="ja-JP"/>
        </w:rPr>
      </w:pPr>
      <w:r w:rsidRPr="00F27A03">
        <w:rPr>
          <w:rFonts w:cs="Calibri"/>
          <w:bCs/>
          <w:szCs w:val="20"/>
          <w:lang w:val="sr-Cyrl-CS" w:eastAsia="ja-JP"/>
        </w:rPr>
        <w:t>спорији раст фискалних прихода у односу на номинални раст БДП услед промене структуре привреде, јачања инвестиционе активности и раста извоза. Не предвиђају се значајније промене у пореској политици, уз задржавање високог нивоа капиталних расхода;</w:t>
      </w:r>
    </w:p>
    <w:p w14:paraId="190D35D0" w14:textId="77777777" w:rsidR="00ED5386" w:rsidRPr="00F27A03" w:rsidRDefault="00ED5386" w:rsidP="00E67CD6">
      <w:pPr>
        <w:numPr>
          <w:ilvl w:val="0"/>
          <w:numId w:val="3"/>
        </w:numPr>
        <w:spacing w:after="40"/>
        <w:ind w:left="91" w:hanging="180"/>
        <w:rPr>
          <w:rFonts w:cs="Calibri"/>
          <w:bCs/>
          <w:szCs w:val="20"/>
          <w:lang w:val="sr-Cyrl-CS" w:eastAsia="ja-JP"/>
        </w:rPr>
      </w:pPr>
      <w:r w:rsidRPr="00F27A03">
        <w:rPr>
          <w:rFonts w:cs="Calibri"/>
          <w:bCs/>
          <w:szCs w:val="20"/>
          <w:lang w:val="sr-Cyrl-CS" w:eastAsia="ja-JP"/>
        </w:rPr>
        <w:lastRenderedPageBreak/>
        <w:t>изостанак нето прираста издатих гаранција након 2025. године;</w:t>
      </w:r>
    </w:p>
    <w:p w14:paraId="2AD63159" w14:textId="77777777" w:rsidR="00ED5386" w:rsidRPr="00F27A03" w:rsidRDefault="00ED5386" w:rsidP="00E67CD6">
      <w:pPr>
        <w:numPr>
          <w:ilvl w:val="0"/>
          <w:numId w:val="3"/>
        </w:numPr>
        <w:spacing w:after="40"/>
        <w:ind w:left="91" w:hanging="180"/>
        <w:rPr>
          <w:rFonts w:cs="Calibri"/>
          <w:spacing w:val="-8"/>
          <w:szCs w:val="20"/>
          <w:lang w:val="sr-Cyrl-CS" w:eastAsia="ja-JP"/>
        </w:rPr>
      </w:pPr>
      <w:r w:rsidRPr="00F27A03">
        <w:rPr>
          <w:rFonts w:cs="Calibri"/>
          <w:bCs/>
          <w:spacing w:val="-8"/>
          <w:szCs w:val="20"/>
          <w:lang w:val="sr-Cyrl-CS" w:eastAsia="ja-JP"/>
        </w:rPr>
        <w:t>просечна стопа реалног раста БДП од 4% у дугом року</w:t>
      </w:r>
      <w:r w:rsidRPr="00F27A03">
        <w:rPr>
          <w:rFonts w:cs="Calibri"/>
          <w:spacing w:val="-8"/>
          <w:szCs w:val="20"/>
          <w:lang w:val="sr-Cyrl-CS" w:eastAsia="ja-JP"/>
        </w:rPr>
        <w:t>;</w:t>
      </w:r>
    </w:p>
    <w:p w14:paraId="762FF36D" w14:textId="77777777" w:rsidR="00ED5386" w:rsidRPr="00F27A03" w:rsidRDefault="00ED5386" w:rsidP="00E67CD6">
      <w:pPr>
        <w:numPr>
          <w:ilvl w:val="0"/>
          <w:numId w:val="3"/>
        </w:numPr>
        <w:spacing w:after="40"/>
        <w:ind w:left="91" w:hanging="180"/>
        <w:rPr>
          <w:rFonts w:cs="Calibri"/>
          <w:szCs w:val="20"/>
          <w:lang w:val="sr-Cyrl-CS" w:eastAsia="ja-JP"/>
        </w:rPr>
      </w:pPr>
      <w:r w:rsidRPr="00F27A03">
        <w:rPr>
          <w:rFonts w:cs="Calibri"/>
          <w:bCs/>
          <w:szCs w:val="20"/>
          <w:lang w:val="sr-Cyrl-CS" w:eastAsia="ja-JP"/>
        </w:rPr>
        <w:t>успоравање инфлације и након тога задржавање на нивоу од 3% просечно у дугом року</w:t>
      </w:r>
      <w:r w:rsidRPr="00F27A03">
        <w:rPr>
          <w:rFonts w:cs="Calibri"/>
          <w:szCs w:val="20"/>
          <w:lang w:val="sr-Cyrl-CS" w:eastAsia="ja-JP"/>
        </w:rPr>
        <w:t>;</w:t>
      </w:r>
    </w:p>
    <w:p w14:paraId="289AA378" w14:textId="77777777" w:rsidR="00ED5386" w:rsidRPr="00F27A03" w:rsidRDefault="00ED5386" w:rsidP="00DB0157">
      <w:pPr>
        <w:numPr>
          <w:ilvl w:val="0"/>
          <w:numId w:val="3"/>
        </w:numPr>
        <w:ind w:left="90" w:hanging="181"/>
        <w:rPr>
          <w:rFonts w:cs="Calibri"/>
          <w:szCs w:val="20"/>
          <w:lang w:val="sr-Cyrl-CS" w:eastAsia="ja-JP"/>
        </w:rPr>
      </w:pPr>
      <w:r w:rsidRPr="00F27A03">
        <w:rPr>
          <w:rFonts w:cs="Calibri"/>
          <w:bCs/>
          <w:szCs w:val="20"/>
          <w:lang w:val="sr-Cyrl-CS" w:eastAsia="ja-JP"/>
        </w:rPr>
        <w:t>изостанак значајних прилива од приватизације у посматраном периоду</w:t>
      </w:r>
      <w:r w:rsidRPr="00F27A03">
        <w:rPr>
          <w:rFonts w:cs="Calibri"/>
          <w:szCs w:val="20"/>
          <w:lang w:val="sr-Cyrl-CS" w:eastAsia="ja-JP"/>
        </w:rPr>
        <w:t>. Евентуални већи приватизациони приходи смањују потребу за финансирањем и додатно смањују учешће јавног дуга.</w:t>
      </w:r>
    </w:p>
    <w:p w14:paraId="4F7E0AA2" w14:textId="77777777" w:rsidR="00ED5386" w:rsidRPr="00F27A03" w:rsidRDefault="00ED5386" w:rsidP="00DB0157">
      <w:pPr>
        <w:numPr>
          <w:ilvl w:val="0"/>
          <w:numId w:val="3"/>
        </w:numPr>
        <w:ind w:left="90" w:hanging="181"/>
        <w:rPr>
          <w:rFonts w:cs="Calibri"/>
          <w:szCs w:val="20"/>
          <w:lang w:val="sr-Cyrl-CS" w:eastAsia="ja-JP"/>
        </w:rPr>
        <w:sectPr w:rsidR="00ED5386" w:rsidRPr="00F27A03" w:rsidSect="00ED5386">
          <w:type w:val="continuous"/>
          <w:pgSz w:w="12240" w:h="15840" w:code="1"/>
          <w:pgMar w:top="1417" w:right="1417" w:bottom="1417" w:left="1417" w:header="720" w:footer="720" w:gutter="0"/>
          <w:cols w:num="2" w:space="720"/>
          <w15:footnoteColumns w:val="1"/>
        </w:sectPr>
      </w:pPr>
    </w:p>
    <w:p w14:paraId="316AD31A" w14:textId="7C334601" w:rsidR="00ED5386" w:rsidRPr="00F27A03" w:rsidRDefault="00ED5386" w:rsidP="00E124CF">
      <w:pPr>
        <w:spacing w:after="0"/>
        <w:jc w:val="center"/>
        <w:rPr>
          <w:rFonts w:cstheme="minorHAnsi"/>
          <w:b/>
          <w:color w:val="002060"/>
          <w:lang w:val="sr-Cyrl-CS"/>
        </w:rPr>
      </w:pPr>
      <w:r w:rsidRPr="00F27A03">
        <w:rPr>
          <w:rFonts w:cstheme="minorHAnsi"/>
          <w:b/>
          <w:color w:val="002060"/>
          <w:lang w:val="sr-Cyrl-CS"/>
        </w:rPr>
        <w:t>Табела 2</w:t>
      </w:r>
      <w:r w:rsidR="00EB3946" w:rsidRPr="00F27A03">
        <w:rPr>
          <w:rFonts w:cstheme="minorHAnsi"/>
          <w:b/>
          <w:color w:val="002060"/>
          <w:lang w:val="sr-Cyrl-CS"/>
        </w:rPr>
        <w:t>0</w:t>
      </w:r>
      <w:r w:rsidRPr="00F27A03">
        <w:rPr>
          <w:rFonts w:cstheme="minorHAnsi"/>
          <w:b/>
          <w:color w:val="002060"/>
          <w:lang w:val="sr-Cyrl-CS"/>
        </w:rPr>
        <w:t>. Симулација нивоа укупног дуга у основном сценарију до 2030. године, % БДП</w:t>
      </w:r>
    </w:p>
    <w:tbl>
      <w:tblPr>
        <w:tblStyle w:val="LightShading-Accent3382"/>
        <w:tblW w:w="5000" w:type="pct"/>
        <w:jc w:val="center"/>
        <w:tblLook w:val="04A0" w:firstRow="1" w:lastRow="0" w:firstColumn="1" w:lastColumn="0" w:noHBand="0" w:noVBand="1"/>
      </w:tblPr>
      <w:tblGrid>
        <w:gridCol w:w="2088"/>
        <w:gridCol w:w="732"/>
        <w:gridCol w:w="732"/>
        <w:gridCol w:w="733"/>
        <w:gridCol w:w="733"/>
        <w:gridCol w:w="733"/>
        <w:gridCol w:w="733"/>
        <w:gridCol w:w="733"/>
        <w:gridCol w:w="731"/>
        <w:gridCol w:w="731"/>
        <w:gridCol w:w="727"/>
      </w:tblGrid>
      <w:tr w:rsidR="004F25CE" w:rsidRPr="00F27A03" w14:paraId="3F171752" w14:textId="77777777" w:rsidTr="0084261B">
        <w:trPr>
          <w:cnfStyle w:val="100000000000" w:firstRow="1" w:lastRow="0" w:firstColumn="0" w:lastColumn="0" w:oddVBand="0" w:evenVBand="0" w:oddHBand="0"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025" w:type="pct"/>
            <w:tcBorders>
              <w:top w:val="single" w:sz="4" w:space="0" w:color="002060"/>
              <w:bottom w:val="single" w:sz="4" w:space="0" w:color="002060"/>
            </w:tcBorders>
            <w:shd w:val="clear" w:color="auto" w:fill="auto"/>
            <w:vAlign w:val="center"/>
            <w:hideMark/>
          </w:tcPr>
          <w:p w14:paraId="6A3155A6" w14:textId="77777777" w:rsidR="00ED5386" w:rsidRPr="00F27A03" w:rsidRDefault="00ED5386" w:rsidP="00C43FA1">
            <w:pPr>
              <w:ind w:right="-427"/>
              <w:jc w:val="left"/>
              <w:rPr>
                <w:rFonts w:ascii="Calibri" w:eastAsia="Times New Roman" w:hAnsi="Calibri" w:cs="Calibri"/>
                <w:bCs w:val="0"/>
                <w:color w:val="002060"/>
                <w:sz w:val="18"/>
                <w:szCs w:val="18"/>
                <w:lang w:val="sr-Cyrl-CS"/>
              </w:rPr>
            </w:pPr>
            <w:r w:rsidRPr="00F27A03">
              <w:rPr>
                <w:rFonts w:ascii="Calibri" w:eastAsia="Times New Roman" w:hAnsi="Calibri" w:cs="Calibri"/>
                <w:b w:val="0"/>
                <w:bCs w:val="0"/>
                <w:color w:val="002060"/>
                <w:sz w:val="18"/>
                <w:szCs w:val="18"/>
                <w:lang w:val="sr-Cyrl-CS"/>
              </w:rPr>
              <w:t>Основни сценарио</w:t>
            </w:r>
          </w:p>
        </w:tc>
        <w:tc>
          <w:tcPr>
            <w:tcW w:w="398" w:type="pct"/>
            <w:tcBorders>
              <w:top w:val="single" w:sz="4" w:space="0" w:color="002060"/>
              <w:bottom w:val="single" w:sz="4" w:space="0" w:color="002060"/>
            </w:tcBorders>
            <w:shd w:val="clear" w:color="auto" w:fill="auto"/>
            <w:noWrap/>
            <w:vAlign w:val="center"/>
            <w:hideMark/>
          </w:tcPr>
          <w:p w14:paraId="01AFACE8" w14:textId="77777777" w:rsidR="00ED5386" w:rsidRPr="00F27A03" w:rsidRDefault="00ED5386"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F27A03">
              <w:rPr>
                <w:rFonts w:ascii="Calibri" w:hAnsi="Calibri" w:cs="Calibri"/>
                <w:b w:val="0"/>
                <w:bCs w:val="0"/>
                <w:color w:val="002060"/>
                <w:sz w:val="18"/>
                <w:szCs w:val="18"/>
                <w:lang w:val="sr-Cyrl-CS"/>
              </w:rPr>
              <w:t>2021</w:t>
            </w:r>
          </w:p>
        </w:tc>
        <w:tc>
          <w:tcPr>
            <w:tcW w:w="398" w:type="pct"/>
            <w:tcBorders>
              <w:top w:val="single" w:sz="4" w:space="0" w:color="002060"/>
              <w:bottom w:val="single" w:sz="4" w:space="0" w:color="002060"/>
            </w:tcBorders>
            <w:shd w:val="clear" w:color="auto" w:fill="auto"/>
            <w:noWrap/>
            <w:vAlign w:val="center"/>
            <w:hideMark/>
          </w:tcPr>
          <w:p w14:paraId="4B88ED76" w14:textId="77777777" w:rsidR="00ED5386" w:rsidRPr="00F27A03" w:rsidRDefault="00ED5386"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F27A03">
              <w:rPr>
                <w:rFonts w:ascii="Calibri" w:hAnsi="Calibri" w:cs="Calibri"/>
                <w:b w:val="0"/>
                <w:bCs w:val="0"/>
                <w:color w:val="002060"/>
                <w:sz w:val="18"/>
                <w:szCs w:val="18"/>
                <w:lang w:val="sr-Cyrl-CS"/>
              </w:rPr>
              <w:t>2022</w:t>
            </w:r>
          </w:p>
        </w:tc>
        <w:tc>
          <w:tcPr>
            <w:tcW w:w="398" w:type="pct"/>
            <w:tcBorders>
              <w:top w:val="single" w:sz="4" w:space="0" w:color="002060"/>
              <w:bottom w:val="single" w:sz="4" w:space="0" w:color="002060"/>
            </w:tcBorders>
            <w:shd w:val="clear" w:color="auto" w:fill="auto"/>
            <w:noWrap/>
            <w:vAlign w:val="center"/>
            <w:hideMark/>
          </w:tcPr>
          <w:p w14:paraId="5F0AB603" w14:textId="77777777" w:rsidR="00ED5386" w:rsidRPr="00F27A03" w:rsidRDefault="00ED5386"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F27A03">
              <w:rPr>
                <w:rFonts w:ascii="Calibri" w:hAnsi="Calibri" w:cs="Calibri"/>
                <w:b w:val="0"/>
                <w:bCs w:val="0"/>
                <w:color w:val="002060"/>
                <w:sz w:val="18"/>
                <w:szCs w:val="18"/>
                <w:lang w:val="sr-Cyrl-CS"/>
              </w:rPr>
              <w:t>2023</w:t>
            </w:r>
          </w:p>
        </w:tc>
        <w:tc>
          <w:tcPr>
            <w:tcW w:w="398" w:type="pct"/>
            <w:tcBorders>
              <w:top w:val="single" w:sz="4" w:space="0" w:color="002060"/>
              <w:bottom w:val="single" w:sz="4" w:space="0" w:color="002060"/>
            </w:tcBorders>
            <w:shd w:val="clear" w:color="auto" w:fill="auto"/>
            <w:noWrap/>
            <w:vAlign w:val="center"/>
            <w:hideMark/>
          </w:tcPr>
          <w:p w14:paraId="38F58262" w14:textId="77777777" w:rsidR="00ED5386" w:rsidRPr="00F27A03" w:rsidRDefault="00ED5386"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F27A03">
              <w:rPr>
                <w:rFonts w:ascii="Calibri" w:hAnsi="Calibri" w:cs="Calibri"/>
                <w:b w:val="0"/>
                <w:bCs w:val="0"/>
                <w:color w:val="002060"/>
                <w:sz w:val="18"/>
                <w:szCs w:val="18"/>
                <w:lang w:val="sr-Cyrl-CS"/>
              </w:rPr>
              <w:t>2024</w:t>
            </w:r>
          </w:p>
        </w:tc>
        <w:tc>
          <w:tcPr>
            <w:tcW w:w="398" w:type="pct"/>
            <w:tcBorders>
              <w:top w:val="single" w:sz="4" w:space="0" w:color="002060"/>
              <w:bottom w:val="single" w:sz="4" w:space="0" w:color="002060"/>
            </w:tcBorders>
            <w:shd w:val="clear" w:color="auto" w:fill="auto"/>
            <w:noWrap/>
            <w:vAlign w:val="center"/>
            <w:hideMark/>
          </w:tcPr>
          <w:p w14:paraId="3D97B5A7" w14:textId="77777777" w:rsidR="00ED5386" w:rsidRPr="00F27A03" w:rsidRDefault="00ED5386"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F27A03">
              <w:rPr>
                <w:rFonts w:ascii="Calibri" w:hAnsi="Calibri" w:cs="Calibri"/>
                <w:b w:val="0"/>
                <w:bCs w:val="0"/>
                <w:color w:val="002060"/>
                <w:sz w:val="18"/>
                <w:szCs w:val="18"/>
                <w:lang w:val="sr-Cyrl-CS"/>
              </w:rPr>
              <w:t>2025</w:t>
            </w:r>
          </w:p>
        </w:tc>
        <w:tc>
          <w:tcPr>
            <w:tcW w:w="398" w:type="pct"/>
            <w:tcBorders>
              <w:top w:val="single" w:sz="4" w:space="0" w:color="002060"/>
              <w:bottom w:val="single" w:sz="4" w:space="0" w:color="002060"/>
            </w:tcBorders>
            <w:shd w:val="clear" w:color="auto" w:fill="auto"/>
            <w:noWrap/>
            <w:vAlign w:val="center"/>
            <w:hideMark/>
          </w:tcPr>
          <w:p w14:paraId="0020AF86" w14:textId="77777777" w:rsidR="00ED5386" w:rsidRPr="00F27A03" w:rsidRDefault="00ED5386"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F27A03">
              <w:rPr>
                <w:rFonts w:ascii="Calibri" w:hAnsi="Calibri" w:cs="Calibri"/>
                <w:b w:val="0"/>
                <w:bCs w:val="0"/>
                <w:color w:val="002060"/>
                <w:sz w:val="18"/>
                <w:szCs w:val="18"/>
                <w:lang w:val="sr-Cyrl-CS"/>
              </w:rPr>
              <w:t>2026</w:t>
            </w:r>
          </w:p>
        </w:tc>
        <w:tc>
          <w:tcPr>
            <w:tcW w:w="398" w:type="pct"/>
            <w:tcBorders>
              <w:top w:val="single" w:sz="4" w:space="0" w:color="002060"/>
              <w:bottom w:val="single" w:sz="4" w:space="0" w:color="002060"/>
            </w:tcBorders>
            <w:shd w:val="clear" w:color="auto" w:fill="auto"/>
            <w:noWrap/>
            <w:vAlign w:val="center"/>
            <w:hideMark/>
          </w:tcPr>
          <w:p w14:paraId="00FA51B8" w14:textId="77777777" w:rsidR="00ED5386" w:rsidRPr="00F27A03" w:rsidRDefault="00ED5386"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F27A03">
              <w:rPr>
                <w:rFonts w:ascii="Calibri" w:hAnsi="Calibri" w:cs="Calibri"/>
                <w:b w:val="0"/>
                <w:bCs w:val="0"/>
                <w:color w:val="002060"/>
                <w:sz w:val="18"/>
                <w:szCs w:val="18"/>
                <w:lang w:val="sr-Cyrl-CS"/>
              </w:rPr>
              <w:t>2027</w:t>
            </w:r>
          </w:p>
        </w:tc>
        <w:tc>
          <w:tcPr>
            <w:tcW w:w="397" w:type="pct"/>
            <w:tcBorders>
              <w:top w:val="single" w:sz="4" w:space="0" w:color="002060"/>
              <w:bottom w:val="single" w:sz="4" w:space="0" w:color="002060"/>
            </w:tcBorders>
            <w:shd w:val="clear" w:color="auto" w:fill="auto"/>
            <w:noWrap/>
            <w:vAlign w:val="center"/>
            <w:hideMark/>
          </w:tcPr>
          <w:p w14:paraId="1E1DAF81" w14:textId="77777777" w:rsidR="00ED5386" w:rsidRPr="00F27A03" w:rsidRDefault="00ED5386" w:rsidP="00ED538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F27A03">
              <w:rPr>
                <w:rFonts w:ascii="Calibri" w:hAnsi="Calibri" w:cs="Calibri"/>
                <w:b w:val="0"/>
                <w:bCs w:val="0"/>
                <w:color w:val="002060"/>
                <w:sz w:val="18"/>
                <w:szCs w:val="18"/>
                <w:lang w:val="sr-Cyrl-CS"/>
              </w:rPr>
              <w:t>2028</w:t>
            </w:r>
          </w:p>
        </w:tc>
        <w:tc>
          <w:tcPr>
            <w:tcW w:w="397" w:type="pct"/>
            <w:tcBorders>
              <w:top w:val="single" w:sz="4" w:space="0" w:color="002060"/>
              <w:bottom w:val="single" w:sz="4" w:space="0" w:color="002060"/>
            </w:tcBorders>
            <w:vAlign w:val="center"/>
          </w:tcPr>
          <w:p w14:paraId="73E2976D" w14:textId="77777777" w:rsidR="00ED5386" w:rsidRPr="00F27A03" w:rsidRDefault="00ED5386" w:rsidP="00ED538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2060"/>
                <w:sz w:val="18"/>
                <w:szCs w:val="18"/>
                <w:lang w:val="sr-Cyrl-CS"/>
              </w:rPr>
            </w:pPr>
            <w:r w:rsidRPr="00F27A03">
              <w:rPr>
                <w:rFonts w:ascii="Calibri" w:hAnsi="Calibri" w:cs="Calibri"/>
                <w:b w:val="0"/>
                <w:bCs w:val="0"/>
                <w:color w:val="002060"/>
                <w:sz w:val="18"/>
                <w:szCs w:val="18"/>
                <w:lang w:val="sr-Cyrl-CS"/>
              </w:rPr>
              <w:t>2029</w:t>
            </w:r>
          </w:p>
        </w:tc>
        <w:tc>
          <w:tcPr>
            <w:tcW w:w="395" w:type="pct"/>
            <w:tcBorders>
              <w:top w:val="single" w:sz="4" w:space="0" w:color="002060"/>
              <w:bottom w:val="single" w:sz="4" w:space="0" w:color="002060"/>
            </w:tcBorders>
            <w:vAlign w:val="center"/>
          </w:tcPr>
          <w:p w14:paraId="56D83286" w14:textId="77777777" w:rsidR="00ED5386" w:rsidRPr="00F27A03" w:rsidRDefault="00ED5386" w:rsidP="00ED538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2060"/>
                <w:sz w:val="18"/>
                <w:szCs w:val="18"/>
                <w:lang w:val="sr-Cyrl-CS"/>
              </w:rPr>
            </w:pPr>
            <w:r w:rsidRPr="00F27A03">
              <w:rPr>
                <w:rFonts w:ascii="Calibri" w:hAnsi="Calibri" w:cs="Calibri"/>
                <w:b w:val="0"/>
                <w:bCs w:val="0"/>
                <w:color w:val="002060"/>
                <w:sz w:val="18"/>
                <w:szCs w:val="18"/>
                <w:lang w:val="sr-Cyrl-CS"/>
              </w:rPr>
              <w:t>2030</w:t>
            </w:r>
          </w:p>
        </w:tc>
      </w:tr>
      <w:tr w:rsidR="00B46230" w:rsidRPr="00F27A03" w14:paraId="44188DD6" w14:textId="77777777" w:rsidTr="0084261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025" w:type="pct"/>
            <w:tcBorders>
              <w:top w:val="single" w:sz="4" w:space="0" w:color="002060"/>
              <w:bottom w:val="nil"/>
            </w:tcBorders>
            <w:shd w:val="clear" w:color="auto" w:fill="auto"/>
            <w:noWrap/>
            <w:vAlign w:val="center"/>
            <w:hideMark/>
          </w:tcPr>
          <w:p w14:paraId="73E67A0E" w14:textId="77777777" w:rsidR="00ED5386" w:rsidRPr="00F27A03" w:rsidRDefault="00ED5386" w:rsidP="00ED5386">
            <w:pPr>
              <w:jc w:val="left"/>
              <w:rPr>
                <w:rFonts w:ascii="Calibri" w:eastAsia="Times New Roman" w:hAnsi="Calibri" w:cs="Calibri"/>
                <w:bCs w:val="0"/>
                <w:color w:val="002060"/>
                <w:sz w:val="18"/>
                <w:szCs w:val="18"/>
                <w:lang w:val="sr-Cyrl-CS"/>
              </w:rPr>
            </w:pPr>
            <w:r w:rsidRPr="00F27A03">
              <w:rPr>
                <w:rFonts w:ascii="Calibri" w:eastAsia="Times New Roman" w:hAnsi="Calibri" w:cs="Calibri"/>
                <w:b w:val="0"/>
                <w:bCs w:val="0"/>
                <w:color w:val="002060"/>
                <w:sz w:val="18"/>
                <w:szCs w:val="18"/>
                <w:lang w:val="sr-Cyrl-CS"/>
              </w:rPr>
              <w:t>Приходи</w:t>
            </w:r>
          </w:p>
        </w:tc>
        <w:tc>
          <w:tcPr>
            <w:tcW w:w="398" w:type="pct"/>
            <w:tcBorders>
              <w:top w:val="single" w:sz="4" w:space="0" w:color="002060"/>
              <w:bottom w:val="nil"/>
            </w:tcBorders>
            <w:shd w:val="clear" w:color="auto" w:fill="auto"/>
            <w:noWrap/>
            <w:vAlign w:val="center"/>
            <w:hideMark/>
          </w:tcPr>
          <w:p w14:paraId="6BE5600C"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43,3</w:t>
            </w:r>
          </w:p>
        </w:tc>
        <w:tc>
          <w:tcPr>
            <w:tcW w:w="398" w:type="pct"/>
            <w:tcBorders>
              <w:top w:val="single" w:sz="4" w:space="0" w:color="002060"/>
              <w:bottom w:val="nil"/>
            </w:tcBorders>
            <w:shd w:val="clear" w:color="auto" w:fill="auto"/>
            <w:noWrap/>
            <w:vAlign w:val="center"/>
            <w:hideMark/>
          </w:tcPr>
          <w:p w14:paraId="59A29B07"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43,0</w:t>
            </w:r>
          </w:p>
        </w:tc>
        <w:tc>
          <w:tcPr>
            <w:tcW w:w="398" w:type="pct"/>
            <w:tcBorders>
              <w:top w:val="single" w:sz="4" w:space="0" w:color="002060"/>
              <w:bottom w:val="nil"/>
            </w:tcBorders>
            <w:shd w:val="clear" w:color="auto" w:fill="auto"/>
            <w:noWrap/>
            <w:vAlign w:val="center"/>
            <w:hideMark/>
          </w:tcPr>
          <w:p w14:paraId="4E224052"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40,8</w:t>
            </w:r>
          </w:p>
        </w:tc>
        <w:tc>
          <w:tcPr>
            <w:tcW w:w="398" w:type="pct"/>
            <w:tcBorders>
              <w:top w:val="single" w:sz="4" w:space="0" w:color="002060"/>
              <w:bottom w:val="nil"/>
            </w:tcBorders>
            <w:shd w:val="clear" w:color="auto" w:fill="auto"/>
            <w:noWrap/>
            <w:vAlign w:val="center"/>
            <w:hideMark/>
          </w:tcPr>
          <w:p w14:paraId="130A6F65"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40,3</w:t>
            </w:r>
          </w:p>
        </w:tc>
        <w:tc>
          <w:tcPr>
            <w:tcW w:w="398" w:type="pct"/>
            <w:tcBorders>
              <w:top w:val="single" w:sz="4" w:space="0" w:color="002060"/>
              <w:bottom w:val="nil"/>
            </w:tcBorders>
            <w:shd w:val="clear" w:color="auto" w:fill="auto"/>
            <w:noWrap/>
            <w:vAlign w:val="center"/>
            <w:hideMark/>
          </w:tcPr>
          <w:p w14:paraId="126034DC"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39,6</w:t>
            </w:r>
          </w:p>
        </w:tc>
        <w:tc>
          <w:tcPr>
            <w:tcW w:w="398" w:type="pct"/>
            <w:tcBorders>
              <w:top w:val="single" w:sz="4" w:space="0" w:color="002060"/>
              <w:bottom w:val="nil"/>
            </w:tcBorders>
            <w:shd w:val="clear" w:color="auto" w:fill="auto"/>
            <w:noWrap/>
            <w:vAlign w:val="center"/>
            <w:hideMark/>
          </w:tcPr>
          <w:p w14:paraId="0FD8941F"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39,3</w:t>
            </w:r>
          </w:p>
        </w:tc>
        <w:tc>
          <w:tcPr>
            <w:tcW w:w="398" w:type="pct"/>
            <w:tcBorders>
              <w:top w:val="single" w:sz="4" w:space="0" w:color="002060"/>
              <w:bottom w:val="nil"/>
            </w:tcBorders>
            <w:shd w:val="clear" w:color="auto" w:fill="auto"/>
            <w:noWrap/>
            <w:vAlign w:val="center"/>
            <w:hideMark/>
          </w:tcPr>
          <w:p w14:paraId="02B72595"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39,1</w:t>
            </w:r>
          </w:p>
        </w:tc>
        <w:tc>
          <w:tcPr>
            <w:tcW w:w="397" w:type="pct"/>
            <w:tcBorders>
              <w:top w:val="single" w:sz="4" w:space="0" w:color="002060"/>
              <w:bottom w:val="nil"/>
            </w:tcBorders>
            <w:shd w:val="clear" w:color="auto" w:fill="auto"/>
            <w:noWrap/>
            <w:vAlign w:val="center"/>
            <w:hideMark/>
          </w:tcPr>
          <w:p w14:paraId="47298112"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38,9</w:t>
            </w:r>
          </w:p>
        </w:tc>
        <w:tc>
          <w:tcPr>
            <w:tcW w:w="397" w:type="pct"/>
            <w:tcBorders>
              <w:top w:val="single" w:sz="4" w:space="0" w:color="002060"/>
              <w:bottom w:val="nil"/>
            </w:tcBorders>
            <w:shd w:val="clear" w:color="auto" w:fill="auto"/>
            <w:vAlign w:val="center"/>
          </w:tcPr>
          <w:p w14:paraId="1E49755F"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38,7</w:t>
            </w:r>
          </w:p>
        </w:tc>
        <w:tc>
          <w:tcPr>
            <w:tcW w:w="395" w:type="pct"/>
            <w:tcBorders>
              <w:top w:val="single" w:sz="4" w:space="0" w:color="002060"/>
              <w:bottom w:val="nil"/>
            </w:tcBorders>
            <w:shd w:val="clear" w:color="auto" w:fill="auto"/>
            <w:vAlign w:val="center"/>
          </w:tcPr>
          <w:p w14:paraId="0328823A"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38,5</w:t>
            </w:r>
          </w:p>
        </w:tc>
      </w:tr>
      <w:tr w:rsidR="00B46230" w:rsidRPr="00F27A03" w14:paraId="7A189756" w14:textId="77777777" w:rsidTr="0084261B">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025" w:type="pct"/>
            <w:tcBorders>
              <w:top w:val="nil"/>
              <w:left w:val="nil"/>
              <w:bottom w:val="nil"/>
              <w:right w:val="nil"/>
            </w:tcBorders>
            <w:shd w:val="clear" w:color="auto" w:fill="auto"/>
            <w:noWrap/>
            <w:vAlign w:val="center"/>
            <w:hideMark/>
          </w:tcPr>
          <w:p w14:paraId="7D062F5F" w14:textId="77777777" w:rsidR="00ED5386" w:rsidRPr="00F27A03" w:rsidRDefault="00ED5386" w:rsidP="00ED5386">
            <w:pPr>
              <w:jc w:val="left"/>
              <w:rPr>
                <w:rFonts w:ascii="Calibri" w:eastAsia="Times New Roman" w:hAnsi="Calibri" w:cs="Calibri"/>
                <w:bCs w:val="0"/>
                <w:color w:val="002060"/>
                <w:sz w:val="18"/>
                <w:szCs w:val="18"/>
                <w:lang w:val="sr-Cyrl-CS"/>
              </w:rPr>
            </w:pPr>
            <w:r w:rsidRPr="00F27A03">
              <w:rPr>
                <w:rFonts w:ascii="Calibri" w:eastAsia="Times New Roman" w:hAnsi="Calibri" w:cs="Calibri"/>
                <w:b w:val="0"/>
                <w:bCs w:val="0"/>
                <w:color w:val="002060"/>
                <w:sz w:val="18"/>
                <w:szCs w:val="18"/>
                <w:lang w:val="sr-Cyrl-CS"/>
              </w:rPr>
              <w:t>Расходи</w:t>
            </w:r>
          </w:p>
        </w:tc>
        <w:tc>
          <w:tcPr>
            <w:tcW w:w="398" w:type="pct"/>
            <w:tcBorders>
              <w:top w:val="nil"/>
              <w:left w:val="nil"/>
              <w:bottom w:val="nil"/>
              <w:right w:val="nil"/>
            </w:tcBorders>
            <w:shd w:val="clear" w:color="auto" w:fill="auto"/>
            <w:noWrap/>
            <w:vAlign w:val="center"/>
            <w:hideMark/>
          </w:tcPr>
          <w:p w14:paraId="71543E2E"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47,4</w:t>
            </w:r>
          </w:p>
        </w:tc>
        <w:tc>
          <w:tcPr>
            <w:tcW w:w="398" w:type="pct"/>
            <w:tcBorders>
              <w:top w:val="nil"/>
              <w:left w:val="nil"/>
              <w:bottom w:val="nil"/>
              <w:right w:val="nil"/>
            </w:tcBorders>
            <w:shd w:val="clear" w:color="auto" w:fill="auto"/>
            <w:noWrap/>
            <w:vAlign w:val="center"/>
            <w:hideMark/>
          </w:tcPr>
          <w:p w14:paraId="47E24F7D"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46,8</w:t>
            </w:r>
          </w:p>
        </w:tc>
        <w:tc>
          <w:tcPr>
            <w:tcW w:w="398" w:type="pct"/>
            <w:tcBorders>
              <w:top w:val="nil"/>
              <w:left w:val="nil"/>
              <w:bottom w:val="nil"/>
              <w:right w:val="nil"/>
            </w:tcBorders>
            <w:shd w:val="clear" w:color="auto" w:fill="auto"/>
            <w:noWrap/>
            <w:vAlign w:val="center"/>
            <w:hideMark/>
          </w:tcPr>
          <w:p w14:paraId="50105416"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44,1</w:t>
            </w:r>
          </w:p>
        </w:tc>
        <w:tc>
          <w:tcPr>
            <w:tcW w:w="398" w:type="pct"/>
            <w:tcBorders>
              <w:top w:val="nil"/>
              <w:left w:val="nil"/>
              <w:bottom w:val="nil"/>
              <w:right w:val="nil"/>
            </w:tcBorders>
            <w:shd w:val="clear" w:color="auto" w:fill="auto"/>
            <w:noWrap/>
            <w:vAlign w:val="center"/>
            <w:hideMark/>
          </w:tcPr>
          <w:p w14:paraId="1D76BC7E"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42,5</w:t>
            </w:r>
          </w:p>
        </w:tc>
        <w:tc>
          <w:tcPr>
            <w:tcW w:w="398" w:type="pct"/>
            <w:tcBorders>
              <w:top w:val="nil"/>
              <w:left w:val="nil"/>
              <w:bottom w:val="nil"/>
              <w:right w:val="nil"/>
            </w:tcBorders>
            <w:shd w:val="clear" w:color="auto" w:fill="auto"/>
            <w:noWrap/>
            <w:vAlign w:val="center"/>
            <w:hideMark/>
          </w:tcPr>
          <w:p w14:paraId="6F29E1D9"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41,0</w:t>
            </w:r>
          </w:p>
        </w:tc>
        <w:tc>
          <w:tcPr>
            <w:tcW w:w="398" w:type="pct"/>
            <w:tcBorders>
              <w:top w:val="nil"/>
              <w:left w:val="nil"/>
              <w:bottom w:val="nil"/>
              <w:right w:val="nil"/>
            </w:tcBorders>
            <w:shd w:val="clear" w:color="auto" w:fill="auto"/>
            <w:noWrap/>
            <w:vAlign w:val="center"/>
            <w:hideMark/>
          </w:tcPr>
          <w:p w14:paraId="34CA24E3"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40,5</w:t>
            </w:r>
          </w:p>
        </w:tc>
        <w:tc>
          <w:tcPr>
            <w:tcW w:w="398" w:type="pct"/>
            <w:tcBorders>
              <w:top w:val="nil"/>
              <w:left w:val="nil"/>
              <w:bottom w:val="nil"/>
              <w:right w:val="nil"/>
            </w:tcBorders>
            <w:shd w:val="clear" w:color="auto" w:fill="auto"/>
            <w:noWrap/>
            <w:vAlign w:val="center"/>
            <w:hideMark/>
          </w:tcPr>
          <w:p w14:paraId="49F5F766"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40,1</w:t>
            </w:r>
          </w:p>
        </w:tc>
        <w:tc>
          <w:tcPr>
            <w:tcW w:w="397" w:type="pct"/>
            <w:tcBorders>
              <w:top w:val="nil"/>
              <w:left w:val="nil"/>
              <w:bottom w:val="nil"/>
              <w:right w:val="nil"/>
            </w:tcBorders>
            <w:shd w:val="clear" w:color="auto" w:fill="auto"/>
            <w:noWrap/>
            <w:vAlign w:val="center"/>
            <w:hideMark/>
          </w:tcPr>
          <w:p w14:paraId="7C20E336"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39,7</w:t>
            </w:r>
          </w:p>
        </w:tc>
        <w:tc>
          <w:tcPr>
            <w:tcW w:w="397" w:type="pct"/>
            <w:tcBorders>
              <w:top w:val="nil"/>
              <w:left w:val="nil"/>
              <w:bottom w:val="nil"/>
              <w:right w:val="nil"/>
            </w:tcBorders>
            <w:shd w:val="clear" w:color="auto" w:fill="auto"/>
            <w:vAlign w:val="center"/>
          </w:tcPr>
          <w:p w14:paraId="14B982AF"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39,2</w:t>
            </w:r>
          </w:p>
        </w:tc>
        <w:tc>
          <w:tcPr>
            <w:tcW w:w="395" w:type="pct"/>
            <w:tcBorders>
              <w:top w:val="nil"/>
              <w:left w:val="nil"/>
              <w:bottom w:val="nil"/>
              <w:right w:val="nil"/>
            </w:tcBorders>
            <w:shd w:val="clear" w:color="auto" w:fill="auto"/>
            <w:vAlign w:val="center"/>
          </w:tcPr>
          <w:p w14:paraId="2BD734FD"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39,0</w:t>
            </w:r>
          </w:p>
        </w:tc>
      </w:tr>
      <w:tr w:rsidR="00B46230" w:rsidRPr="00F27A03" w14:paraId="6202C6B2" w14:textId="77777777" w:rsidTr="0084261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025" w:type="pct"/>
            <w:tcBorders>
              <w:top w:val="nil"/>
              <w:bottom w:val="nil"/>
            </w:tcBorders>
            <w:shd w:val="clear" w:color="auto" w:fill="auto"/>
            <w:noWrap/>
            <w:vAlign w:val="center"/>
            <w:hideMark/>
          </w:tcPr>
          <w:p w14:paraId="1C72BEBF" w14:textId="77777777" w:rsidR="00ED5386" w:rsidRPr="00F27A03" w:rsidRDefault="00ED5386" w:rsidP="00ED5386">
            <w:pPr>
              <w:jc w:val="left"/>
              <w:rPr>
                <w:rFonts w:ascii="Calibri" w:eastAsia="Times New Roman" w:hAnsi="Calibri" w:cs="Calibri"/>
                <w:bCs w:val="0"/>
                <w:iCs/>
                <w:color w:val="002060"/>
                <w:sz w:val="18"/>
                <w:szCs w:val="18"/>
                <w:lang w:val="sr-Cyrl-CS"/>
              </w:rPr>
            </w:pPr>
            <w:r w:rsidRPr="00F27A03">
              <w:rPr>
                <w:rFonts w:ascii="Calibri" w:eastAsia="Times New Roman" w:hAnsi="Calibri" w:cs="Calibri"/>
                <w:b w:val="0"/>
                <w:bCs w:val="0"/>
                <w:iCs/>
                <w:color w:val="002060"/>
                <w:sz w:val="18"/>
                <w:szCs w:val="18"/>
                <w:lang w:val="sr-Cyrl-CS"/>
              </w:rPr>
              <w:t>Пад учешћа расхода</w:t>
            </w:r>
          </w:p>
        </w:tc>
        <w:tc>
          <w:tcPr>
            <w:tcW w:w="398" w:type="pct"/>
            <w:tcBorders>
              <w:top w:val="nil"/>
              <w:bottom w:val="nil"/>
            </w:tcBorders>
            <w:shd w:val="clear" w:color="auto" w:fill="auto"/>
            <w:noWrap/>
            <w:vAlign w:val="center"/>
            <w:hideMark/>
          </w:tcPr>
          <w:p w14:paraId="790C6CA4"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p>
        </w:tc>
        <w:tc>
          <w:tcPr>
            <w:tcW w:w="398" w:type="pct"/>
            <w:tcBorders>
              <w:top w:val="nil"/>
              <w:bottom w:val="nil"/>
            </w:tcBorders>
            <w:shd w:val="clear" w:color="auto" w:fill="auto"/>
            <w:noWrap/>
            <w:vAlign w:val="center"/>
            <w:hideMark/>
          </w:tcPr>
          <w:p w14:paraId="6CB0C5D0"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-0,6</w:t>
            </w:r>
          </w:p>
        </w:tc>
        <w:tc>
          <w:tcPr>
            <w:tcW w:w="398" w:type="pct"/>
            <w:tcBorders>
              <w:top w:val="nil"/>
              <w:bottom w:val="nil"/>
            </w:tcBorders>
            <w:shd w:val="clear" w:color="auto" w:fill="auto"/>
            <w:noWrap/>
            <w:vAlign w:val="center"/>
            <w:hideMark/>
          </w:tcPr>
          <w:p w14:paraId="54A1AEAD"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-2,7</w:t>
            </w:r>
          </w:p>
        </w:tc>
        <w:tc>
          <w:tcPr>
            <w:tcW w:w="398" w:type="pct"/>
            <w:tcBorders>
              <w:top w:val="nil"/>
              <w:bottom w:val="nil"/>
            </w:tcBorders>
            <w:shd w:val="clear" w:color="auto" w:fill="auto"/>
            <w:noWrap/>
            <w:vAlign w:val="center"/>
            <w:hideMark/>
          </w:tcPr>
          <w:p w14:paraId="59B71543"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-1,6</w:t>
            </w:r>
          </w:p>
        </w:tc>
        <w:tc>
          <w:tcPr>
            <w:tcW w:w="398" w:type="pct"/>
            <w:tcBorders>
              <w:top w:val="nil"/>
              <w:bottom w:val="nil"/>
            </w:tcBorders>
            <w:shd w:val="clear" w:color="auto" w:fill="auto"/>
            <w:noWrap/>
            <w:vAlign w:val="center"/>
            <w:hideMark/>
          </w:tcPr>
          <w:p w14:paraId="5FB79330"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-1,5</w:t>
            </w:r>
          </w:p>
        </w:tc>
        <w:tc>
          <w:tcPr>
            <w:tcW w:w="398" w:type="pct"/>
            <w:tcBorders>
              <w:top w:val="nil"/>
              <w:bottom w:val="nil"/>
            </w:tcBorders>
            <w:shd w:val="clear" w:color="auto" w:fill="auto"/>
            <w:noWrap/>
            <w:vAlign w:val="center"/>
            <w:hideMark/>
          </w:tcPr>
          <w:p w14:paraId="20968F33"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-0,4</w:t>
            </w:r>
          </w:p>
        </w:tc>
        <w:tc>
          <w:tcPr>
            <w:tcW w:w="398" w:type="pct"/>
            <w:tcBorders>
              <w:top w:val="nil"/>
              <w:bottom w:val="nil"/>
            </w:tcBorders>
            <w:shd w:val="clear" w:color="auto" w:fill="auto"/>
            <w:noWrap/>
            <w:vAlign w:val="center"/>
            <w:hideMark/>
          </w:tcPr>
          <w:p w14:paraId="4B006D8B"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-0,4</w:t>
            </w:r>
          </w:p>
        </w:tc>
        <w:tc>
          <w:tcPr>
            <w:tcW w:w="397" w:type="pct"/>
            <w:tcBorders>
              <w:top w:val="nil"/>
              <w:bottom w:val="nil"/>
            </w:tcBorders>
            <w:shd w:val="clear" w:color="auto" w:fill="auto"/>
            <w:noWrap/>
            <w:vAlign w:val="center"/>
            <w:hideMark/>
          </w:tcPr>
          <w:p w14:paraId="6A775B6A"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-0,4</w:t>
            </w:r>
          </w:p>
        </w:tc>
        <w:tc>
          <w:tcPr>
            <w:tcW w:w="397" w:type="pct"/>
            <w:tcBorders>
              <w:top w:val="nil"/>
              <w:bottom w:val="nil"/>
            </w:tcBorders>
            <w:shd w:val="clear" w:color="auto" w:fill="auto"/>
            <w:vAlign w:val="center"/>
          </w:tcPr>
          <w:p w14:paraId="7FFADD40"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-0,5</w:t>
            </w:r>
          </w:p>
        </w:tc>
        <w:tc>
          <w:tcPr>
            <w:tcW w:w="395" w:type="pct"/>
            <w:tcBorders>
              <w:top w:val="nil"/>
              <w:bottom w:val="nil"/>
            </w:tcBorders>
            <w:shd w:val="clear" w:color="auto" w:fill="auto"/>
            <w:vAlign w:val="center"/>
          </w:tcPr>
          <w:p w14:paraId="5606E818"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-0,2</w:t>
            </w:r>
          </w:p>
        </w:tc>
      </w:tr>
      <w:tr w:rsidR="00B46230" w:rsidRPr="00F27A03" w14:paraId="6F7779A7" w14:textId="77777777" w:rsidTr="0084261B">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025" w:type="pct"/>
            <w:tcBorders>
              <w:top w:val="nil"/>
              <w:left w:val="nil"/>
              <w:bottom w:val="nil"/>
              <w:right w:val="nil"/>
            </w:tcBorders>
            <w:shd w:val="clear" w:color="auto" w:fill="auto"/>
            <w:noWrap/>
            <w:vAlign w:val="center"/>
            <w:hideMark/>
          </w:tcPr>
          <w:p w14:paraId="1F8D7CAC" w14:textId="77777777" w:rsidR="00ED5386" w:rsidRPr="00F27A03" w:rsidRDefault="00ED5386" w:rsidP="00ED5386">
            <w:pPr>
              <w:jc w:val="left"/>
              <w:rPr>
                <w:rFonts w:ascii="Calibri" w:eastAsia="Times New Roman" w:hAnsi="Calibri" w:cs="Calibri"/>
                <w:bCs w:val="0"/>
                <w:color w:val="002060"/>
                <w:sz w:val="18"/>
                <w:szCs w:val="18"/>
                <w:lang w:val="sr-Cyrl-CS"/>
              </w:rPr>
            </w:pPr>
            <w:r w:rsidRPr="00F27A03">
              <w:rPr>
                <w:rFonts w:ascii="Calibri" w:eastAsia="Times New Roman" w:hAnsi="Calibri" w:cs="Calibri"/>
                <w:b w:val="0"/>
                <w:bCs w:val="0"/>
                <w:color w:val="002060"/>
                <w:sz w:val="18"/>
                <w:szCs w:val="18"/>
                <w:lang w:val="sr-Cyrl-CS"/>
              </w:rPr>
              <w:t xml:space="preserve">Фискални резултат </w:t>
            </w:r>
          </w:p>
        </w:tc>
        <w:tc>
          <w:tcPr>
            <w:tcW w:w="398" w:type="pct"/>
            <w:tcBorders>
              <w:top w:val="nil"/>
              <w:left w:val="nil"/>
              <w:bottom w:val="nil"/>
              <w:right w:val="nil"/>
            </w:tcBorders>
            <w:shd w:val="clear" w:color="auto" w:fill="auto"/>
            <w:noWrap/>
            <w:vAlign w:val="center"/>
            <w:hideMark/>
          </w:tcPr>
          <w:p w14:paraId="11F49C71"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-4,1</w:t>
            </w:r>
          </w:p>
        </w:tc>
        <w:tc>
          <w:tcPr>
            <w:tcW w:w="398" w:type="pct"/>
            <w:tcBorders>
              <w:top w:val="nil"/>
              <w:left w:val="nil"/>
              <w:bottom w:val="nil"/>
              <w:right w:val="nil"/>
            </w:tcBorders>
            <w:shd w:val="clear" w:color="auto" w:fill="auto"/>
            <w:noWrap/>
            <w:vAlign w:val="center"/>
            <w:hideMark/>
          </w:tcPr>
          <w:p w14:paraId="7022593D"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-3,8</w:t>
            </w:r>
          </w:p>
        </w:tc>
        <w:tc>
          <w:tcPr>
            <w:tcW w:w="398" w:type="pct"/>
            <w:tcBorders>
              <w:top w:val="nil"/>
              <w:left w:val="nil"/>
              <w:bottom w:val="nil"/>
              <w:right w:val="nil"/>
            </w:tcBorders>
            <w:shd w:val="clear" w:color="auto" w:fill="auto"/>
            <w:noWrap/>
            <w:vAlign w:val="center"/>
            <w:hideMark/>
          </w:tcPr>
          <w:p w14:paraId="70C67038"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-3,3</w:t>
            </w:r>
          </w:p>
        </w:tc>
        <w:tc>
          <w:tcPr>
            <w:tcW w:w="398" w:type="pct"/>
            <w:tcBorders>
              <w:top w:val="nil"/>
              <w:left w:val="nil"/>
              <w:bottom w:val="nil"/>
              <w:right w:val="nil"/>
            </w:tcBorders>
            <w:shd w:val="clear" w:color="auto" w:fill="auto"/>
            <w:noWrap/>
            <w:vAlign w:val="center"/>
            <w:hideMark/>
          </w:tcPr>
          <w:p w14:paraId="07CC0650"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-2,2</w:t>
            </w:r>
          </w:p>
        </w:tc>
        <w:tc>
          <w:tcPr>
            <w:tcW w:w="398" w:type="pct"/>
            <w:tcBorders>
              <w:top w:val="nil"/>
              <w:left w:val="nil"/>
              <w:bottom w:val="nil"/>
              <w:right w:val="nil"/>
            </w:tcBorders>
            <w:shd w:val="clear" w:color="auto" w:fill="auto"/>
            <w:noWrap/>
            <w:vAlign w:val="center"/>
            <w:hideMark/>
          </w:tcPr>
          <w:p w14:paraId="391AE92E"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-1,4</w:t>
            </w:r>
          </w:p>
        </w:tc>
        <w:tc>
          <w:tcPr>
            <w:tcW w:w="398" w:type="pct"/>
            <w:tcBorders>
              <w:top w:val="nil"/>
              <w:left w:val="nil"/>
              <w:bottom w:val="nil"/>
              <w:right w:val="nil"/>
            </w:tcBorders>
            <w:shd w:val="clear" w:color="auto" w:fill="auto"/>
            <w:noWrap/>
            <w:vAlign w:val="center"/>
            <w:hideMark/>
          </w:tcPr>
          <w:p w14:paraId="58705370"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-1,2</w:t>
            </w:r>
          </w:p>
        </w:tc>
        <w:tc>
          <w:tcPr>
            <w:tcW w:w="398" w:type="pct"/>
            <w:tcBorders>
              <w:top w:val="nil"/>
              <w:left w:val="nil"/>
              <w:bottom w:val="nil"/>
              <w:right w:val="nil"/>
            </w:tcBorders>
            <w:shd w:val="clear" w:color="auto" w:fill="auto"/>
            <w:noWrap/>
            <w:vAlign w:val="center"/>
            <w:hideMark/>
          </w:tcPr>
          <w:p w14:paraId="683DE5B3"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-1,0</w:t>
            </w:r>
          </w:p>
        </w:tc>
        <w:tc>
          <w:tcPr>
            <w:tcW w:w="397" w:type="pct"/>
            <w:tcBorders>
              <w:top w:val="nil"/>
              <w:left w:val="nil"/>
              <w:bottom w:val="nil"/>
              <w:right w:val="nil"/>
            </w:tcBorders>
            <w:shd w:val="clear" w:color="auto" w:fill="auto"/>
            <w:noWrap/>
            <w:vAlign w:val="center"/>
            <w:hideMark/>
          </w:tcPr>
          <w:p w14:paraId="29A1E117"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-0,8</w:t>
            </w:r>
          </w:p>
        </w:tc>
        <w:tc>
          <w:tcPr>
            <w:tcW w:w="397" w:type="pct"/>
            <w:tcBorders>
              <w:top w:val="nil"/>
              <w:left w:val="nil"/>
              <w:bottom w:val="nil"/>
              <w:right w:val="nil"/>
            </w:tcBorders>
            <w:shd w:val="clear" w:color="auto" w:fill="auto"/>
            <w:vAlign w:val="center"/>
          </w:tcPr>
          <w:p w14:paraId="4244F9C2"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-0,5</w:t>
            </w:r>
          </w:p>
        </w:tc>
        <w:tc>
          <w:tcPr>
            <w:tcW w:w="395" w:type="pct"/>
            <w:tcBorders>
              <w:top w:val="nil"/>
              <w:left w:val="nil"/>
              <w:bottom w:val="nil"/>
              <w:right w:val="nil"/>
            </w:tcBorders>
            <w:shd w:val="clear" w:color="auto" w:fill="auto"/>
            <w:vAlign w:val="center"/>
          </w:tcPr>
          <w:p w14:paraId="6B2E6F7A"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-0,5</w:t>
            </w:r>
          </w:p>
        </w:tc>
      </w:tr>
      <w:tr w:rsidR="00B46230" w:rsidRPr="00F27A03" w14:paraId="7DDB2A09" w14:textId="77777777" w:rsidTr="0084261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025" w:type="pct"/>
            <w:tcBorders>
              <w:top w:val="nil"/>
              <w:bottom w:val="nil"/>
            </w:tcBorders>
            <w:shd w:val="clear" w:color="auto" w:fill="auto"/>
            <w:noWrap/>
            <w:vAlign w:val="center"/>
            <w:hideMark/>
          </w:tcPr>
          <w:p w14:paraId="5582EFE1" w14:textId="77777777" w:rsidR="00ED5386" w:rsidRPr="00F27A03" w:rsidRDefault="00ED5386" w:rsidP="00ED5386">
            <w:pPr>
              <w:jc w:val="left"/>
              <w:rPr>
                <w:rFonts w:ascii="Calibri" w:eastAsia="Times New Roman" w:hAnsi="Calibri" w:cs="Calibri"/>
                <w:bCs w:val="0"/>
                <w:color w:val="002060"/>
                <w:sz w:val="18"/>
                <w:szCs w:val="18"/>
                <w:lang w:val="sr-Cyrl-CS"/>
              </w:rPr>
            </w:pPr>
            <w:r w:rsidRPr="00F27A03">
              <w:rPr>
                <w:rFonts w:ascii="Calibri" w:eastAsia="Times New Roman" w:hAnsi="Calibri" w:cs="Calibri"/>
                <w:b w:val="0"/>
                <w:bCs w:val="0"/>
                <w:color w:val="002060"/>
                <w:sz w:val="18"/>
                <w:szCs w:val="18"/>
                <w:lang w:val="sr-Cyrl-CS"/>
              </w:rPr>
              <w:t>Примарни фис. резултат</w:t>
            </w:r>
          </w:p>
        </w:tc>
        <w:tc>
          <w:tcPr>
            <w:tcW w:w="398" w:type="pct"/>
            <w:tcBorders>
              <w:top w:val="nil"/>
              <w:bottom w:val="nil"/>
            </w:tcBorders>
            <w:shd w:val="clear" w:color="auto" w:fill="auto"/>
            <w:noWrap/>
            <w:vAlign w:val="center"/>
            <w:hideMark/>
          </w:tcPr>
          <w:p w14:paraId="1B398074"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-2,4</w:t>
            </w:r>
          </w:p>
        </w:tc>
        <w:tc>
          <w:tcPr>
            <w:tcW w:w="398" w:type="pct"/>
            <w:tcBorders>
              <w:top w:val="nil"/>
              <w:bottom w:val="nil"/>
            </w:tcBorders>
            <w:shd w:val="clear" w:color="auto" w:fill="auto"/>
            <w:noWrap/>
            <w:vAlign w:val="center"/>
            <w:hideMark/>
          </w:tcPr>
          <w:p w14:paraId="0801A355"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-2,2</w:t>
            </w:r>
          </w:p>
        </w:tc>
        <w:tc>
          <w:tcPr>
            <w:tcW w:w="398" w:type="pct"/>
            <w:tcBorders>
              <w:top w:val="nil"/>
              <w:bottom w:val="nil"/>
            </w:tcBorders>
            <w:shd w:val="clear" w:color="auto" w:fill="auto"/>
            <w:noWrap/>
            <w:vAlign w:val="center"/>
            <w:hideMark/>
          </w:tcPr>
          <w:p w14:paraId="41E3A867"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-1,5</w:t>
            </w:r>
          </w:p>
        </w:tc>
        <w:tc>
          <w:tcPr>
            <w:tcW w:w="398" w:type="pct"/>
            <w:tcBorders>
              <w:top w:val="nil"/>
              <w:bottom w:val="nil"/>
            </w:tcBorders>
            <w:shd w:val="clear" w:color="auto" w:fill="auto"/>
            <w:noWrap/>
            <w:vAlign w:val="center"/>
            <w:hideMark/>
          </w:tcPr>
          <w:p w14:paraId="55C05DEB"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-0,1</w:t>
            </w:r>
          </w:p>
        </w:tc>
        <w:tc>
          <w:tcPr>
            <w:tcW w:w="398" w:type="pct"/>
            <w:tcBorders>
              <w:top w:val="nil"/>
              <w:bottom w:val="nil"/>
            </w:tcBorders>
            <w:shd w:val="clear" w:color="auto" w:fill="auto"/>
            <w:noWrap/>
            <w:vAlign w:val="center"/>
            <w:hideMark/>
          </w:tcPr>
          <w:p w14:paraId="4FDFECCB"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0,5</w:t>
            </w:r>
          </w:p>
        </w:tc>
        <w:tc>
          <w:tcPr>
            <w:tcW w:w="398" w:type="pct"/>
            <w:tcBorders>
              <w:top w:val="nil"/>
              <w:bottom w:val="nil"/>
            </w:tcBorders>
            <w:shd w:val="clear" w:color="auto" w:fill="auto"/>
            <w:noWrap/>
            <w:vAlign w:val="center"/>
            <w:hideMark/>
          </w:tcPr>
          <w:p w14:paraId="5C8BFB37"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0,7</w:t>
            </w:r>
          </w:p>
        </w:tc>
        <w:tc>
          <w:tcPr>
            <w:tcW w:w="398" w:type="pct"/>
            <w:tcBorders>
              <w:top w:val="nil"/>
              <w:bottom w:val="nil"/>
            </w:tcBorders>
            <w:shd w:val="clear" w:color="auto" w:fill="auto"/>
            <w:noWrap/>
            <w:vAlign w:val="center"/>
            <w:hideMark/>
          </w:tcPr>
          <w:p w14:paraId="01315429"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0,8</w:t>
            </w:r>
          </w:p>
        </w:tc>
        <w:tc>
          <w:tcPr>
            <w:tcW w:w="397" w:type="pct"/>
            <w:tcBorders>
              <w:top w:val="nil"/>
              <w:bottom w:val="nil"/>
            </w:tcBorders>
            <w:shd w:val="clear" w:color="auto" w:fill="auto"/>
            <w:noWrap/>
            <w:vAlign w:val="center"/>
            <w:hideMark/>
          </w:tcPr>
          <w:p w14:paraId="5C7660F1"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0,9</w:t>
            </w:r>
          </w:p>
        </w:tc>
        <w:tc>
          <w:tcPr>
            <w:tcW w:w="397" w:type="pct"/>
            <w:tcBorders>
              <w:top w:val="nil"/>
              <w:bottom w:val="nil"/>
            </w:tcBorders>
            <w:shd w:val="clear" w:color="auto" w:fill="auto"/>
            <w:vAlign w:val="center"/>
          </w:tcPr>
          <w:p w14:paraId="4471D24C"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1,2</w:t>
            </w:r>
          </w:p>
        </w:tc>
        <w:tc>
          <w:tcPr>
            <w:tcW w:w="395" w:type="pct"/>
            <w:tcBorders>
              <w:top w:val="nil"/>
              <w:bottom w:val="nil"/>
            </w:tcBorders>
            <w:shd w:val="clear" w:color="auto" w:fill="auto"/>
            <w:vAlign w:val="center"/>
          </w:tcPr>
          <w:p w14:paraId="5D9D7D42"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0,6</w:t>
            </w:r>
          </w:p>
        </w:tc>
      </w:tr>
      <w:tr w:rsidR="00B46230" w:rsidRPr="00F27A03" w14:paraId="0CDE5A77" w14:textId="77777777" w:rsidTr="0084261B">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025" w:type="pct"/>
            <w:tcBorders>
              <w:top w:val="nil"/>
              <w:left w:val="nil"/>
              <w:bottom w:val="nil"/>
              <w:right w:val="nil"/>
            </w:tcBorders>
            <w:shd w:val="clear" w:color="auto" w:fill="auto"/>
            <w:noWrap/>
            <w:vAlign w:val="center"/>
            <w:hideMark/>
          </w:tcPr>
          <w:p w14:paraId="5BE88C09" w14:textId="77777777" w:rsidR="00ED5386" w:rsidRPr="00F27A03" w:rsidRDefault="00ED5386" w:rsidP="00ED5386">
            <w:pPr>
              <w:jc w:val="left"/>
              <w:rPr>
                <w:rFonts w:ascii="Calibri" w:eastAsia="Times New Roman" w:hAnsi="Calibri" w:cs="Calibri"/>
                <w:bCs w:val="0"/>
                <w:color w:val="002060"/>
                <w:sz w:val="18"/>
                <w:szCs w:val="18"/>
                <w:lang w:val="sr-Cyrl-CS"/>
              </w:rPr>
            </w:pPr>
            <w:r w:rsidRPr="00F27A03">
              <w:rPr>
                <w:rFonts w:ascii="Calibri" w:eastAsia="Times New Roman" w:hAnsi="Calibri" w:cs="Calibri"/>
                <w:b w:val="0"/>
                <w:bCs w:val="0"/>
                <w:color w:val="002060"/>
                <w:sz w:val="18"/>
                <w:szCs w:val="18"/>
                <w:lang w:val="sr-Cyrl-CS"/>
              </w:rPr>
              <w:t>Јавни дуг у БДП</w:t>
            </w:r>
          </w:p>
        </w:tc>
        <w:tc>
          <w:tcPr>
            <w:tcW w:w="398" w:type="pct"/>
            <w:tcBorders>
              <w:top w:val="nil"/>
              <w:left w:val="nil"/>
              <w:bottom w:val="nil"/>
              <w:right w:val="nil"/>
            </w:tcBorders>
            <w:shd w:val="clear" w:color="auto" w:fill="auto"/>
            <w:noWrap/>
            <w:vAlign w:val="center"/>
            <w:hideMark/>
          </w:tcPr>
          <w:p w14:paraId="03511D59"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57,1</w:t>
            </w:r>
          </w:p>
        </w:tc>
        <w:tc>
          <w:tcPr>
            <w:tcW w:w="398" w:type="pct"/>
            <w:tcBorders>
              <w:top w:val="nil"/>
              <w:left w:val="nil"/>
              <w:bottom w:val="nil"/>
              <w:right w:val="nil"/>
            </w:tcBorders>
            <w:shd w:val="clear" w:color="auto" w:fill="auto"/>
            <w:noWrap/>
            <w:vAlign w:val="center"/>
            <w:hideMark/>
          </w:tcPr>
          <w:p w14:paraId="59DF9E45"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56,9</w:t>
            </w:r>
          </w:p>
        </w:tc>
        <w:tc>
          <w:tcPr>
            <w:tcW w:w="398" w:type="pct"/>
            <w:tcBorders>
              <w:top w:val="nil"/>
              <w:left w:val="nil"/>
              <w:bottom w:val="nil"/>
              <w:right w:val="nil"/>
            </w:tcBorders>
            <w:shd w:val="clear" w:color="auto" w:fill="auto"/>
            <w:noWrap/>
            <w:vAlign w:val="center"/>
            <w:hideMark/>
          </w:tcPr>
          <w:p w14:paraId="72C7AD15"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56,1</w:t>
            </w:r>
          </w:p>
        </w:tc>
        <w:tc>
          <w:tcPr>
            <w:tcW w:w="398" w:type="pct"/>
            <w:tcBorders>
              <w:top w:val="nil"/>
              <w:left w:val="nil"/>
              <w:bottom w:val="nil"/>
              <w:right w:val="nil"/>
            </w:tcBorders>
            <w:shd w:val="clear" w:color="auto" w:fill="auto"/>
            <w:noWrap/>
            <w:vAlign w:val="center"/>
            <w:hideMark/>
          </w:tcPr>
          <w:p w14:paraId="714804AC"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55,1</w:t>
            </w:r>
          </w:p>
        </w:tc>
        <w:tc>
          <w:tcPr>
            <w:tcW w:w="398" w:type="pct"/>
            <w:tcBorders>
              <w:top w:val="nil"/>
              <w:left w:val="nil"/>
              <w:bottom w:val="nil"/>
              <w:right w:val="nil"/>
            </w:tcBorders>
            <w:shd w:val="clear" w:color="auto" w:fill="auto"/>
            <w:noWrap/>
            <w:vAlign w:val="center"/>
            <w:hideMark/>
          </w:tcPr>
          <w:p w14:paraId="72E83909"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54,0</w:t>
            </w:r>
          </w:p>
        </w:tc>
        <w:tc>
          <w:tcPr>
            <w:tcW w:w="398" w:type="pct"/>
            <w:tcBorders>
              <w:top w:val="nil"/>
              <w:left w:val="nil"/>
              <w:bottom w:val="nil"/>
              <w:right w:val="nil"/>
            </w:tcBorders>
            <w:shd w:val="clear" w:color="auto" w:fill="auto"/>
            <w:noWrap/>
            <w:vAlign w:val="center"/>
            <w:hideMark/>
          </w:tcPr>
          <w:p w14:paraId="51E10687"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52,2</w:t>
            </w:r>
          </w:p>
        </w:tc>
        <w:tc>
          <w:tcPr>
            <w:tcW w:w="398" w:type="pct"/>
            <w:tcBorders>
              <w:top w:val="nil"/>
              <w:left w:val="nil"/>
              <w:bottom w:val="nil"/>
              <w:right w:val="nil"/>
            </w:tcBorders>
            <w:shd w:val="clear" w:color="auto" w:fill="auto"/>
            <w:noWrap/>
            <w:vAlign w:val="center"/>
            <w:hideMark/>
          </w:tcPr>
          <w:p w14:paraId="40C4576A"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50,4</w:t>
            </w:r>
          </w:p>
        </w:tc>
        <w:tc>
          <w:tcPr>
            <w:tcW w:w="397" w:type="pct"/>
            <w:tcBorders>
              <w:top w:val="nil"/>
              <w:left w:val="nil"/>
              <w:bottom w:val="nil"/>
              <w:right w:val="nil"/>
            </w:tcBorders>
            <w:shd w:val="clear" w:color="auto" w:fill="auto"/>
            <w:noWrap/>
            <w:vAlign w:val="center"/>
            <w:hideMark/>
          </w:tcPr>
          <w:p w14:paraId="475A4657"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48,4</w:t>
            </w:r>
          </w:p>
        </w:tc>
        <w:tc>
          <w:tcPr>
            <w:tcW w:w="397" w:type="pct"/>
            <w:tcBorders>
              <w:top w:val="nil"/>
              <w:left w:val="nil"/>
              <w:bottom w:val="nil"/>
              <w:right w:val="nil"/>
            </w:tcBorders>
            <w:shd w:val="clear" w:color="auto" w:fill="auto"/>
            <w:vAlign w:val="center"/>
          </w:tcPr>
          <w:p w14:paraId="6D49405C"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46,3</w:t>
            </w:r>
          </w:p>
        </w:tc>
        <w:tc>
          <w:tcPr>
            <w:tcW w:w="395" w:type="pct"/>
            <w:tcBorders>
              <w:top w:val="nil"/>
              <w:left w:val="nil"/>
              <w:bottom w:val="nil"/>
              <w:right w:val="nil"/>
            </w:tcBorders>
            <w:shd w:val="clear" w:color="auto" w:fill="auto"/>
            <w:vAlign w:val="center"/>
          </w:tcPr>
          <w:p w14:paraId="2E36F193" w14:textId="77777777" w:rsidR="00ED5386" w:rsidRPr="00F27A03" w:rsidRDefault="00ED5386" w:rsidP="00B46230">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44,2</w:t>
            </w:r>
          </w:p>
        </w:tc>
      </w:tr>
      <w:tr w:rsidR="00B46230" w:rsidRPr="00F27A03" w14:paraId="59E1E0FF" w14:textId="77777777" w:rsidTr="0084261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025" w:type="pct"/>
            <w:tcBorders>
              <w:top w:val="nil"/>
              <w:bottom w:val="single" w:sz="4" w:space="0" w:color="002060"/>
            </w:tcBorders>
            <w:shd w:val="clear" w:color="auto" w:fill="auto"/>
            <w:noWrap/>
            <w:vAlign w:val="center"/>
            <w:hideMark/>
          </w:tcPr>
          <w:p w14:paraId="49413456" w14:textId="77777777" w:rsidR="00ED5386" w:rsidRPr="00F27A03" w:rsidRDefault="00ED5386" w:rsidP="00ED5386">
            <w:pPr>
              <w:jc w:val="left"/>
              <w:rPr>
                <w:rFonts w:ascii="Calibri" w:eastAsia="Times New Roman" w:hAnsi="Calibri" w:cs="Calibri"/>
                <w:bCs w:val="0"/>
                <w:color w:val="002060"/>
                <w:sz w:val="18"/>
                <w:szCs w:val="18"/>
                <w:lang w:val="sr-Cyrl-CS"/>
              </w:rPr>
            </w:pPr>
            <w:r w:rsidRPr="00F27A03">
              <w:rPr>
                <w:rFonts w:ascii="Calibri" w:eastAsia="Times New Roman" w:hAnsi="Calibri" w:cs="Calibri"/>
                <w:b w:val="0"/>
                <w:bCs w:val="0"/>
                <w:color w:val="002060"/>
                <w:sz w:val="18"/>
                <w:szCs w:val="18"/>
                <w:lang w:val="sr-Cyrl-CS"/>
              </w:rPr>
              <w:t>БДП реални раст, %</w:t>
            </w:r>
          </w:p>
        </w:tc>
        <w:tc>
          <w:tcPr>
            <w:tcW w:w="398" w:type="pct"/>
            <w:tcBorders>
              <w:top w:val="nil"/>
              <w:bottom w:val="single" w:sz="4" w:space="0" w:color="002060"/>
            </w:tcBorders>
            <w:shd w:val="clear" w:color="auto" w:fill="auto"/>
            <w:noWrap/>
            <w:vAlign w:val="center"/>
            <w:hideMark/>
          </w:tcPr>
          <w:p w14:paraId="6581AE6B"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7,5</w:t>
            </w:r>
          </w:p>
        </w:tc>
        <w:tc>
          <w:tcPr>
            <w:tcW w:w="398" w:type="pct"/>
            <w:tcBorders>
              <w:top w:val="nil"/>
              <w:bottom w:val="single" w:sz="4" w:space="0" w:color="002060"/>
            </w:tcBorders>
            <w:shd w:val="clear" w:color="auto" w:fill="auto"/>
            <w:noWrap/>
            <w:vAlign w:val="center"/>
            <w:hideMark/>
          </w:tcPr>
          <w:p w14:paraId="3B0D1D48"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2,5</w:t>
            </w:r>
          </w:p>
        </w:tc>
        <w:tc>
          <w:tcPr>
            <w:tcW w:w="398" w:type="pct"/>
            <w:tcBorders>
              <w:top w:val="nil"/>
              <w:bottom w:val="single" w:sz="4" w:space="0" w:color="002060"/>
            </w:tcBorders>
            <w:shd w:val="clear" w:color="auto" w:fill="auto"/>
            <w:noWrap/>
            <w:vAlign w:val="center"/>
            <w:hideMark/>
          </w:tcPr>
          <w:p w14:paraId="012927E8"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2,5</w:t>
            </w:r>
          </w:p>
        </w:tc>
        <w:tc>
          <w:tcPr>
            <w:tcW w:w="398" w:type="pct"/>
            <w:tcBorders>
              <w:top w:val="nil"/>
              <w:bottom w:val="single" w:sz="4" w:space="0" w:color="002060"/>
            </w:tcBorders>
            <w:shd w:val="clear" w:color="auto" w:fill="auto"/>
            <w:noWrap/>
            <w:vAlign w:val="center"/>
            <w:hideMark/>
          </w:tcPr>
          <w:p w14:paraId="22EC8D1B"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3,5</w:t>
            </w:r>
          </w:p>
        </w:tc>
        <w:tc>
          <w:tcPr>
            <w:tcW w:w="398" w:type="pct"/>
            <w:tcBorders>
              <w:top w:val="nil"/>
              <w:bottom w:val="single" w:sz="4" w:space="0" w:color="002060"/>
            </w:tcBorders>
            <w:shd w:val="clear" w:color="auto" w:fill="auto"/>
            <w:noWrap/>
            <w:vAlign w:val="center"/>
            <w:hideMark/>
          </w:tcPr>
          <w:p w14:paraId="67EE0386"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c>
          <w:tcPr>
            <w:tcW w:w="398" w:type="pct"/>
            <w:tcBorders>
              <w:top w:val="nil"/>
              <w:bottom w:val="single" w:sz="4" w:space="0" w:color="002060"/>
            </w:tcBorders>
            <w:shd w:val="clear" w:color="auto" w:fill="auto"/>
            <w:noWrap/>
            <w:vAlign w:val="center"/>
            <w:hideMark/>
          </w:tcPr>
          <w:p w14:paraId="310A124C"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c>
          <w:tcPr>
            <w:tcW w:w="398" w:type="pct"/>
            <w:tcBorders>
              <w:top w:val="nil"/>
              <w:bottom w:val="single" w:sz="4" w:space="0" w:color="002060"/>
            </w:tcBorders>
            <w:shd w:val="clear" w:color="auto" w:fill="auto"/>
            <w:noWrap/>
            <w:vAlign w:val="center"/>
            <w:hideMark/>
          </w:tcPr>
          <w:p w14:paraId="6A6CAAE6"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c>
          <w:tcPr>
            <w:tcW w:w="397" w:type="pct"/>
            <w:tcBorders>
              <w:top w:val="nil"/>
              <w:bottom w:val="single" w:sz="4" w:space="0" w:color="002060"/>
            </w:tcBorders>
            <w:shd w:val="clear" w:color="auto" w:fill="auto"/>
            <w:noWrap/>
            <w:vAlign w:val="center"/>
            <w:hideMark/>
          </w:tcPr>
          <w:p w14:paraId="65E529B8"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c>
          <w:tcPr>
            <w:tcW w:w="397" w:type="pct"/>
            <w:tcBorders>
              <w:top w:val="nil"/>
              <w:bottom w:val="single" w:sz="4" w:space="0" w:color="002060"/>
            </w:tcBorders>
            <w:shd w:val="clear" w:color="auto" w:fill="auto"/>
            <w:vAlign w:val="center"/>
          </w:tcPr>
          <w:p w14:paraId="237E74D4"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c>
          <w:tcPr>
            <w:tcW w:w="395" w:type="pct"/>
            <w:tcBorders>
              <w:top w:val="nil"/>
              <w:bottom w:val="single" w:sz="4" w:space="0" w:color="002060"/>
            </w:tcBorders>
            <w:shd w:val="clear" w:color="auto" w:fill="auto"/>
            <w:vAlign w:val="center"/>
          </w:tcPr>
          <w:p w14:paraId="45549B98" w14:textId="77777777" w:rsidR="00ED5386" w:rsidRPr="00F27A03" w:rsidRDefault="00ED5386" w:rsidP="00B46230">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F27A03">
              <w:rPr>
                <w:rFonts w:asciiTheme="minorHAnsi" w:hAnsiTheme="minorHAnsi" w:cstheme="minorHAnsi"/>
                <w:color w:val="002060"/>
                <w:sz w:val="18"/>
                <w:szCs w:val="18"/>
                <w:lang w:val="sr-Cyrl-CS"/>
              </w:rPr>
              <w:t>4,0</w:t>
            </w:r>
          </w:p>
        </w:tc>
      </w:tr>
    </w:tbl>
    <w:p w14:paraId="49817B1E" w14:textId="77777777" w:rsidR="00ED5386" w:rsidRPr="00F27A03" w:rsidRDefault="00ED5386" w:rsidP="00975004">
      <w:pPr>
        <w:spacing w:after="120"/>
        <w:jc w:val="left"/>
        <w:rPr>
          <w:rFonts w:ascii="Calibri" w:eastAsia="MS PGothic" w:hAnsi="Calibri" w:cs="Calibri"/>
          <w:sz w:val="16"/>
          <w:szCs w:val="16"/>
          <w:lang w:val="sr-Cyrl-CS" w:eastAsia="ja-JP"/>
        </w:rPr>
      </w:pPr>
      <w:r w:rsidRPr="00F27A03">
        <w:rPr>
          <w:rFonts w:ascii="Calibri" w:eastAsia="MS PGothic" w:hAnsi="Calibri" w:cs="Calibri"/>
          <w:sz w:val="16"/>
          <w:szCs w:val="16"/>
          <w:lang w:val="sr-Cyrl-CS" w:eastAsia="ja-JP"/>
        </w:rPr>
        <w:t xml:space="preserve">Извор: </w:t>
      </w:r>
      <w:r w:rsidRPr="00F27A03">
        <w:rPr>
          <w:rFonts w:ascii="Calibri" w:eastAsia="Calibri" w:hAnsi="Calibri" w:cs="Calibri"/>
          <w:sz w:val="16"/>
          <w:szCs w:val="20"/>
          <w:lang w:val="sr-Cyrl-CS"/>
        </w:rPr>
        <w:t>Министарство финансија</w:t>
      </w:r>
    </w:p>
    <w:p w14:paraId="075CF7A2" w14:textId="77777777" w:rsidR="00ED5386" w:rsidRPr="00F27A03" w:rsidRDefault="00ED5386" w:rsidP="00975004">
      <w:pPr>
        <w:spacing w:after="120"/>
        <w:rPr>
          <w:rFonts w:ascii="Calibri" w:eastAsia="Calibri" w:hAnsi="Calibri" w:cs="Calibri"/>
          <w:szCs w:val="20"/>
          <w:lang w:val="sr-Cyrl-CS" w:eastAsia="ja-JP"/>
        </w:rPr>
        <w:sectPr w:rsidR="00ED5386" w:rsidRPr="00F27A03" w:rsidSect="00ED5386">
          <w:type w:val="continuous"/>
          <w:pgSz w:w="12240" w:h="15840" w:code="1"/>
          <w:pgMar w:top="1417" w:right="1417" w:bottom="1417" w:left="1417" w:header="720" w:footer="720" w:gutter="0"/>
          <w:cols w:space="720"/>
        </w:sectPr>
      </w:pPr>
    </w:p>
    <w:p w14:paraId="1494AB24" w14:textId="77777777" w:rsidR="00ED5386" w:rsidRPr="00F27A03" w:rsidRDefault="00ED5386" w:rsidP="00975004">
      <w:pPr>
        <w:spacing w:after="120"/>
        <w:rPr>
          <w:rFonts w:ascii="Calibri" w:eastAsia="Calibri" w:hAnsi="Calibri" w:cs="Calibri"/>
          <w:szCs w:val="20"/>
          <w:lang w:val="sr-Cyrl-CS"/>
        </w:rPr>
      </w:pPr>
      <w:r w:rsidRPr="00F27A03">
        <w:rPr>
          <w:rFonts w:ascii="Calibri" w:eastAsia="Calibri" w:hAnsi="Calibri" w:cs="Calibri"/>
          <w:szCs w:val="20"/>
          <w:lang w:val="sr-Cyrl-CS"/>
        </w:rPr>
        <w:t xml:space="preserve">Основним сценаријом предвиђено је спуштање јавног дуга на око 45% БДП у 2030. години. </w:t>
      </w:r>
      <w:r w:rsidRPr="00F27A03">
        <w:rPr>
          <w:rFonts w:ascii="Calibri" w:eastAsia="Calibri" w:hAnsi="Calibri" w:cs="Calibri"/>
          <w:spacing w:val="-2"/>
          <w:szCs w:val="20"/>
          <w:lang w:val="sr-Cyrl-CS"/>
        </w:rPr>
        <w:t xml:space="preserve">На графикону су приказане симулације алтернативних сценарија кретања јавног дуга, у зависности од промена одређених претпоставки у основном сценарију. </w:t>
      </w:r>
      <w:r w:rsidRPr="00F27A03">
        <w:rPr>
          <w:rFonts w:ascii="Calibri" w:eastAsia="Calibri" w:hAnsi="Calibri" w:cs="Calibri"/>
          <w:szCs w:val="20"/>
          <w:lang w:val="sr-Cyrl-CS"/>
        </w:rPr>
        <w:t>Ради бољег поређења, извршена је варијација само једне варијабле, као фактора ризика који утиче на ниво дуга.</w:t>
      </w:r>
    </w:p>
    <w:p w14:paraId="26763AC7" w14:textId="62DEF168" w:rsidR="00ED5386" w:rsidRPr="00F27A03" w:rsidRDefault="00ED5386" w:rsidP="00975004">
      <w:pPr>
        <w:spacing w:after="120"/>
        <w:rPr>
          <w:rFonts w:ascii="Calibri" w:eastAsia="Calibri" w:hAnsi="Calibri" w:cs="Calibri"/>
          <w:szCs w:val="20"/>
          <w:lang w:val="sr-Cyrl-CS"/>
        </w:rPr>
      </w:pPr>
      <w:r w:rsidRPr="00F27A03">
        <w:rPr>
          <w:rFonts w:ascii="Calibri" w:eastAsia="Calibri" w:hAnsi="Calibri" w:cs="Calibri"/>
          <w:szCs w:val="20"/>
          <w:lang w:val="sr-Cyrl-CS"/>
        </w:rPr>
        <w:t>Сценарио „успорени раст након 2025” подразумева просечан реални раст БДП од око 0,7% у посматраном периоду, уз исти ниво фискалног дефицита у односу на основни сценарио. Ово не подразумева и исти ниво фискалног прилагођавања, јер је потребна већа акомодација на расходној страни у ситуацијама када се бележи нижи привредни раст. На крају 2030. године, јавни дуг према овом сцена</w:t>
      </w:r>
      <w:r w:rsidR="00476BF8" w:rsidRPr="00F27A03">
        <w:rPr>
          <w:rFonts w:ascii="Calibri" w:eastAsia="Calibri" w:hAnsi="Calibri" w:cs="Calibri"/>
          <w:szCs w:val="20"/>
          <w:lang w:val="sr-Cyrl-CS"/>
        </w:rPr>
        <w:t>рију достиже ниво од 51,3% БДП.</w:t>
      </w:r>
    </w:p>
    <w:p w14:paraId="20B9AEB3" w14:textId="078D4F6F" w:rsidR="00ED5386" w:rsidRPr="00F27A03" w:rsidRDefault="00ED5386" w:rsidP="00E124CF">
      <w:pPr>
        <w:spacing w:after="0"/>
        <w:jc w:val="center"/>
        <w:rPr>
          <w:rFonts w:cstheme="minorHAnsi"/>
          <w:b/>
          <w:color w:val="002060"/>
          <w:lang w:val="sr-Cyrl-CS"/>
        </w:rPr>
      </w:pPr>
      <w:r w:rsidRPr="00F27A03">
        <w:rPr>
          <w:rFonts w:cstheme="minorHAnsi"/>
          <w:b/>
          <w:color w:val="002060"/>
          <w:lang w:val="sr-Cyrl-CS"/>
        </w:rPr>
        <w:t>Поређење различитих сценарија и утицај на висину јавног дуга, % БДП</w:t>
      </w:r>
    </w:p>
    <w:p w14:paraId="0E6FCAAB" w14:textId="77777777" w:rsidR="00ED5386" w:rsidRPr="00F27A03" w:rsidRDefault="00ED5386" w:rsidP="00E124CF">
      <w:pPr>
        <w:spacing w:after="0" w:line="276" w:lineRule="auto"/>
        <w:rPr>
          <w:lang w:val="sr-Cyrl-CS"/>
        </w:rPr>
      </w:pPr>
      <w:r w:rsidRPr="00F27A03">
        <w:rPr>
          <w:noProof/>
          <w:lang w:val="sr-Cyrl-RS" w:eastAsia="sr-Cyrl-RS"/>
        </w:rPr>
        <w:drawing>
          <wp:inline distT="0" distB="0" distL="0" distR="0" wp14:anchorId="61A20CB6" wp14:editId="4768E11F">
            <wp:extent cx="2541270" cy="2160000"/>
            <wp:effectExtent l="0" t="0" r="11430" b="0"/>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71BEBA17" w14:textId="77777777" w:rsidR="00ED5386" w:rsidRPr="00F27A03" w:rsidRDefault="00ED5386" w:rsidP="00E124CF">
      <w:pPr>
        <w:spacing w:after="120"/>
        <w:rPr>
          <w:rFonts w:ascii="Calibri" w:eastAsia="Calibri" w:hAnsi="Calibri" w:cs="Calibri"/>
          <w:szCs w:val="20"/>
          <w:lang w:val="sr-Cyrl-CS"/>
        </w:rPr>
      </w:pPr>
      <w:r w:rsidRPr="00F27A03">
        <w:rPr>
          <w:rFonts w:ascii="Calibri" w:eastAsia="Calibri" w:hAnsi="Calibri" w:cs="Calibri"/>
          <w:spacing w:val="-4"/>
          <w:szCs w:val="20"/>
          <w:lang w:val="sr-Cyrl-CS"/>
        </w:rPr>
        <w:t>С</w:t>
      </w:r>
      <w:r w:rsidRPr="00F27A03">
        <w:rPr>
          <w:rFonts w:ascii="Calibri" w:eastAsia="Calibri" w:hAnsi="Calibri" w:cs="Calibri"/>
          <w:szCs w:val="20"/>
          <w:lang w:val="sr-Cyrl-CS"/>
        </w:rPr>
        <w:t>ценарио „фискална експанзија након 2025. године” подразумева значајније одступање од садашњег средњорочно постављеног циља фискалне политике и достизање фискалног дефицита од 3%. У овом случају, учешће јавног дуга у БДП у највећој мери стагнира да би у 2030. години достигло 54% БДП. Јавни дуг не достиже законску границу од 45% БДП, а ниво испод 60% одржава се у целом посматраном периоду. И поред погоршања фискалних перформанси, овај сценарио подразумева и даље присутан примарни фискални резултат који омогућава релативну стабилност учешћа дуга у БДП.</w:t>
      </w:r>
    </w:p>
    <w:p w14:paraId="3CF5F87F" w14:textId="77777777" w:rsidR="00ED5386" w:rsidRPr="00F27A03" w:rsidRDefault="00ED5386" w:rsidP="00C43FA1">
      <w:pPr>
        <w:spacing w:after="120"/>
        <w:rPr>
          <w:lang w:val="sr-Cyrl-CS"/>
        </w:rPr>
      </w:pPr>
      <w:r w:rsidRPr="00F27A03">
        <w:rPr>
          <w:rFonts w:ascii="Calibri" w:eastAsia="Calibri" w:hAnsi="Calibri" w:cs="Calibri"/>
          <w:szCs w:val="20"/>
          <w:lang w:val="sr-Cyrl-CS"/>
        </w:rPr>
        <w:t>Сценарио који комбинује мањи реални раст БДП и подизање нивоа фискалног дефицита у просеку од 3% БДП има најнеповољнију путању јавног дуга. При томе једино у овом сценарију дуг има изразито растућу путању у периоду након 2025. године, а учешће јавног дуга достиже ниво од 62,3% на крају посматраног периода.</w:t>
      </w:r>
    </w:p>
    <w:p w14:paraId="434AE898" w14:textId="77777777" w:rsidR="00ED5386" w:rsidRPr="00F27A03" w:rsidRDefault="00ED5386" w:rsidP="00C91F83">
      <w:pPr>
        <w:spacing w:after="0"/>
        <w:rPr>
          <w:sz w:val="12"/>
          <w:lang w:val="sr-Cyrl-CS"/>
        </w:rPr>
        <w:sectPr w:rsidR="00ED5386" w:rsidRPr="00F27A03" w:rsidSect="00ED5386">
          <w:headerReference w:type="even" r:id="rId157"/>
          <w:headerReference w:type="default" r:id="rId158"/>
          <w:footerReference w:type="even" r:id="rId159"/>
          <w:footerReference w:type="default" r:id="rId160"/>
          <w:headerReference w:type="first" r:id="rId161"/>
          <w:type w:val="continuous"/>
          <w:pgSz w:w="12240" w:h="15840" w:code="1"/>
          <w:pgMar w:top="1440" w:right="1440" w:bottom="1440" w:left="1440" w:header="720" w:footer="720" w:gutter="0"/>
          <w:cols w:num="2" w:space="720"/>
          <w:docGrid w:linePitch="360"/>
          <w15:footnoteColumns w:val="1"/>
        </w:sectPr>
      </w:pPr>
    </w:p>
    <w:p w14:paraId="5C126B7E" w14:textId="77777777" w:rsidR="00F24B7F" w:rsidRPr="00F27A03" w:rsidRDefault="00F24B7F" w:rsidP="00C91F83">
      <w:pPr>
        <w:pStyle w:val="Heading1"/>
        <w:spacing w:before="0" w:after="240"/>
        <w:jc w:val="center"/>
        <w:rPr>
          <w:rFonts w:asciiTheme="minorHAnsi" w:hAnsiTheme="minorHAnsi" w:cstheme="minorHAnsi"/>
          <w:b/>
          <w:sz w:val="26"/>
          <w:szCs w:val="26"/>
          <w:lang w:val="sr-Cyrl-CS"/>
        </w:rPr>
      </w:pPr>
      <w:bookmarkStart w:id="40" w:name="_Toc86923728"/>
      <w:bookmarkStart w:id="41" w:name="_Toc119326599"/>
      <w:r w:rsidRPr="00F27A03">
        <w:rPr>
          <w:rFonts w:asciiTheme="minorHAnsi" w:hAnsiTheme="minorHAnsi" w:cstheme="minorHAnsi"/>
          <w:b/>
          <w:sz w:val="26"/>
          <w:szCs w:val="26"/>
          <w:lang w:val="sr-Cyrl-CS"/>
        </w:rPr>
        <w:lastRenderedPageBreak/>
        <w:t>III. СТРАТЕГИЈА УПРАВЉАЊА ЈАВНИМ ДУГОМ ОД 2023. ДО 2025. ГОДИНЕ</w:t>
      </w:r>
      <w:bookmarkEnd w:id="40"/>
      <w:bookmarkEnd w:id="41"/>
    </w:p>
    <w:p w14:paraId="49B295BE" w14:textId="77777777" w:rsidR="00F24B7F" w:rsidRPr="00F27A03" w:rsidRDefault="00F24B7F" w:rsidP="00C91F83">
      <w:pPr>
        <w:spacing w:after="120" w:line="276" w:lineRule="auto"/>
        <w:jc w:val="center"/>
        <w:rPr>
          <w:rFonts w:ascii="Calibri" w:eastAsia="Calibri" w:hAnsi="Calibri" w:cs="Calibri"/>
          <w:color w:val="2F5496" w:themeColor="accent1" w:themeShade="BF"/>
          <w:szCs w:val="20"/>
          <w:lang w:val="sr-Cyrl-CS"/>
        </w:rPr>
        <w:sectPr w:rsidR="00F24B7F" w:rsidRPr="00F27A03" w:rsidSect="00C91F83">
          <w:headerReference w:type="even" r:id="rId162"/>
          <w:headerReference w:type="default" r:id="rId163"/>
          <w:footerReference w:type="even" r:id="rId164"/>
          <w:footerReference w:type="default" r:id="rId165"/>
          <w:headerReference w:type="first" r:id="rId166"/>
          <w:type w:val="continuous"/>
          <w:pgSz w:w="12240" w:h="15840" w:code="1"/>
          <w:pgMar w:top="1440" w:right="1440" w:bottom="1440" w:left="1440" w:header="720" w:footer="720" w:gutter="0"/>
          <w:cols w:space="720"/>
          <w:docGrid w:linePitch="360"/>
        </w:sectPr>
      </w:pPr>
    </w:p>
    <w:p w14:paraId="6327731D"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Према Закону о јавном дугу, као правном основу задуживања Републике Србије, јавни дуг чине све директне обавезе Републике по основу задуживања, као и гаранције издате од Републике за задуживање јавних предузећа и јединица локалне самоуправе, као и других правних лица. </w:t>
      </w:r>
      <w:r w:rsidRPr="00F27A03">
        <w:rPr>
          <w:rFonts w:ascii="Calibri" w:eastAsia="Calibri" w:hAnsi="Calibri" w:cs="Calibri"/>
          <w:bCs/>
          <w:spacing w:val="-2"/>
          <w:szCs w:val="72"/>
          <w:lang w:val="sr-Cyrl-CS"/>
        </w:rPr>
        <w:t>Република се може задуживати у домаћој и страној валути, ради финансирања буџетског дефицита, дефицита текуће ликвидности, рефинансирања неизмиреног дуга, за финансирање инвестиционих пројеката, као и за извршавање обавеза по датим гаранцијама.</w:t>
      </w:r>
      <w:r w:rsidRPr="00F27A03">
        <w:rPr>
          <w:rFonts w:ascii="Calibri" w:eastAsia="Calibri" w:hAnsi="Calibri" w:cs="Calibri"/>
          <w:bCs/>
          <w:szCs w:val="72"/>
          <w:lang w:val="sr-Cyrl-CS"/>
        </w:rPr>
        <w:t xml:space="preserve"> Одредбама Закона о јавном дугу назначено је да јавни дуг представља безусловну и неопозиву обавезу Републике Србије у односу на отплату главнице, камате и осталих припадајућих трошкова.</w:t>
      </w:r>
    </w:p>
    <w:p w14:paraId="7B77F83F"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За формулисање Стратегије за управљање јавним дугом коришћен је квантитативни приступ, идентификујући могућа ограничења кроз макро-економске показатеље, анализу трошкова и ризика и тржишних услова који утичу на управљање јавним дугом. У сврху анализе коришћени су инструменти финансирања доступни на домаћем и међународном финансијском тржишту. Стратегија управљања јавним дугом заснива се на принципима који дефинишу потребу за транспарентним и предвидивим процесом задуживања, уз перманентан развој тржишта државних хартија од вредности и прихватљив ниво изложености финансијским ризицима.</w:t>
      </w:r>
    </w:p>
    <w:p w14:paraId="447B8B7D"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Ситуација на међународном и домаћем финансијском тржишту, успешна примена мера фискалне консолидације уз добру координацију фискалне и монетарне политике довела је до значајног пада трошкова задуживања на динарским и евро деноминованим хартијама од вредности у последњих неколико година и смањивања ризико премије за српске државне хартије од вредности. Током 2022. године долази до значајног раста каматних стопа изазваног екстерним утицајем.</w:t>
      </w:r>
    </w:p>
    <w:p w14:paraId="52A304F7"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Фискална стратегија предвиђа смањење јавног дуга општег нивоа државе до краја 2025. године на ниво од 54,0% БДП, при чему се у складу са </w:t>
      </w:r>
      <w:r w:rsidRPr="00F27A03">
        <w:rPr>
          <w:rFonts w:ascii="Calibri" w:eastAsia="Calibri" w:hAnsi="Calibri" w:cs="Calibri"/>
          <w:bCs/>
          <w:szCs w:val="72"/>
          <w:lang w:val="sr-Cyrl-CS"/>
        </w:rPr>
        <w:t>смерницама управљања јавним дугом дефинисаним од стране Светске банке и ММФ, у оквиру Стратегије управљања јавним дугом врши стрес-сценарио анализа утицаја промене девизног курса домаће валуте у односу на валуте у којима је деноминован јавни дуг Републике Србије.</w:t>
      </w:r>
    </w:p>
    <w:p w14:paraId="5302474E"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У последњих десет година учињен је значајан напредак у погледу повећања просечне рочности динарских државних хартија од вредности и смањења трошкова финансирања по основу овог вида задуживања, чиме је смањена изложеност ризику рефинансирања. Битно је напоменути да је у наведеном периоду просечна купонска стопа динарских државних хартија од вредности смањена са 13,68%, колико је износила на крају 2012. године, на 4,34% на крају септембра 2022. године.</w:t>
      </w:r>
    </w:p>
    <w:p w14:paraId="1976516E"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Стратегијом управљања јавним дугом се дефинишу основне мере за даљи наставак развоја динарског тржишта државних хартија од вредности. Развојем овог тржишта очекује се да ће доћи до даљег раста унутрашњег дуга и повећања његовог учешћа у укупном дугу, као и смањења изложености јавног дуга према девизном ризику, што ће позитивно утицати на повећање кредитног рејтинга Републике Србије.</w:t>
      </w:r>
    </w:p>
    <w:p w14:paraId="6B1EB77C" w14:textId="3C395E9F"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Након успешно спроведених мера фискалне консолидације у 2016. години је преокренута растућа путања кретања јавног д</w:t>
      </w:r>
      <w:r w:rsidR="00895372" w:rsidRPr="00F27A03">
        <w:rPr>
          <w:rFonts w:ascii="Calibri" w:eastAsia="Calibri" w:hAnsi="Calibri" w:cs="Calibri"/>
          <w:bCs/>
          <w:szCs w:val="72"/>
          <w:lang w:val="sr-Cyrl-CS"/>
        </w:rPr>
        <w:t>уга и учешће јавног дуга у БДП</w:t>
      </w:r>
      <w:r w:rsidRPr="00F27A03">
        <w:rPr>
          <w:rFonts w:ascii="Calibri" w:eastAsia="Calibri" w:hAnsi="Calibri" w:cs="Calibri"/>
          <w:bCs/>
          <w:szCs w:val="72"/>
          <w:lang w:val="sr-Cyrl-CS"/>
        </w:rPr>
        <w:t xml:space="preserve">, те долази до пада учешћа са 70,0% БДП колико је износило на централном нивоу власти </w:t>
      </w:r>
      <w:r w:rsidR="00E90605" w:rsidRPr="00F27A03">
        <w:rPr>
          <w:rFonts w:ascii="Calibri" w:eastAsia="Calibri" w:hAnsi="Calibri" w:cs="Calibri"/>
          <w:bCs/>
          <w:szCs w:val="72"/>
          <w:lang w:val="sr-Cyrl-CS"/>
        </w:rPr>
        <w:t xml:space="preserve">на </w:t>
      </w:r>
      <w:r w:rsidRPr="00F27A03">
        <w:rPr>
          <w:rFonts w:ascii="Calibri" w:eastAsia="Calibri" w:hAnsi="Calibri" w:cs="Calibri"/>
          <w:bCs/>
          <w:szCs w:val="72"/>
          <w:lang w:val="sr-Cyrl-CS"/>
        </w:rPr>
        <w:t>крају 2015. године на 67,7% на крају 2016. године. Током 2017. године дошло је до још значајнијег пада на 57,8% БДП. Тренд је настављен и током 2018. године када удео јавног дуга у БДП пада на 53,6%, као на крају 2019. године када је учешће јавног дуга у БД</w:t>
      </w:r>
      <w:r w:rsidR="00895372" w:rsidRPr="00F27A03">
        <w:rPr>
          <w:rFonts w:ascii="Calibri" w:eastAsia="Calibri" w:hAnsi="Calibri" w:cs="Calibri"/>
          <w:bCs/>
          <w:szCs w:val="72"/>
          <w:lang w:val="sr-Cyrl-CS"/>
        </w:rPr>
        <w:t>П смањено на ниво од 51,9% БДП</w:t>
      </w:r>
      <w:r w:rsidRPr="00F27A03">
        <w:rPr>
          <w:rFonts w:ascii="Calibri" w:eastAsia="Calibri" w:hAnsi="Calibri" w:cs="Calibri"/>
          <w:bCs/>
          <w:szCs w:val="72"/>
          <w:lang w:val="sr-Cyrl-CS"/>
        </w:rPr>
        <w:t xml:space="preserve">. Како би се смањио утицај кризе изазване пандемијом вируса COVID-19, јавила се потреба за финансирањем мера подршке привреди и грађанима, што је резултирало растом учешћа дуга у БДП на 57,0% на крају 2020. године. Током 2021. године долази до благог пада наведеног показатеља, тако да је учешће јавног дуга у БДП на крају 2021. године износило 56,5%. </w:t>
      </w:r>
      <w:r w:rsidRPr="00F27A03">
        <w:rPr>
          <w:rFonts w:ascii="Calibri" w:eastAsia="Calibri" w:hAnsi="Calibri" w:cs="Calibri"/>
          <w:bCs/>
          <w:szCs w:val="72"/>
          <w:lang w:val="sr-Cyrl-CS"/>
        </w:rPr>
        <w:lastRenderedPageBreak/>
        <w:t>Пад би био још интензивнији да током 2021. године нису обезбеђена значајна средства за финансирање дуга који је доспевао почетком 2022. године. Из тог разлога је дошло до нешто израженијег пада учешћа дуга у БДП на крају септембра 2022. године на 53,7%.</w:t>
      </w:r>
    </w:p>
    <w:p w14:paraId="1471F7AD" w14:textId="6A6B8A80"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 Услед појачане контроле издавања гаранција претходних година гарантовани јавни дуг</w:t>
      </w:r>
      <w:r w:rsidR="00895372" w:rsidRPr="00F27A03">
        <w:rPr>
          <w:rFonts w:ascii="Calibri" w:eastAsia="Calibri" w:hAnsi="Calibri" w:cs="Calibri"/>
          <w:bCs/>
          <w:szCs w:val="72"/>
          <w:lang w:val="sr-Cyrl-CS"/>
        </w:rPr>
        <w:t xml:space="preserve"> је</w:t>
      </w:r>
      <w:r w:rsidRPr="00F27A03">
        <w:rPr>
          <w:rFonts w:ascii="Calibri" w:eastAsia="Calibri" w:hAnsi="Calibri" w:cs="Calibri"/>
          <w:bCs/>
          <w:szCs w:val="72"/>
          <w:lang w:val="sr-Cyrl-CS"/>
        </w:rPr>
        <w:t xml:space="preserve"> скоро преполовљен и бележи пад са 2,8 милијарде EUR колико је износио на крају 2013. године на 1,6 милијарди EUR на крају септембра 2022. године.</w:t>
      </w:r>
    </w:p>
    <w:p w14:paraId="7337636A"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Позитивни фискални резултати које остварује Република Србија потврђени су и преко кретања кредитног рејтинга Србије. Рејтинг агенције Fitch Ratings и Standard and Poor’s у 2019. години повећале су рејтинг Србије на ББ+ са ББ, док је рејтинг агенција Moody’s поправила изглед за повећање кредитног рејтинга Републике Србије са стабилног на позитивни. У 2020. години Република Србија успела је да сачува непромењен кредитни рејтинг који је добила у 2019. години. Рејтинг агенција Moody’s је у марту 2021. године повећала кредитни рејтинг Републике Србије на Ба2 са Ба3 као резултат веома успешног одговора на кризу изазвану пандемијом вируса COVID-19 и очувања макроекономске стабилности током јако тешке и изазовне 2020. године. Рејтинг агенција Standard and Poor’s је у извештају који је објављен 10. јуна 2022. године потврдила оцену кредитног рејтинга Републике Србије на нивоу ББ+, уз стабилне изгледе за његово даље повећање. Fitch Ratings је у најновијем извештају од 19. августа 2022. године потврдио кредитни рејтинг Републике Србије на нивоу ББ+, уз стабилне изгледе за његово даље повећање.</w:t>
      </w:r>
    </w:p>
    <w:p w14:paraId="2EEDC2DC"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Република Србија је током 2020. године у два наврата емитовала еврообвезнице како би финансирала пакет мера помоћи привреди и грађанима у циљу минимизирања утицаја кризе изазване пандемијом вируса COVID-19 и превремено отплатиле раније емитоване скупе еврообвезнице. Прва емисија еврообвезница је била 15. маја 2020. године, у еврима, у најделикатнијем тренутку у првом таласу пандемије, у укупном износу од 2,0 милијарде EUR. Купонска стопа је износила 3,125%, доспева 2027. године и листирана је на Лондонској берзи, </w:t>
      </w:r>
      <w:r w:rsidRPr="00F27A03">
        <w:rPr>
          <w:rFonts w:ascii="Calibri" w:eastAsia="Calibri" w:hAnsi="Calibri" w:cs="Calibri"/>
          <w:bCs/>
          <w:szCs w:val="72"/>
          <w:lang w:val="sr-Cyrl-CS"/>
        </w:rPr>
        <w:t>једном од највећих и најрепрезентативнијих тржишта на свету. Друга емисија еврообвезница је била 1. децембра 2020. године, у укупном износу од 1,2 милијарде америчких долара са доспећем 2030. године. Купонска стопа је износила 2,125%, а финална каматна стопа у еврима, након реализације хеџинг трансакције 1,066%. Повратак на доларско тржиште хартија и нова емисија деноминована у доларима, омогућиле су Србији да остане присутна у индексу обвезница тржишта у развоју – EMBI Index, чиме је осигурана њена видљивост на америчком тржишту капитала, као и на широј међународној инвестиционој мапи. Средствима емисије еврообвезница из децембра 2020. године извршeна je превремена отплата 900 милиона долара еврообвезница емитованих 2011. године, од укупно 1,6 милијарде долара колико је доспевало у септембру 2021. године. Превремено су откупљене обвезнице које су биле емитоване по купонској стопи од чак 7,25%.</w:t>
      </w:r>
    </w:p>
    <w:p w14:paraId="72593461" w14:textId="6C287171" w:rsidR="00F24B7F" w:rsidRPr="00F27A03" w:rsidRDefault="00F24B7F" w:rsidP="00C91F83">
      <w:pPr>
        <w:rPr>
          <w:rFonts w:ascii="Calibri" w:eastAsia="Calibri" w:hAnsi="Calibri" w:cs="Times New Roman"/>
          <w:lang w:val="sr-Cyrl-CS"/>
        </w:rPr>
      </w:pPr>
      <w:r w:rsidRPr="00F27A03">
        <w:rPr>
          <w:rFonts w:ascii="Calibri" w:eastAsia="Calibri" w:hAnsi="Calibri" w:cs="Calibri"/>
          <w:bCs/>
          <w:szCs w:val="72"/>
          <w:lang w:val="sr-Cyrl-CS"/>
        </w:rPr>
        <w:t xml:space="preserve">Како би снизила трошкове финансирања и продужила рочност дуга Република Србија је 3. марта 2021. године успешно искористила још увек повољне услове на међународном финансијском тржишту и по први пут емитовала дванаестогодишње државне обвезнице деноминоване у еврима у износу од једне милијарде евра </w:t>
      </w:r>
      <w:r w:rsidRPr="00F27A03">
        <w:rPr>
          <w:rFonts w:ascii="Calibri" w:eastAsia="Calibri" w:hAnsi="Calibri" w:cs="Times New Roman"/>
          <w:lang w:val="sr-Cyrl-CS"/>
        </w:rPr>
        <w:t xml:space="preserve">по купонској стопи од 1,65%. </w:t>
      </w:r>
      <w:r w:rsidR="00972FDC" w:rsidRPr="00F27A03">
        <w:rPr>
          <w:rFonts w:ascii="Calibri" w:eastAsia="Calibri" w:hAnsi="Calibri" w:cs="Times New Roman"/>
          <w:lang w:val="sr-Cyrl-CS"/>
        </w:rPr>
        <w:t xml:space="preserve">Република </w:t>
      </w:r>
      <w:r w:rsidR="00972FDC" w:rsidRPr="00F27A03">
        <w:rPr>
          <w:lang w:val="sr-Cyrl-CS"/>
        </w:rPr>
        <w:t xml:space="preserve">Србија је </w:t>
      </w:r>
      <w:r w:rsidRPr="00F27A03">
        <w:rPr>
          <w:rFonts w:ascii="Calibri" w:eastAsia="Calibri" w:hAnsi="Calibri" w:cs="Times New Roman"/>
          <w:lang w:val="sr-Cyrl-CS"/>
        </w:rPr>
        <w:t xml:space="preserve">23. септембра 2021. године </w:t>
      </w:r>
      <w:r w:rsidRPr="00F27A03">
        <w:rPr>
          <w:lang w:val="sr-Cyrl-CS"/>
        </w:rPr>
        <w:t>поново померила границе у избору финансирања својих инвестиција изласком на међународно тржиште зелених обвезница. Зелена еврообвезница емитована је у износу од 1,0 милијарде евра са роком доспећа од седам година и купонском стопом од 1,00%, најнижом до сада постигнутом на међународном тржишту. Република Србија се сврстала у ред ретких европских земаља које су на међународном финансијском тржишту</w:t>
      </w:r>
      <w:r w:rsidR="0066295C" w:rsidRPr="00F27A03">
        <w:rPr>
          <w:lang w:val="sr-Cyrl-CS"/>
        </w:rPr>
        <w:t xml:space="preserve"> емитовале зелене еврообвезнице</w:t>
      </w:r>
      <w:r w:rsidRPr="00F27A03">
        <w:rPr>
          <w:lang w:val="sr-Cyrl-CS"/>
        </w:rPr>
        <w:t xml:space="preserve"> намењене искључиво за финансирање еколошки прихватљивих пројеката. Истовремено, са емисијом зелене еврообвезнице, емитована је и петнаестогодишња еврообвезница најдуже рочности до сада у износу од 750 милиона евра, са годишњом купонском стопом од 2,05%, чијом емисијом је додатно повећана рочност јавног дуга.</w:t>
      </w:r>
    </w:p>
    <w:p w14:paraId="633B71DC" w14:textId="344DC756"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lastRenderedPageBreak/>
        <w:t xml:space="preserve">Водећи се најбољом међународном праксом активног управљања јавним дугом, Република Србија је у децембру 2020. године по први пут реализовала хеџинг трансакцију, тј. коришћење финансијских деривата у </w:t>
      </w:r>
      <w:r w:rsidR="002B0A7B" w:rsidRPr="00F27A03">
        <w:rPr>
          <w:rFonts w:ascii="Calibri" w:eastAsia="Calibri" w:hAnsi="Calibri" w:cs="Calibri"/>
          <w:bCs/>
          <w:szCs w:val="72"/>
          <w:lang w:val="sr-Cyrl-CS"/>
        </w:rPr>
        <w:t>сврси</w:t>
      </w:r>
      <w:r w:rsidRPr="00F27A03">
        <w:rPr>
          <w:rFonts w:ascii="Calibri" w:eastAsia="Calibri" w:hAnsi="Calibri" w:cs="Calibri"/>
          <w:bCs/>
          <w:szCs w:val="72"/>
          <w:lang w:val="sr-Cyrl-CS"/>
        </w:rPr>
        <w:t xml:space="preserve"> заштите од девизног и каматног ризика, у складу са међународним ISDA стандардима (</w:t>
      </w:r>
      <w:r w:rsidRPr="00F27A03">
        <w:rPr>
          <w:rFonts w:ascii="Calibri" w:eastAsia="Calibri" w:hAnsi="Calibri" w:cs="Calibri"/>
          <w:bCs/>
          <w:i/>
          <w:szCs w:val="72"/>
          <w:lang w:val="sr-Cyrl-CS"/>
        </w:rPr>
        <w:t>International Swaps and Derivatives Association</w:t>
      </w:r>
      <w:r w:rsidRPr="00F27A03">
        <w:rPr>
          <w:rFonts w:ascii="Calibri" w:eastAsia="Calibri" w:hAnsi="Calibri" w:cs="Calibri"/>
          <w:bCs/>
          <w:szCs w:val="72"/>
          <w:lang w:val="sr-Cyrl-CS"/>
        </w:rPr>
        <w:t>), односно унакрсна валутна своп трансакција којом су обавезе по основу емитоване обвезнице конвертоване из америчких долара у евре по значајно нижој финалној каматној стопи. Своје обавезе по основу емисије деноминоване у доларима, у износу од 1,2 милијарди USD, Република Србија ће исплаћивати у еврима по купонској стопи од 1,066% на номиналну вредност емисије након конверзије од 1,016 милијарди евра. Искоришћен је повољан однос курса евра и америчког долара у датом тренутку, као и дивергенције између доларских и е</w:t>
      </w:r>
      <w:r w:rsidR="002B0A7B" w:rsidRPr="00F27A03">
        <w:rPr>
          <w:rFonts w:ascii="Calibri" w:eastAsia="Calibri" w:hAnsi="Calibri" w:cs="Calibri"/>
          <w:bCs/>
          <w:szCs w:val="72"/>
          <w:lang w:val="sr-Cyrl-CS"/>
        </w:rPr>
        <w:t>варских</w:t>
      </w:r>
      <w:r w:rsidRPr="00F27A03">
        <w:rPr>
          <w:rFonts w:ascii="Calibri" w:eastAsia="Calibri" w:hAnsi="Calibri" w:cs="Calibri"/>
          <w:bCs/>
          <w:szCs w:val="72"/>
          <w:lang w:val="sr-Cyrl-CS"/>
        </w:rPr>
        <w:t xml:space="preserve"> каматних стопа на међународном тржишту капитала и постигнута је најповољнија цена задуживања, уз оптимизацију валутне структуре јавног дуга, а све у циљу заштите од ризика промене девизног курса. Током јануара 2021. године реализована је друга своп трансакција, којом је обавеза по основу Споразума о репрограму дуга између Републике Србије и Kuwait Investment Authority конвертована из америчких долара у евре, по значајно нижој каматној стопи. Обавезе по основу наведеног репрограмираног зајма, уговорене у доларима по каматној стопи од 1,5%, Република Србија ће исплаћивати у еврима по каматној стопи од 0,393%. У марту 2021. године је закључена нова своп трансакција којом је кредит код Export - Import Bank of China за пројекат изградње обилазнице око Београда на аутопуту Е70/Е75, који је 2018. године иницијално уговорен у кинеским јуанима конвертован у евре са негативном каматном стопом. Наведени зајам, на који је плаћана фиксна каматна стопа од 2,50% годишње у кинеским јуанима, конвертован је у евре по фиксној негативној каматној стопи од </w:t>
      </w:r>
      <w:r w:rsidRPr="00F27A03">
        <w:rPr>
          <w:rFonts w:ascii="Calibri" w:eastAsia="Calibri" w:hAnsi="Calibri" w:cs="Calibri"/>
          <w:bCs/>
          <w:szCs w:val="72"/>
          <w:lang w:val="sr-Cyrl-CS"/>
        </w:rPr>
        <w:br w:type="textWrapping" w:clear="all"/>
        <w:t xml:space="preserve">-0,07%. Како је уговорена негативна каматна стопа, Република Србија неће имати никакве трошкове по основу камата у првих пет година своп аранжмана, који важи до 2030. године, већ ће остваривати додатна примања од банака са </w:t>
      </w:r>
      <w:r w:rsidRPr="00F27A03">
        <w:rPr>
          <w:rFonts w:ascii="Calibri" w:eastAsia="Calibri" w:hAnsi="Calibri" w:cs="Calibri"/>
          <w:bCs/>
          <w:szCs w:val="72"/>
          <w:lang w:val="sr-Cyrl-CS"/>
        </w:rPr>
        <w:t xml:space="preserve">којима је трансакција закључена. </w:t>
      </w:r>
      <w:r w:rsidR="0059568E" w:rsidRPr="00F27A03">
        <w:rPr>
          <w:lang w:val="sr-Cyrl-CS"/>
        </w:rPr>
        <w:t>Реализована је</w:t>
      </w:r>
      <w:r w:rsidR="00BE7B63" w:rsidRPr="00F27A03">
        <w:rPr>
          <w:lang w:val="sr-Cyrl-CS"/>
        </w:rPr>
        <w:t>,</w:t>
      </w:r>
      <w:r w:rsidR="0059568E" w:rsidRPr="00F27A03">
        <w:rPr>
          <w:lang w:val="sr-Cyrl-CS"/>
        </w:rPr>
        <w:t xml:space="preserve"> </w:t>
      </w:r>
      <w:r w:rsidRPr="00F27A03">
        <w:rPr>
          <w:rFonts w:ascii="Calibri" w:eastAsia="Calibri" w:hAnsi="Calibri" w:cs="Calibri"/>
          <w:bCs/>
          <w:szCs w:val="72"/>
          <w:lang w:val="sr-Cyrl-CS"/>
        </w:rPr>
        <w:t>24. новембра 2021. године</w:t>
      </w:r>
      <w:r w:rsidR="00BE7B63" w:rsidRPr="00F27A03">
        <w:rPr>
          <w:rFonts w:ascii="Calibri" w:eastAsia="Calibri" w:hAnsi="Calibri" w:cs="Calibri"/>
          <w:bCs/>
          <w:szCs w:val="72"/>
          <w:lang w:val="sr-Cyrl-CS"/>
        </w:rPr>
        <w:t>,</w:t>
      </w:r>
      <w:r w:rsidRPr="00F27A03">
        <w:rPr>
          <w:rFonts w:ascii="Calibri" w:eastAsia="Calibri" w:hAnsi="Calibri" w:cs="Calibri"/>
          <w:bCs/>
          <w:szCs w:val="72"/>
          <w:lang w:val="sr-Cyrl-CS"/>
        </w:rPr>
        <w:t xml:space="preserve"> </w:t>
      </w:r>
      <w:r w:rsidRPr="00F27A03">
        <w:rPr>
          <w:lang w:val="sr-Cyrl-CS"/>
        </w:rPr>
        <w:t>још једна, четврта по реду, с</w:t>
      </w:r>
      <w:r w:rsidR="00BE7B63" w:rsidRPr="00F27A03">
        <w:rPr>
          <w:lang w:val="sr-Cyrl-CS"/>
        </w:rPr>
        <w:t>воп трансакција</w:t>
      </w:r>
      <w:r w:rsidRPr="00F27A03">
        <w:rPr>
          <w:lang w:val="sr-Cyrl-CS"/>
        </w:rPr>
        <w:t xml:space="preserve"> којом су обавезе по основу зајма узетог од Фонда за развој Абу Дабија, 2016. године, иницијално уговорене у дирхамима, са плаћањем у америчким доларима, конвертоване у евре. Дуг и обавезе по основу наведеног зајма на који је плаћана фиксна каматна стопа од 2,25% годишње, замењени су у евре по годишњој каматној стопи од 0,96%.</w:t>
      </w:r>
    </w:p>
    <w:p w14:paraId="7A8BF23D"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Током 2020. године настављено је са емитовањем „бенчмарк</w:t>
      </w:r>
      <w:r w:rsidRPr="00F27A03">
        <w:rPr>
          <w:rFonts w:eastAsia="MS PGothic" w:cstheme="minorHAnsi"/>
          <w:szCs w:val="20"/>
          <w:lang w:val="sr-Cyrl-CS" w:eastAsia="ja-JP"/>
        </w:rPr>
        <w:t>”</w:t>
      </w:r>
      <w:r w:rsidRPr="00F27A03">
        <w:rPr>
          <w:rFonts w:ascii="Calibri" w:eastAsia="Calibri" w:hAnsi="Calibri" w:cs="Calibri"/>
          <w:bCs/>
          <w:szCs w:val="72"/>
          <w:lang w:val="sr-Cyrl-CS"/>
        </w:rPr>
        <w:t xml:space="preserve"> обвезница на домаћем тржишту. Емитоване су обвезнице рочности 5,5 и 12,5 година у RSD номиналнe вредности од по 100 милијарди динара, чији обими су повећани на по 150 милијарди током 2021. године. 30. јуна 2021. године динарске бенчмарк обвезнице Републике Србије рочности 7, 10 и 12,5 година укључене су у J.P. Morgan GBI-EM Index. Укључивањем у наведени индекс начињен је значајан напредак у јачању ликвидности секундарног тржишта државних обвезница и обезбеђен долазак нових међународних страних инвестиционих фондова, што ће резултирати већом конкуренцијом и даљим падом трошкова задуживања. У октобру 2021. године, Clearstream, међународни централни регистар хартија од вредности, који обавља послове клиринга и салдирања (ICSD), отворио је рачун хартија од вредности у домаћем регистру и путем посредника – овлашћеног учесника на локалном тржишту,</w:t>
      </w:r>
      <w:r w:rsidRPr="00F27A03">
        <w:rPr>
          <w:lang w:val="sr-Cyrl-CS"/>
        </w:rPr>
        <w:t xml:space="preserve"> </w:t>
      </w:r>
      <w:r w:rsidRPr="00F27A03">
        <w:rPr>
          <w:rFonts w:ascii="Calibri" w:eastAsia="Calibri" w:hAnsi="Calibri" w:cs="Calibri"/>
          <w:bCs/>
          <w:szCs w:val="72"/>
          <w:lang w:val="sr-Cyrl-CS"/>
        </w:rPr>
        <w:t>омогућио страним инвеститорима салдирање српских обвезница у динарима (РСД).</w:t>
      </w:r>
    </w:p>
    <w:p w14:paraId="65D90EE3"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У 2019. години Република Србија је извршила превремени откуп раније емитованих државних хартија од вредности на домаћем тржишту путем редовних аукција на којима је откупила државне обвезнице деноминоване у динарима са високим купонским стопама 4,5% на обвезнице рочности три године и 10,0% на обвезнице рочности седам година, у укупном износу од 35,1 милијарде RSD. Са истом праксом је настављено и у 2020. години када је превремено откупљено 10,2 милијарде RSD обвезница са високим купонским стопама. Током 2021. године превремено је откупљено 34,0 милијарди RSD државних обвезница емитованих у динарима рочности 3, 7 и 12,5 година.</w:t>
      </w:r>
    </w:p>
    <w:p w14:paraId="531CF6B3"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lastRenderedPageBreak/>
        <w:t>Путем наведених аукција, настављено је активно управљање јавним дугом у циљу замене дуга са краћим роком доспећа и вишим каматним стопама дугом дуже рочности са мањим трошковима задуживања. Истовремено, пружена је могућност инвеститорима који активно улажу у домаће хартије од вредности да продуже рочност својих инвестиција и наставе инвестирање у земљи, што је од велике важности за даљи развој тржишта капитала и емисије државних обвезница у будућности.</w:t>
      </w:r>
    </w:p>
    <w:p w14:paraId="193121DF"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Валутни ризик је додатно смањен током претходних година. Удео јавног дуга у домаћој валути у укупном јавном дугу централног нивоа власти је на крају 2008. године износио само 2,6%, а до краја 2020. године је порастао на 30,5%, али је услед задуживања током 2021. и почетком 2022. године углавном на иностраном тржишту због повољнијих услова, дошло до пада учешћа на 25,4% на крају септембра 2022. године. Расту динарског дуга претходних година су пре свега допринеле емисије динарских државних хартија од вредности на домаћем тржишту хартија од вредности. Током 2019. и 2020. године је извршен превремени откуп скупих еврообвезница емитованих у 2011. и 2013. години у америчким доларима, а током фебруара 2020. године редовна отплата доларске обвезнице емитоване у </w:t>
      </w:r>
      <w:r w:rsidRPr="00F27A03">
        <w:rPr>
          <w:rFonts w:ascii="Calibri" w:eastAsia="Calibri" w:hAnsi="Calibri" w:cs="Calibri"/>
          <w:bCs/>
          <w:szCs w:val="72"/>
          <w:lang w:val="sr-Cyrl-CS"/>
        </w:rPr>
        <w:t>2013. години. У децембру 2020. године је закључена и прва хеџинг трансакција којом је емитована еврообвезница у америчким доларима, одмах конвертована у евре. У јануару 2021. године је закључена још једна хеџинг трансакција којом су обавезе у америчким доларима конвертоване у евре. Захваљујући трансакцијама у децембру 2020. године и фебруару 2021. године, као и редовним отплатама доларског дуга, дошло је до пада његовог учешћа у укупном јавном дугу са 33,9% колико је износило на крају 2016. године на 12,5% на крају септембра 2022. године.</w:t>
      </w:r>
    </w:p>
    <w:p w14:paraId="0CED309F" w14:textId="5FD10822"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Трошкови задуживања су такође значајно снижени током претходних година</w:t>
      </w:r>
      <w:r w:rsidR="00895372" w:rsidRPr="00F27A03">
        <w:rPr>
          <w:rFonts w:ascii="Calibri" w:eastAsia="Calibri" w:hAnsi="Calibri" w:cs="Calibri"/>
          <w:bCs/>
          <w:szCs w:val="72"/>
          <w:lang w:val="sr-Cyrl-CS"/>
        </w:rPr>
        <w:t>. Учешће трошкова камата у БДП</w:t>
      </w:r>
      <w:r w:rsidRPr="00F27A03">
        <w:rPr>
          <w:rFonts w:ascii="Calibri" w:eastAsia="Calibri" w:hAnsi="Calibri" w:cs="Calibri"/>
          <w:bCs/>
          <w:szCs w:val="72"/>
          <w:lang w:val="sr-Cyrl-CS"/>
        </w:rPr>
        <w:t xml:space="preserve"> је пало са 2,9% (централни ниво власти) колико је износило 2015. године на 1,7% у 2021. години.</w:t>
      </w:r>
    </w:p>
    <w:p w14:paraId="026EF79E" w14:textId="77777777" w:rsidR="00F24B7F" w:rsidRPr="00F27A03" w:rsidRDefault="00F24B7F" w:rsidP="00C91F83">
      <w:pPr>
        <w:spacing w:after="720"/>
        <w:rPr>
          <w:rFonts w:ascii="Calibri" w:eastAsia="Calibri" w:hAnsi="Calibri" w:cs="Calibri"/>
          <w:bCs/>
          <w:szCs w:val="72"/>
          <w:lang w:val="sr-Cyrl-CS"/>
        </w:rPr>
      </w:pPr>
      <w:r w:rsidRPr="00F27A03">
        <w:rPr>
          <w:rFonts w:ascii="Calibri" w:eastAsia="Calibri" w:hAnsi="Calibri" w:cs="Calibri"/>
          <w:bCs/>
          <w:szCs w:val="72"/>
          <w:lang w:val="sr-Cyrl-CS"/>
        </w:rPr>
        <w:t>На крају септембра 2022. године укупно стање јавног дуга општег нивоа државе износило је 3.839,8 млрд динара, односно 54,2% БДП. Од тога се на директне обавезе односило 3.614,8 млрд динара, на индиректне обавезе 188,5 млрд динара, док се 31,2 млрд динара односи на негарантовани дуг јединица локалне самоуправе и 5,3 млрд динара на негарантовани дуг ЈП „Путеви Србије” и предузећа „Коридори Србије” д.о.о.</w:t>
      </w:r>
    </w:p>
    <w:p w14:paraId="761E102F" w14:textId="77777777" w:rsidR="00F24B7F" w:rsidRPr="00F27A03" w:rsidRDefault="00F24B7F" w:rsidP="00C91F83">
      <w:pPr>
        <w:spacing w:line="254" w:lineRule="auto"/>
        <w:rPr>
          <w:rFonts w:ascii="Calibri" w:eastAsia="Calibri" w:hAnsi="Calibri" w:cs="Calibri"/>
          <w:bCs/>
          <w:szCs w:val="72"/>
          <w:lang w:val="sr-Cyrl-CS"/>
        </w:rPr>
        <w:sectPr w:rsidR="00F24B7F" w:rsidRPr="00F27A03" w:rsidSect="00C91F83">
          <w:type w:val="continuous"/>
          <w:pgSz w:w="12240" w:h="15840"/>
          <w:pgMar w:top="1440" w:right="1440" w:bottom="1440" w:left="1440" w:header="720" w:footer="720" w:gutter="0"/>
          <w:cols w:num="2" w:space="720"/>
        </w:sectPr>
      </w:pPr>
    </w:p>
    <w:p w14:paraId="7A5FC639" w14:textId="77777777" w:rsidR="00F24B7F" w:rsidRPr="00F27A03" w:rsidRDefault="00F24B7F" w:rsidP="00C91F83">
      <w:pPr>
        <w:spacing w:after="0" w:line="257"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t>Учешће јавног дуга општег нивоа државе у БДП,%</w:t>
      </w:r>
    </w:p>
    <w:p w14:paraId="47445FE2" w14:textId="77777777"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noProof/>
          <w:lang w:val="sr-Cyrl-RS" w:eastAsia="sr-Cyrl-RS"/>
        </w:rPr>
        <w:drawing>
          <wp:inline distT="0" distB="0" distL="0" distR="0" wp14:anchorId="0CDFE04B" wp14:editId="03AC46E9">
            <wp:extent cx="3667125" cy="2470068"/>
            <wp:effectExtent l="0" t="0" r="0" b="6985"/>
            <wp:docPr id="8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51F3F97" w14:textId="53BF0A1D"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lastRenderedPageBreak/>
        <w:t>Табела 2</w:t>
      </w:r>
      <w:r w:rsidR="00EB3946" w:rsidRPr="00F27A03">
        <w:rPr>
          <w:rFonts w:ascii="Calibri" w:eastAsia="Calibri" w:hAnsi="Calibri" w:cs="Times New Roman"/>
          <w:b/>
          <w:color w:val="002060"/>
          <w:lang w:val="sr-Cyrl-CS"/>
        </w:rPr>
        <w:t>1</w:t>
      </w:r>
      <w:r w:rsidRPr="00F27A03">
        <w:rPr>
          <w:rFonts w:ascii="Calibri" w:eastAsia="Calibri" w:hAnsi="Calibri" w:cs="Times New Roman"/>
          <w:b/>
          <w:color w:val="002060"/>
          <w:lang w:val="sr-Cyrl-CS"/>
        </w:rPr>
        <w:t xml:space="preserve">. </w:t>
      </w:r>
      <w:r w:rsidRPr="00F27A03">
        <w:rPr>
          <w:rFonts w:ascii="Calibri" w:eastAsia="Calibri" w:hAnsi="Calibri" w:cs="Times New Roman"/>
          <w:b/>
          <w:bCs/>
          <w:color w:val="002060"/>
          <w:lang w:val="sr-Cyrl-CS"/>
        </w:rPr>
        <w:t xml:space="preserve">Јавни дуг општег нивоа државе Републике Србије у периоду </w:t>
      </w:r>
      <w:r w:rsidRPr="00F27A03">
        <w:rPr>
          <w:rFonts w:ascii="Calibri" w:eastAsia="Calibri" w:hAnsi="Calibri" w:cs="Times New Roman"/>
          <w:b/>
          <w:bCs/>
          <w:color w:val="002060"/>
          <w:lang w:val="sr-Cyrl-CS"/>
        </w:rPr>
        <w:br w:type="textWrapping" w:clear="all"/>
        <w:t>крај 2019–30.септембар 2022. године</w:t>
      </w:r>
    </w:p>
    <w:tbl>
      <w:tblPr>
        <w:tblStyle w:val="LightShading-Accent12121"/>
        <w:tblW w:w="5000" w:type="pct"/>
        <w:tblInd w:w="0" w:type="dxa"/>
        <w:tblLook w:val="04A0" w:firstRow="1" w:lastRow="0" w:firstColumn="1" w:lastColumn="0" w:noHBand="0" w:noVBand="1"/>
      </w:tblPr>
      <w:tblGrid>
        <w:gridCol w:w="4046"/>
        <w:gridCol w:w="1328"/>
        <w:gridCol w:w="1330"/>
        <w:gridCol w:w="1327"/>
        <w:gridCol w:w="1329"/>
      </w:tblGrid>
      <w:tr w:rsidR="00F24B7F" w:rsidRPr="00F27A03" w14:paraId="028BF724" w14:textId="77777777" w:rsidTr="00482D55">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002060"/>
              <w:bottom w:val="single" w:sz="4" w:space="0" w:color="FFFFFF" w:themeColor="background1"/>
            </w:tcBorders>
            <w:noWrap/>
            <w:hideMark/>
          </w:tcPr>
          <w:p w14:paraId="3AD73934" w14:textId="77777777" w:rsidR="00F24B7F" w:rsidRPr="00F27A03" w:rsidRDefault="00F24B7F" w:rsidP="00C91F83">
            <w:pPr>
              <w:jc w:val="center"/>
              <w:rPr>
                <w:rFonts w:ascii="Calibri" w:hAnsi="Calibri" w:cs="Calibri"/>
                <w:color w:val="002060"/>
                <w:sz w:val="18"/>
                <w:szCs w:val="18"/>
                <w:lang w:val="sr-Cyrl-CS"/>
              </w:rPr>
            </w:pPr>
            <w:bookmarkStart w:id="42" w:name="_Hlk529193448"/>
            <w:r w:rsidRPr="00F27A03">
              <w:rPr>
                <w:rFonts w:ascii="Calibri" w:hAnsi="Calibri" w:cs="Calibri"/>
                <w:color w:val="002060"/>
                <w:sz w:val="18"/>
                <w:szCs w:val="18"/>
                <w:lang w:val="sr-Cyrl-CS"/>
              </w:rPr>
              <w:t> </w:t>
            </w:r>
          </w:p>
        </w:tc>
        <w:tc>
          <w:tcPr>
            <w:tcW w:w="709" w:type="pct"/>
            <w:tcBorders>
              <w:top w:val="single" w:sz="4" w:space="0" w:color="002060"/>
              <w:bottom w:val="single" w:sz="4" w:space="0" w:color="002060"/>
            </w:tcBorders>
            <w:vAlign w:val="center"/>
            <w:hideMark/>
          </w:tcPr>
          <w:p w14:paraId="6DBA6651" w14:textId="77777777" w:rsidR="00F24B7F" w:rsidRPr="00F27A03" w:rsidRDefault="00F24B7F"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2019</w:t>
            </w:r>
          </w:p>
        </w:tc>
        <w:tc>
          <w:tcPr>
            <w:tcW w:w="710" w:type="pct"/>
            <w:tcBorders>
              <w:top w:val="single" w:sz="4" w:space="0" w:color="002060"/>
              <w:bottom w:val="single" w:sz="4" w:space="0" w:color="002060"/>
            </w:tcBorders>
            <w:vAlign w:val="center"/>
            <w:hideMark/>
          </w:tcPr>
          <w:p w14:paraId="22F416E1" w14:textId="77777777" w:rsidR="00F24B7F" w:rsidRPr="00F27A03" w:rsidRDefault="00F24B7F"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2020</w:t>
            </w:r>
          </w:p>
        </w:tc>
        <w:tc>
          <w:tcPr>
            <w:tcW w:w="709" w:type="pct"/>
            <w:tcBorders>
              <w:top w:val="single" w:sz="4" w:space="0" w:color="002060"/>
              <w:bottom w:val="single" w:sz="4" w:space="0" w:color="002060"/>
            </w:tcBorders>
            <w:noWrap/>
            <w:vAlign w:val="center"/>
            <w:hideMark/>
          </w:tcPr>
          <w:p w14:paraId="091E8D7C" w14:textId="77777777" w:rsidR="00F24B7F" w:rsidRPr="00F27A03" w:rsidRDefault="00F24B7F"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2021</w:t>
            </w:r>
          </w:p>
        </w:tc>
        <w:tc>
          <w:tcPr>
            <w:tcW w:w="710" w:type="pct"/>
            <w:tcBorders>
              <w:top w:val="single" w:sz="4" w:space="0" w:color="002060"/>
              <w:bottom w:val="single" w:sz="4" w:space="0" w:color="002060"/>
            </w:tcBorders>
            <w:noWrap/>
            <w:vAlign w:val="center"/>
            <w:hideMark/>
          </w:tcPr>
          <w:p w14:paraId="7426760E" w14:textId="77777777" w:rsidR="00F24B7F" w:rsidRPr="00F27A03" w:rsidRDefault="00F24B7F"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2022/IX</w:t>
            </w:r>
          </w:p>
        </w:tc>
      </w:tr>
      <w:tr w:rsidR="00F24B7F" w:rsidRPr="00F27A03" w14:paraId="5CA01F43" w14:textId="77777777" w:rsidTr="00482D55">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FFFFFF" w:themeColor="background1"/>
              <w:bottom w:val="nil"/>
            </w:tcBorders>
            <w:shd w:val="clear" w:color="auto" w:fill="E7E6E6" w:themeFill="background2"/>
            <w:noWrap/>
            <w:vAlign w:val="center"/>
            <w:hideMark/>
          </w:tcPr>
          <w:p w14:paraId="4E94E3E3" w14:textId="77777777" w:rsidR="00F24B7F" w:rsidRPr="00F27A03" w:rsidRDefault="00F24B7F" w:rsidP="00C91F83">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Јавни дуг (у млрд динара)</w:t>
            </w:r>
          </w:p>
        </w:tc>
        <w:tc>
          <w:tcPr>
            <w:tcW w:w="709" w:type="pct"/>
            <w:tcBorders>
              <w:top w:val="single" w:sz="4" w:space="0" w:color="002060"/>
              <w:bottom w:val="nil"/>
            </w:tcBorders>
            <w:shd w:val="clear" w:color="auto" w:fill="E7E6E6" w:themeFill="background2"/>
            <w:vAlign w:val="center"/>
            <w:hideMark/>
          </w:tcPr>
          <w:p w14:paraId="40F76411"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2.864,0</w:t>
            </w:r>
          </w:p>
        </w:tc>
        <w:tc>
          <w:tcPr>
            <w:tcW w:w="710" w:type="pct"/>
            <w:tcBorders>
              <w:top w:val="single" w:sz="4" w:space="0" w:color="002060"/>
              <w:bottom w:val="nil"/>
            </w:tcBorders>
            <w:shd w:val="clear" w:color="auto" w:fill="E7E6E6" w:themeFill="background2"/>
            <w:vAlign w:val="center"/>
            <w:hideMark/>
          </w:tcPr>
          <w:p w14:paraId="6DC6C088"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3.181,2</w:t>
            </w:r>
          </w:p>
        </w:tc>
        <w:tc>
          <w:tcPr>
            <w:tcW w:w="709" w:type="pct"/>
            <w:tcBorders>
              <w:top w:val="single" w:sz="4" w:space="0" w:color="002060"/>
              <w:bottom w:val="nil"/>
            </w:tcBorders>
            <w:shd w:val="clear" w:color="auto" w:fill="E7E6E6" w:themeFill="background2"/>
            <w:noWrap/>
            <w:vAlign w:val="center"/>
            <w:hideMark/>
          </w:tcPr>
          <w:p w14:paraId="7CD511DF"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3.581,8</w:t>
            </w:r>
          </w:p>
        </w:tc>
        <w:tc>
          <w:tcPr>
            <w:tcW w:w="710" w:type="pct"/>
            <w:tcBorders>
              <w:top w:val="single" w:sz="4" w:space="0" w:color="002060"/>
              <w:bottom w:val="nil"/>
            </w:tcBorders>
            <w:shd w:val="clear" w:color="auto" w:fill="E7E6E6" w:themeFill="background2"/>
            <w:noWrap/>
            <w:vAlign w:val="center"/>
            <w:hideMark/>
          </w:tcPr>
          <w:p w14:paraId="151B8A94"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3.839,8</w:t>
            </w:r>
          </w:p>
        </w:tc>
      </w:tr>
      <w:tr w:rsidR="00F24B7F" w:rsidRPr="00F27A03" w14:paraId="7E2946D8" w14:textId="77777777" w:rsidTr="00482D55">
        <w:trPr>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nil"/>
              <w:left w:val="nil"/>
              <w:bottom w:val="nil"/>
              <w:right w:val="nil"/>
            </w:tcBorders>
            <w:noWrap/>
            <w:vAlign w:val="center"/>
            <w:hideMark/>
          </w:tcPr>
          <w:p w14:paraId="05DC42D5" w14:textId="77777777" w:rsidR="00F24B7F" w:rsidRPr="00F27A03" w:rsidRDefault="00F24B7F" w:rsidP="00C91F83">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Јавни дуг (у мил. евра)</w:t>
            </w:r>
          </w:p>
        </w:tc>
        <w:tc>
          <w:tcPr>
            <w:tcW w:w="709" w:type="pct"/>
            <w:tcBorders>
              <w:top w:val="nil"/>
              <w:left w:val="nil"/>
              <w:bottom w:val="nil"/>
              <w:right w:val="nil"/>
            </w:tcBorders>
            <w:vAlign w:val="center"/>
            <w:hideMark/>
          </w:tcPr>
          <w:p w14:paraId="6DFC91A9" w14:textId="77777777" w:rsidR="00F24B7F" w:rsidRPr="00F27A03" w:rsidRDefault="00F24B7F"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24.354,9</w:t>
            </w:r>
          </w:p>
        </w:tc>
        <w:tc>
          <w:tcPr>
            <w:tcW w:w="710" w:type="pct"/>
            <w:tcBorders>
              <w:top w:val="nil"/>
              <w:left w:val="nil"/>
              <w:bottom w:val="nil"/>
              <w:right w:val="nil"/>
            </w:tcBorders>
            <w:vAlign w:val="center"/>
            <w:hideMark/>
          </w:tcPr>
          <w:p w14:paraId="0D6CE7A6" w14:textId="77777777" w:rsidR="00F24B7F" w:rsidRPr="00F27A03" w:rsidRDefault="00F24B7F"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27.055,8</w:t>
            </w:r>
          </w:p>
        </w:tc>
        <w:tc>
          <w:tcPr>
            <w:tcW w:w="709" w:type="pct"/>
            <w:tcBorders>
              <w:top w:val="nil"/>
              <w:left w:val="nil"/>
              <w:bottom w:val="nil"/>
              <w:right w:val="nil"/>
            </w:tcBorders>
            <w:noWrap/>
            <w:vAlign w:val="center"/>
            <w:hideMark/>
          </w:tcPr>
          <w:p w14:paraId="25FF8A79" w14:textId="77777777" w:rsidR="00F24B7F" w:rsidRPr="00F27A03" w:rsidRDefault="00F24B7F"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30.461,8</w:t>
            </w:r>
          </w:p>
        </w:tc>
        <w:tc>
          <w:tcPr>
            <w:tcW w:w="710" w:type="pct"/>
            <w:tcBorders>
              <w:top w:val="nil"/>
              <w:left w:val="nil"/>
              <w:bottom w:val="nil"/>
              <w:right w:val="nil"/>
            </w:tcBorders>
            <w:noWrap/>
            <w:vAlign w:val="center"/>
            <w:hideMark/>
          </w:tcPr>
          <w:p w14:paraId="576FFC27" w14:textId="77777777" w:rsidR="00F24B7F" w:rsidRPr="00F27A03" w:rsidRDefault="00F24B7F"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32.730,1</w:t>
            </w:r>
          </w:p>
        </w:tc>
      </w:tr>
      <w:tr w:rsidR="00F24B7F" w:rsidRPr="00F27A03" w14:paraId="67631C72" w14:textId="77777777" w:rsidTr="00482D55">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nil"/>
              <w:bottom w:val="single" w:sz="4" w:space="0" w:color="002060"/>
            </w:tcBorders>
            <w:shd w:val="clear" w:color="auto" w:fill="E7E6E6" w:themeFill="background2"/>
            <w:noWrap/>
            <w:vAlign w:val="center"/>
            <w:hideMark/>
          </w:tcPr>
          <w:p w14:paraId="108FD524" w14:textId="77777777" w:rsidR="00F24B7F" w:rsidRPr="00F27A03" w:rsidRDefault="00F24B7F" w:rsidP="00C91F83">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Јавни дуг (у мил. долара)</w:t>
            </w:r>
          </w:p>
        </w:tc>
        <w:tc>
          <w:tcPr>
            <w:tcW w:w="709" w:type="pct"/>
            <w:tcBorders>
              <w:top w:val="nil"/>
              <w:bottom w:val="single" w:sz="4" w:space="0" w:color="002060"/>
            </w:tcBorders>
            <w:shd w:val="clear" w:color="auto" w:fill="E7E6E6" w:themeFill="background2"/>
            <w:vAlign w:val="center"/>
            <w:hideMark/>
          </w:tcPr>
          <w:p w14:paraId="78F0858A"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27.296,9</w:t>
            </w:r>
          </w:p>
        </w:tc>
        <w:tc>
          <w:tcPr>
            <w:tcW w:w="710" w:type="pct"/>
            <w:tcBorders>
              <w:top w:val="nil"/>
              <w:bottom w:val="single" w:sz="4" w:space="0" w:color="002060"/>
            </w:tcBorders>
            <w:shd w:val="clear" w:color="auto" w:fill="E7E6E6" w:themeFill="background2"/>
            <w:vAlign w:val="center"/>
            <w:hideMark/>
          </w:tcPr>
          <w:p w14:paraId="3E3FF991"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33.254,3</w:t>
            </w:r>
          </w:p>
        </w:tc>
        <w:tc>
          <w:tcPr>
            <w:tcW w:w="709" w:type="pct"/>
            <w:tcBorders>
              <w:top w:val="nil"/>
              <w:bottom w:val="single" w:sz="4" w:space="0" w:color="002060"/>
            </w:tcBorders>
            <w:shd w:val="clear" w:color="auto" w:fill="E7E6E6" w:themeFill="background2"/>
            <w:noWrap/>
            <w:vAlign w:val="center"/>
            <w:hideMark/>
          </w:tcPr>
          <w:p w14:paraId="37560206"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34.464,5</w:t>
            </w:r>
          </w:p>
        </w:tc>
        <w:tc>
          <w:tcPr>
            <w:tcW w:w="710" w:type="pct"/>
            <w:tcBorders>
              <w:top w:val="nil"/>
              <w:bottom w:val="single" w:sz="4" w:space="0" w:color="002060"/>
            </w:tcBorders>
            <w:shd w:val="clear" w:color="auto" w:fill="E7E6E6" w:themeFill="background2"/>
            <w:noWrap/>
            <w:vAlign w:val="center"/>
            <w:hideMark/>
          </w:tcPr>
          <w:p w14:paraId="79986B8E"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32.118,1</w:t>
            </w:r>
          </w:p>
        </w:tc>
      </w:tr>
      <w:bookmarkEnd w:id="42"/>
    </w:tbl>
    <w:p w14:paraId="604736FA" w14:textId="77777777" w:rsidR="00F24B7F" w:rsidRPr="00F27A03" w:rsidRDefault="00F24B7F" w:rsidP="00C91F83">
      <w:pPr>
        <w:spacing w:after="100" w:line="256" w:lineRule="auto"/>
        <w:rPr>
          <w:rFonts w:ascii="Calibri" w:eastAsia="Calibri" w:hAnsi="Calibri" w:cs="Times New Roman"/>
          <w:b/>
          <w:lang w:val="sr-Cyrl-CS"/>
        </w:rPr>
      </w:pPr>
    </w:p>
    <w:p w14:paraId="2714EE70" w14:textId="77777777" w:rsidR="00F24B7F" w:rsidRPr="00F27A03" w:rsidRDefault="00F24B7F" w:rsidP="00C91F83">
      <w:pPr>
        <w:spacing w:after="0" w:line="256" w:lineRule="auto"/>
        <w:jc w:val="left"/>
        <w:rPr>
          <w:rFonts w:ascii="Calibri" w:eastAsia="Calibri" w:hAnsi="Calibri" w:cs="Calibri"/>
          <w:bCs/>
          <w:sz w:val="10"/>
          <w:szCs w:val="10"/>
          <w:lang w:val="sr-Cyrl-CS"/>
        </w:rPr>
        <w:sectPr w:rsidR="00F24B7F" w:rsidRPr="00F27A03">
          <w:type w:val="continuous"/>
          <w:pgSz w:w="12240" w:h="15840"/>
          <w:pgMar w:top="1440" w:right="1440" w:bottom="1440" w:left="1440" w:header="720" w:footer="720" w:gutter="0"/>
          <w:cols w:space="720"/>
        </w:sectPr>
      </w:pPr>
    </w:p>
    <w:p w14:paraId="690BFB74" w14:textId="77777777" w:rsidR="00F24B7F" w:rsidRPr="00F27A03" w:rsidRDefault="00F24B7F" w:rsidP="00C91F83">
      <w:pPr>
        <w:spacing w:after="400"/>
        <w:rPr>
          <w:rFonts w:ascii="Calibri" w:eastAsia="Calibri" w:hAnsi="Calibri" w:cs="Calibri"/>
          <w:bCs/>
          <w:szCs w:val="72"/>
          <w:lang w:val="sr-Cyrl-CS"/>
        </w:rPr>
      </w:pPr>
      <w:r w:rsidRPr="00F27A03">
        <w:rPr>
          <w:rFonts w:ascii="Calibri" w:eastAsia="Calibri" w:hAnsi="Calibri" w:cs="Calibri"/>
          <w:bCs/>
          <w:szCs w:val="72"/>
          <w:lang w:val="sr-Cyrl-CS"/>
        </w:rPr>
        <w:t xml:space="preserve">Током 2021. године и првих девет месеци 2022. године, услед потребе да се финансирају мере подршке </w:t>
      </w:r>
      <w:r w:rsidRPr="00F27A03">
        <w:rPr>
          <w:rFonts w:ascii="Calibri" w:eastAsia="Calibri" w:hAnsi="Calibri" w:cs="Calibri"/>
          <w:bCs/>
          <w:spacing w:val="-2"/>
          <w:szCs w:val="72"/>
          <w:lang w:val="sr-Cyrl-CS"/>
        </w:rPr>
        <w:t>привреди и грађанима за борбу против пандемије изазване коронавирусом COVID-19,</w:t>
      </w:r>
      <w:r w:rsidRPr="00F27A03">
        <w:rPr>
          <w:rFonts w:ascii="Calibri" w:eastAsia="Calibri" w:hAnsi="Calibri" w:cs="Calibri"/>
          <w:bCs/>
          <w:szCs w:val="72"/>
          <w:lang w:val="sr-Cyrl-CS"/>
        </w:rPr>
        <w:t xml:space="preserve"> приметан је раст јавног дуга централног нивоа власти у еврима. Услед повољнијих услова за задуживање на иностраном тржишту, емитоване су у два наврата еврообвезнице у еврима. Поред тога део дуга у америчким доларима, кинеским јуанима и УАЕ дирхамима је конвертован у евре, услед далеко мање осцилације курса евра према динару, у односу на наведене валуте, како би се смањио валутни ризик. Почетком 2022. године дошло је до раста дуга у специјалним правима вучења, услед задуживања код ММФ по изузетно </w:t>
      </w:r>
      <w:r w:rsidRPr="00F27A03">
        <w:rPr>
          <w:rFonts w:ascii="Calibri" w:eastAsia="Calibri" w:hAnsi="Calibri" w:cs="Calibri"/>
          <w:bCs/>
          <w:szCs w:val="72"/>
          <w:lang w:val="sr-Cyrl-CS"/>
        </w:rPr>
        <w:t>повољним условима. Током 2020. и 2021. године је растао дуг у динарима услед интензивног задуживања у домаћој валути, како би се додатно подстакао развој домаћег тржишта, док је у 2022. години приметан пад, због редовне отплате доспелих државних обвезница. Кретање курса америчког долара према динару током 2022. године показује пуну оправданост одлуке да се максимално смањи доларски дуг и на тај начин минимизира валутни ризик, као и да је за закључивање своп трансакција изабран прави моменат. Услед закључених своп трансакција, а такође са циљем да се минимизира валутни ризик, значајно је смањен дуг у осталим валутама.</w:t>
      </w:r>
    </w:p>
    <w:p w14:paraId="0BBA76E6" w14:textId="77777777" w:rsidR="00F24B7F" w:rsidRPr="00F27A03" w:rsidRDefault="00F24B7F" w:rsidP="00C91F83">
      <w:pPr>
        <w:spacing w:after="400"/>
        <w:rPr>
          <w:rFonts w:ascii="Calibri" w:eastAsia="Calibri" w:hAnsi="Calibri" w:cs="Calibri"/>
          <w:bCs/>
          <w:szCs w:val="72"/>
          <w:lang w:val="sr-Cyrl-CS"/>
        </w:rPr>
        <w:sectPr w:rsidR="00F24B7F" w:rsidRPr="00F27A03">
          <w:type w:val="continuous"/>
          <w:pgSz w:w="12240" w:h="15840"/>
          <w:pgMar w:top="1440" w:right="1440" w:bottom="1440" w:left="1440" w:header="720" w:footer="720" w:gutter="0"/>
          <w:cols w:num="2" w:space="720"/>
        </w:sectPr>
      </w:pPr>
    </w:p>
    <w:p w14:paraId="0B6FFC4C" w14:textId="488DB858"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t>Табела 2</w:t>
      </w:r>
      <w:r w:rsidR="00EB3946" w:rsidRPr="00F27A03">
        <w:rPr>
          <w:rFonts w:ascii="Calibri" w:eastAsia="Calibri" w:hAnsi="Calibri" w:cs="Times New Roman"/>
          <w:b/>
          <w:color w:val="002060"/>
          <w:lang w:val="sr-Cyrl-CS"/>
        </w:rPr>
        <w:t>2</w:t>
      </w:r>
      <w:r w:rsidRPr="00F27A03">
        <w:rPr>
          <w:rFonts w:ascii="Calibri" w:eastAsia="Calibri" w:hAnsi="Calibri" w:cs="Times New Roman"/>
          <w:b/>
          <w:color w:val="002060"/>
          <w:lang w:val="sr-Cyrl-CS"/>
        </w:rPr>
        <w:t xml:space="preserve">. Стање јавног дуга централног нивоа државе по оригиналним валутама у периоду </w:t>
      </w:r>
      <w:r w:rsidRPr="00F27A03">
        <w:rPr>
          <w:rFonts w:ascii="Calibri" w:eastAsia="Calibri" w:hAnsi="Calibri" w:cs="Times New Roman"/>
          <w:b/>
          <w:color w:val="002060"/>
          <w:lang w:val="sr-Cyrl-CS"/>
        </w:rPr>
        <w:br/>
        <w:t>крај 2019–30. септембар 2022. године, у милионима</w:t>
      </w:r>
    </w:p>
    <w:tbl>
      <w:tblPr>
        <w:tblStyle w:val="LightShading-Accent12121"/>
        <w:tblW w:w="5000" w:type="pct"/>
        <w:tblInd w:w="-48" w:type="dxa"/>
        <w:tblLook w:val="04A0" w:firstRow="1" w:lastRow="0" w:firstColumn="1" w:lastColumn="0" w:noHBand="0" w:noVBand="1"/>
      </w:tblPr>
      <w:tblGrid>
        <w:gridCol w:w="3230"/>
        <w:gridCol w:w="1532"/>
        <w:gridCol w:w="1534"/>
        <w:gridCol w:w="1531"/>
        <w:gridCol w:w="1533"/>
      </w:tblGrid>
      <w:tr w:rsidR="00F24B7F" w:rsidRPr="00F27A03" w14:paraId="267ACFC5" w14:textId="77777777" w:rsidTr="00482D55">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002060"/>
              <w:bottom w:val="single" w:sz="4" w:space="0" w:color="FFFFFF" w:themeColor="background1"/>
            </w:tcBorders>
            <w:noWrap/>
            <w:hideMark/>
          </w:tcPr>
          <w:p w14:paraId="622E9F90"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 </w:t>
            </w:r>
          </w:p>
        </w:tc>
        <w:tc>
          <w:tcPr>
            <w:tcW w:w="818" w:type="pct"/>
            <w:tcBorders>
              <w:top w:val="single" w:sz="4" w:space="0" w:color="002060"/>
              <w:bottom w:val="single" w:sz="4" w:space="0" w:color="002060"/>
            </w:tcBorders>
            <w:noWrap/>
            <w:hideMark/>
          </w:tcPr>
          <w:p w14:paraId="31AC3ABE" w14:textId="77777777" w:rsidR="00F24B7F" w:rsidRPr="00F27A03" w:rsidRDefault="00F24B7F"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2019</w:t>
            </w:r>
          </w:p>
        </w:tc>
        <w:tc>
          <w:tcPr>
            <w:tcW w:w="819" w:type="pct"/>
            <w:tcBorders>
              <w:top w:val="single" w:sz="4" w:space="0" w:color="002060"/>
              <w:bottom w:val="single" w:sz="4" w:space="0" w:color="002060"/>
            </w:tcBorders>
            <w:noWrap/>
            <w:hideMark/>
          </w:tcPr>
          <w:p w14:paraId="37566649" w14:textId="77777777" w:rsidR="00F24B7F" w:rsidRPr="00F27A03" w:rsidRDefault="00F24B7F"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2020</w:t>
            </w:r>
          </w:p>
        </w:tc>
        <w:tc>
          <w:tcPr>
            <w:tcW w:w="818" w:type="pct"/>
            <w:tcBorders>
              <w:top w:val="single" w:sz="4" w:space="0" w:color="002060"/>
              <w:bottom w:val="single" w:sz="4" w:space="0" w:color="002060"/>
            </w:tcBorders>
            <w:noWrap/>
            <w:hideMark/>
          </w:tcPr>
          <w:p w14:paraId="089EE181" w14:textId="77777777" w:rsidR="00F24B7F" w:rsidRPr="00F27A03" w:rsidRDefault="00F24B7F"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2021</w:t>
            </w:r>
          </w:p>
        </w:tc>
        <w:tc>
          <w:tcPr>
            <w:tcW w:w="819" w:type="pct"/>
            <w:tcBorders>
              <w:top w:val="single" w:sz="4" w:space="0" w:color="002060"/>
              <w:bottom w:val="single" w:sz="4" w:space="0" w:color="002060"/>
            </w:tcBorders>
            <w:noWrap/>
            <w:hideMark/>
          </w:tcPr>
          <w:p w14:paraId="523DC351" w14:textId="77777777" w:rsidR="00F24B7F" w:rsidRPr="00F27A03" w:rsidRDefault="00F24B7F"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2022/IX</w:t>
            </w:r>
          </w:p>
        </w:tc>
      </w:tr>
      <w:tr w:rsidR="00F24B7F" w:rsidRPr="00F27A03" w14:paraId="58BFF9C4" w14:textId="77777777" w:rsidTr="00482D55">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FFFFFF" w:themeColor="background1"/>
              <w:bottom w:val="nil"/>
            </w:tcBorders>
            <w:shd w:val="clear" w:color="auto" w:fill="E7E6E6" w:themeFill="background2"/>
            <w:noWrap/>
            <w:hideMark/>
          </w:tcPr>
          <w:p w14:paraId="50818E22"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EUR</w:t>
            </w:r>
          </w:p>
        </w:tc>
        <w:tc>
          <w:tcPr>
            <w:tcW w:w="818" w:type="pct"/>
            <w:tcBorders>
              <w:top w:val="single" w:sz="4" w:space="0" w:color="002060"/>
              <w:bottom w:val="nil"/>
            </w:tcBorders>
            <w:shd w:val="clear" w:color="auto" w:fill="E7E6E6" w:themeFill="background2"/>
            <w:noWrap/>
            <w:hideMark/>
          </w:tcPr>
          <w:p w14:paraId="153698D4"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10.582,5</w:t>
            </w:r>
          </w:p>
        </w:tc>
        <w:tc>
          <w:tcPr>
            <w:tcW w:w="819" w:type="pct"/>
            <w:tcBorders>
              <w:top w:val="single" w:sz="4" w:space="0" w:color="002060"/>
              <w:bottom w:val="nil"/>
            </w:tcBorders>
            <w:shd w:val="clear" w:color="auto" w:fill="E7E6E6" w:themeFill="background2"/>
            <w:noWrap/>
            <w:hideMark/>
          </w:tcPr>
          <w:p w14:paraId="6A91B4C3"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13.222,5</w:t>
            </w:r>
          </w:p>
        </w:tc>
        <w:tc>
          <w:tcPr>
            <w:tcW w:w="818" w:type="pct"/>
            <w:tcBorders>
              <w:top w:val="single" w:sz="4" w:space="0" w:color="002060"/>
              <w:bottom w:val="nil"/>
            </w:tcBorders>
            <w:shd w:val="clear" w:color="auto" w:fill="E7E6E6" w:themeFill="background2"/>
            <w:noWrap/>
            <w:hideMark/>
          </w:tcPr>
          <w:p w14:paraId="72D07C12"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17.386,4</w:t>
            </w:r>
          </w:p>
        </w:tc>
        <w:tc>
          <w:tcPr>
            <w:tcW w:w="819" w:type="pct"/>
            <w:tcBorders>
              <w:top w:val="single" w:sz="4" w:space="0" w:color="002060"/>
              <w:bottom w:val="nil"/>
            </w:tcBorders>
            <w:shd w:val="clear" w:color="auto" w:fill="E7E6E6" w:themeFill="background2"/>
            <w:noWrap/>
            <w:hideMark/>
          </w:tcPr>
          <w:p w14:paraId="4334B992"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18.552,5</w:t>
            </w:r>
          </w:p>
        </w:tc>
      </w:tr>
      <w:tr w:rsidR="00F24B7F" w:rsidRPr="00F27A03" w14:paraId="2C13397B" w14:textId="77777777" w:rsidTr="00482D55">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57DDCB57"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USD</w:t>
            </w:r>
          </w:p>
        </w:tc>
        <w:tc>
          <w:tcPr>
            <w:tcW w:w="818" w:type="pct"/>
            <w:tcBorders>
              <w:top w:val="nil"/>
              <w:left w:val="nil"/>
              <w:bottom w:val="nil"/>
              <w:right w:val="nil"/>
            </w:tcBorders>
            <w:noWrap/>
            <w:hideMark/>
          </w:tcPr>
          <w:p w14:paraId="72CE9B19"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5.397,3</w:t>
            </w:r>
          </w:p>
        </w:tc>
        <w:tc>
          <w:tcPr>
            <w:tcW w:w="819" w:type="pct"/>
            <w:tcBorders>
              <w:top w:val="nil"/>
              <w:left w:val="nil"/>
              <w:bottom w:val="nil"/>
              <w:right w:val="nil"/>
            </w:tcBorders>
            <w:noWrap/>
            <w:hideMark/>
          </w:tcPr>
          <w:p w14:paraId="7B210DC2"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4.323,9</w:t>
            </w:r>
          </w:p>
        </w:tc>
        <w:tc>
          <w:tcPr>
            <w:tcW w:w="818" w:type="pct"/>
            <w:tcBorders>
              <w:top w:val="nil"/>
              <w:left w:val="nil"/>
              <w:bottom w:val="nil"/>
              <w:right w:val="nil"/>
            </w:tcBorders>
            <w:noWrap/>
            <w:hideMark/>
          </w:tcPr>
          <w:p w14:paraId="3E19B919"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3.694,6</w:t>
            </w:r>
          </w:p>
        </w:tc>
        <w:tc>
          <w:tcPr>
            <w:tcW w:w="819" w:type="pct"/>
            <w:tcBorders>
              <w:top w:val="nil"/>
              <w:left w:val="nil"/>
              <w:bottom w:val="nil"/>
              <w:right w:val="nil"/>
            </w:tcBorders>
            <w:noWrap/>
            <w:hideMark/>
          </w:tcPr>
          <w:p w14:paraId="7BDEC407"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3.980,7</w:t>
            </w:r>
          </w:p>
        </w:tc>
      </w:tr>
      <w:tr w:rsidR="00F24B7F" w:rsidRPr="00F27A03" w14:paraId="6A12E222" w14:textId="77777777" w:rsidTr="00482D55">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7890DDC0" w14:textId="77777777" w:rsidR="00F24B7F" w:rsidRPr="00F27A03" w:rsidRDefault="00F24B7F" w:rsidP="00C91F83">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RSD</w:t>
            </w:r>
          </w:p>
        </w:tc>
        <w:tc>
          <w:tcPr>
            <w:tcW w:w="818" w:type="pct"/>
            <w:tcBorders>
              <w:top w:val="nil"/>
              <w:bottom w:val="nil"/>
            </w:tcBorders>
            <w:shd w:val="clear" w:color="auto" w:fill="E7E6E6" w:themeFill="background2"/>
            <w:noWrap/>
            <w:hideMark/>
          </w:tcPr>
          <w:p w14:paraId="6898062F"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781.250,4</w:t>
            </w:r>
          </w:p>
        </w:tc>
        <w:tc>
          <w:tcPr>
            <w:tcW w:w="819" w:type="pct"/>
            <w:tcBorders>
              <w:top w:val="nil"/>
              <w:bottom w:val="nil"/>
            </w:tcBorders>
            <w:shd w:val="clear" w:color="auto" w:fill="E7E6E6" w:themeFill="background2"/>
            <w:noWrap/>
            <w:hideMark/>
          </w:tcPr>
          <w:p w14:paraId="2B322798"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957.952,2</w:t>
            </w:r>
          </w:p>
        </w:tc>
        <w:tc>
          <w:tcPr>
            <w:tcW w:w="818" w:type="pct"/>
            <w:tcBorders>
              <w:top w:val="nil"/>
              <w:bottom w:val="nil"/>
            </w:tcBorders>
            <w:shd w:val="clear" w:color="auto" w:fill="E7E6E6" w:themeFill="background2"/>
            <w:noWrap/>
            <w:hideMark/>
          </w:tcPr>
          <w:p w14:paraId="3E25C8FC"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1.010.176,5</w:t>
            </w:r>
          </w:p>
        </w:tc>
        <w:tc>
          <w:tcPr>
            <w:tcW w:w="819" w:type="pct"/>
            <w:tcBorders>
              <w:top w:val="nil"/>
              <w:bottom w:val="nil"/>
            </w:tcBorders>
            <w:shd w:val="clear" w:color="auto" w:fill="E7E6E6" w:themeFill="background2"/>
            <w:noWrap/>
            <w:hideMark/>
          </w:tcPr>
          <w:p w14:paraId="4A9C526C" w14:textId="77777777" w:rsidR="00F24B7F" w:rsidRPr="00F27A03" w:rsidRDefault="00F24B7F"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965.483,3</w:t>
            </w:r>
          </w:p>
        </w:tc>
      </w:tr>
      <w:tr w:rsidR="00F24B7F" w:rsidRPr="00F27A03" w14:paraId="3831FE72" w14:textId="77777777" w:rsidTr="00482D55">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717A1794"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CHF</w:t>
            </w:r>
          </w:p>
        </w:tc>
        <w:tc>
          <w:tcPr>
            <w:tcW w:w="818" w:type="pct"/>
            <w:tcBorders>
              <w:top w:val="nil"/>
              <w:left w:val="nil"/>
              <w:bottom w:val="nil"/>
              <w:right w:val="nil"/>
            </w:tcBorders>
            <w:noWrap/>
            <w:hideMark/>
          </w:tcPr>
          <w:p w14:paraId="73E771D0"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110,5</w:t>
            </w:r>
          </w:p>
        </w:tc>
        <w:tc>
          <w:tcPr>
            <w:tcW w:w="819" w:type="pct"/>
            <w:tcBorders>
              <w:top w:val="nil"/>
              <w:left w:val="nil"/>
              <w:bottom w:val="nil"/>
              <w:right w:val="nil"/>
            </w:tcBorders>
            <w:noWrap/>
            <w:hideMark/>
          </w:tcPr>
          <w:p w14:paraId="11062BE1"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90,3</w:t>
            </w:r>
          </w:p>
        </w:tc>
        <w:tc>
          <w:tcPr>
            <w:tcW w:w="818" w:type="pct"/>
            <w:tcBorders>
              <w:top w:val="nil"/>
              <w:left w:val="nil"/>
              <w:bottom w:val="nil"/>
              <w:right w:val="nil"/>
            </w:tcBorders>
            <w:noWrap/>
            <w:hideMark/>
          </w:tcPr>
          <w:p w14:paraId="34CE1F32"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73,7</w:t>
            </w:r>
          </w:p>
        </w:tc>
        <w:tc>
          <w:tcPr>
            <w:tcW w:w="819" w:type="pct"/>
            <w:tcBorders>
              <w:top w:val="nil"/>
              <w:left w:val="nil"/>
              <w:bottom w:val="nil"/>
              <w:right w:val="nil"/>
            </w:tcBorders>
            <w:noWrap/>
            <w:hideMark/>
          </w:tcPr>
          <w:p w14:paraId="628F8D70"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34,2</w:t>
            </w:r>
          </w:p>
        </w:tc>
      </w:tr>
      <w:tr w:rsidR="00F24B7F" w:rsidRPr="00F27A03" w14:paraId="498AAAA6" w14:textId="77777777" w:rsidTr="00482D55">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70FB1F72"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Специјална права вучења</w:t>
            </w:r>
          </w:p>
        </w:tc>
        <w:tc>
          <w:tcPr>
            <w:tcW w:w="818" w:type="pct"/>
            <w:tcBorders>
              <w:top w:val="nil"/>
              <w:bottom w:val="nil"/>
            </w:tcBorders>
            <w:shd w:val="clear" w:color="auto" w:fill="E7E6E6" w:themeFill="background2"/>
            <w:noWrap/>
            <w:hideMark/>
          </w:tcPr>
          <w:p w14:paraId="6CF255EB"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570,4</w:t>
            </w:r>
          </w:p>
        </w:tc>
        <w:tc>
          <w:tcPr>
            <w:tcW w:w="819" w:type="pct"/>
            <w:tcBorders>
              <w:top w:val="nil"/>
              <w:bottom w:val="nil"/>
            </w:tcBorders>
            <w:shd w:val="clear" w:color="auto" w:fill="E7E6E6" w:themeFill="background2"/>
            <w:noWrap/>
            <w:hideMark/>
          </w:tcPr>
          <w:p w14:paraId="27D6FBCE"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522,7</w:t>
            </w:r>
          </w:p>
        </w:tc>
        <w:tc>
          <w:tcPr>
            <w:tcW w:w="818" w:type="pct"/>
            <w:tcBorders>
              <w:top w:val="nil"/>
              <w:bottom w:val="nil"/>
            </w:tcBorders>
            <w:shd w:val="clear" w:color="auto" w:fill="E7E6E6" w:themeFill="background2"/>
            <w:noWrap/>
            <w:hideMark/>
          </w:tcPr>
          <w:p w14:paraId="7D86C2CF"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475,0</w:t>
            </w:r>
          </w:p>
        </w:tc>
        <w:tc>
          <w:tcPr>
            <w:tcW w:w="819" w:type="pct"/>
            <w:tcBorders>
              <w:top w:val="nil"/>
              <w:bottom w:val="nil"/>
            </w:tcBorders>
            <w:shd w:val="clear" w:color="auto" w:fill="E7E6E6" w:themeFill="background2"/>
            <w:noWrap/>
            <w:hideMark/>
          </w:tcPr>
          <w:p w14:paraId="35EC6926"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1.003,4</w:t>
            </w:r>
          </w:p>
        </w:tc>
      </w:tr>
      <w:tr w:rsidR="00F24B7F" w:rsidRPr="00F27A03" w14:paraId="55242BDF" w14:textId="77777777" w:rsidTr="00482D55">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single" w:sz="4" w:space="0" w:color="002060"/>
              <w:right w:val="nil"/>
            </w:tcBorders>
            <w:noWrap/>
            <w:hideMark/>
          </w:tcPr>
          <w:p w14:paraId="67C185F5"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Друге валуте (у RSD)</w:t>
            </w:r>
          </w:p>
        </w:tc>
        <w:tc>
          <w:tcPr>
            <w:tcW w:w="818" w:type="pct"/>
            <w:tcBorders>
              <w:top w:val="nil"/>
              <w:left w:val="nil"/>
              <w:bottom w:val="single" w:sz="4" w:space="0" w:color="002060"/>
              <w:right w:val="nil"/>
            </w:tcBorders>
            <w:noWrap/>
            <w:hideMark/>
          </w:tcPr>
          <w:p w14:paraId="063CF82D"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128.958,8</w:t>
            </w:r>
          </w:p>
        </w:tc>
        <w:tc>
          <w:tcPr>
            <w:tcW w:w="819" w:type="pct"/>
            <w:tcBorders>
              <w:top w:val="nil"/>
              <w:left w:val="nil"/>
              <w:bottom w:val="single" w:sz="4" w:space="0" w:color="002060"/>
              <w:right w:val="nil"/>
            </w:tcBorders>
            <w:noWrap/>
            <w:hideMark/>
          </w:tcPr>
          <w:p w14:paraId="6C098699"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127.674,8</w:t>
            </w:r>
          </w:p>
        </w:tc>
        <w:tc>
          <w:tcPr>
            <w:tcW w:w="818" w:type="pct"/>
            <w:tcBorders>
              <w:top w:val="nil"/>
              <w:left w:val="nil"/>
              <w:bottom w:val="single" w:sz="4" w:space="0" w:color="002060"/>
              <w:right w:val="nil"/>
            </w:tcBorders>
            <w:noWrap/>
            <w:hideMark/>
          </w:tcPr>
          <w:p w14:paraId="447D9AE3"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27.304,8</w:t>
            </w:r>
          </w:p>
        </w:tc>
        <w:tc>
          <w:tcPr>
            <w:tcW w:w="819" w:type="pct"/>
            <w:tcBorders>
              <w:top w:val="nil"/>
              <w:left w:val="nil"/>
              <w:bottom w:val="single" w:sz="4" w:space="0" w:color="002060"/>
              <w:right w:val="nil"/>
            </w:tcBorders>
            <w:noWrap/>
            <w:hideMark/>
          </w:tcPr>
          <w:p w14:paraId="21ABC152"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28.225,8</w:t>
            </w:r>
          </w:p>
        </w:tc>
      </w:tr>
    </w:tbl>
    <w:p w14:paraId="67B3F5FB" w14:textId="77777777" w:rsidR="00F24B7F" w:rsidRPr="00F27A03" w:rsidRDefault="00F24B7F" w:rsidP="00C91F83">
      <w:pPr>
        <w:spacing w:after="0" w:line="256" w:lineRule="auto"/>
        <w:jc w:val="left"/>
        <w:rPr>
          <w:rFonts w:ascii="Calibri" w:eastAsia="Calibri" w:hAnsi="Calibri" w:cs="Calibri"/>
          <w:sz w:val="14"/>
          <w:lang w:val="sr-Cyrl-CS"/>
        </w:rPr>
        <w:sectPr w:rsidR="00F24B7F" w:rsidRPr="00F27A03">
          <w:type w:val="continuous"/>
          <w:pgSz w:w="12240" w:h="15840"/>
          <w:pgMar w:top="1440" w:right="1440" w:bottom="1440" w:left="1440" w:header="720" w:footer="720" w:gutter="0"/>
          <w:cols w:space="720"/>
        </w:sectPr>
      </w:pPr>
    </w:p>
    <w:p w14:paraId="7DF09491" w14:textId="1DE3E629"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Према подацима од 30. септембра 2022. године, највећи део јавног дуга општег нивоа државе Републике Србије је деноминован у еврима и износи 57,6%. Затим су највише заступљени динар са 25,2% и амерички долар са 12,4%. Остатак дуга је деноминован у специјалним правима вучења 4,1% и осталим валутама 0,7%. Захваљујући континуираном развоју домаћег тржишта хартија од вредности и постепеном повећању обима емисија у домаћој валути, дошло је до значајног раста учешћа дуга у домаћој валути у претходним годинама, са 16,4%, на крају 2011. године на 30,4% у 2020, док је током 2021. и у првих девет месец</w:t>
      </w:r>
      <w:r w:rsidR="00D4064B" w:rsidRPr="00F27A03">
        <w:rPr>
          <w:rFonts w:ascii="Calibri" w:eastAsia="Calibri" w:hAnsi="Calibri" w:cs="Calibri"/>
          <w:bCs/>
          <w:szCs w:val="72"/>
          <w:lang w:val="sr-Cyrl-CS"/>
        </w:rPr>
        <w:t>и</w:t>
      </w:r>
      <w:r w:rsidRPr="00F27A03">
        <w:rPr>
          <w:rFonts w:ascii="Calibri" w:eastAsia="Calibri" w:hAnsi="Calibri" w:cs="Calibri"/>
          <w:bCs/>
          <w:szCs w:val="72"/>
          <w:lang w:val="sr-Cyrl-CS"/>
        </w:rPr>
        <w:t xml:space="preserve"> 2022. године дошло до његовог пада.</w:t>
      </w:r>
    </w:p>
    <w:p w14:paraId="11807E95" w14:textId="77777777"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t>Валутна структура дуга општег нивоа државе у периоду од 2019. до 30. септембра 2022. године</w:t>
      </w:r>
    </w:p>
    <w:p w14:paraId="0984D002" w14:textId="77777777" w:rsidR="00F24B7F" w:rsidRPr="00F27A03" w:rsidRDefault="00F24B7F" w:rsidP="00C91F83">
      <w:pPr>
        <w:spacing w:line="256" w:lineRule="auto"/>
        <w:rPr>
          <w:rFonts w:ascii="Calibri" w:eastAsia="Calibri" w:hAnsi="Calibri" w:cs="Times New Roman"/>
          <w:b/>
          <w:lang w:val="sr-Cyrl-CS"/>
        </w:rPr>
      </w:pPr>
      <w:r w:rsidRPr="00F27A03">
        <w:rPr>
          <w:rFonts w:ascii="Calibri" w:eastAsia="Calibri" w:hAnsi="Calibri" w:cs="Times New Roman"/>
          <w:noProof/>
          <w:lang w:val="sr-Cyrl-RS" w:eastAsia="sr-Cyrl-RS"/>
        </w:rPr>
        <w:drawing>
          <wp:inline distT="0" distB="0" distL="0" distR="0" wp14:anchorId="03290BD3" wp14:editId="58B75373">
            <wp:extent cx="2797810" cy="1849943"/>
            <wp:effectExtent l="0" t="0" r="2540" b="0"/>
            <wp:docPr id="82"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472C80D8" w14:textId="7530791A"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br w:type="column"/>
      </w:r>
      <w:r w:rsidRPr="00F27A03">
        <w:rPr>
          <w:rFonts w:ascii="Calibri" w:eastAsia="Calibri" w:hAnsi="Calibri" w:cs="Calibri"/>
          <w:bCs/>
          <w:szCs w:val="72"/>
          <w:lang w:val="sr-Cyrl-CS"/>
        </w:rPr>
        <w:lastRenderedPageBreak/>
        <w:t>На дан 30. септембр</w:t>
      </w:r>
      <w:r w:rsidR="001E677A" w:rsidRPr="00F27A03">
        <w:rPr>
          <w:rFonts w:ascii="Calibri" w:eastAsia="Calibri" w:hAnsi="Calibri" w:cs="Calibri"/>
          <w:bCs/>
          <w:szCs w:val="72"/>
          <w:lang w:val="sr-Cyrl-CS"/>
        </w:rPr>
        <w:t>а</w:t>
      </w:r>
      <w:r w:rsidRPr="00F27A03">
        <w:rPr>
          <w:rFonts w:ascii="Calibri" w:eastAsia="Calibri" w:hAnsi="Calibri" w:cs="Calibri"/>
          <w:bCs/>
          <w:szCs w:val="72"/>
          <w:lang w:val="sr-Cyrl-CS"/>
        </w:rPr>
        <w:t xml:space="preserve"> 2022. године, највећи део јавног дуга општег нивоа државе Републике Србије је са фиксном каматном стопом – 81,8%, док се на јавни дуг са варијабилном каматном стопом односи 18,2% укупног јавног дуга. Међу варијабилним каматним стопама највише је заступљен EURIBOR са учешћем од 74,7%, затим варијабилна каматна стопа за специјална права вучења 20,9%, Belibor 2,6% и LIBOR на амерички долар 1,3%, док је учешће обавеза са осталим каматним стопама 0,5%.</w:t>
      </w:r>
    </w:p>
    <w:p w14:paraId="1157A714" w14:textId="77777777" w:rsidR="00F24B7F" w:rsidRPr="00F27A03" w:rsidRDefault="00F24B7F" w:rsidP="00C91F83">
      <w:pPr>
        <w:spacing w:line="256" w:lineRule="auto"/>
        <w:jc w:val="center"/>
        <w:rPr>
          <w:rFonts w:ascii="Calibri" w:eastAsia="Calibri" w:hAnsi="Calibri" w:cs="Calibri"/>
          <w:bCs/>
          <w:color w:val="002060"/>
          <w:szCs w:val="72"/>
          <w:lang w:val="sr-Cyrl-CS"/>
        </w:rPr>
      </w:pPr>
      <w:r w:rsidRPr="00F27A03">
        <w:rPr>
          <w:rFonts w:ascii="Calibri" w:eastAsia="Calibri" w:hAnsi="Calibri" w:cs="Times New Roman"/>
          <w:b/>
          <w:color w:val="002060"/>
          <w:lang w:val="sr-Cyrl-CS"/>
        </w:rPr>
        <w:t>Структура каматних стопа дуга општег нивоа државе у периоду од 2019. до 30. септембра 2022. године, %</w:t>
      </w:r>
    </w:p>
    <w:p w14:paraId="6AB15E1D" w14:textId="77777777" w:rsidR="00F24B7F" w:rsidRPr="00F27A03" w:rsidRDefault="00F24B7F" w:rsidP="00C91F83">
      <w:pPr>
        <w:spacing w:line="256" w:lineRule="auto"/>
        <w:rPr>
          <w:rFonts w:ascii="Calibri" w:eastAsia="Calibri" w:hAnsi="Calibri" w:cs="Calibri"/>
          <w:bCs/>
          <w:szCs w:val="72"/>
          <w:lang w:val="sr-Cyrl-CS"/>
        </w:rPr>
      </w:pPr>
      <w:r w:rsidRPr="00F27A03">
        <w:rPr>
          <w:rFonts w:ascii="Calibri" w:eastAsia="Calibri" w:hAnsi="Calibri" w:cs="Times New Roman"/>
          <w:noProof/>
          <w:lang w:val="sr-Cyrl-RS" w:eastAsia="sr-Cyrl-RS"/>
        </w:rPr>
        <w:drawing>
          <wp:inline distT="0" distB="0" distL="0" distR="0" wp14:anchorId="0C094CA8" wp14:editId="5BCE8665">
            <wp:extent cx="2743200" cy="2124000"/>
            <wp:effectExtent l="0" t="0" r="0" b="0"/>
            <wp:docPr id="8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3174730D" w14:textId="3777590F"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У последњих неколико година присутан је тренд пада трошкова задуживања, који је најизраженији код државних хартија од вредности емитованих на домаћем тржишту. До пада је дошло захваљујући развоју тржишта капитала државних обвезница, расту кредитног рејтинга земље, односно смањењу премије ризика, ниској стопи инфлације и смањењу референтне каматне стопе НБС. Просечно пондерисана каматна стопа на јавни дуг је пала са 5,7% колико је износила на крају 2014. године на 2,56% колико је износила на крају септембра 2022. године. У истом периоду приметан је још израженији пад код динарских државних хартиј</w:t>
      </w:r>
      <w:r w:rsidR="00DF701D" w:rsidRPr="00F27A03">
        <w:rPr>
          <w:rFonts w:ascii="Calibri" w:eastAsia="Calibri" w:hAnsi="Calibri" w:cs="Calibri"/>
          <w:bCs/>
          <w:szCs w:val="72"/>
          <w:lang w:val="sr-Cyrl-CS"/>
        </w:rPr>
        <w:t>а</w:t>
      </w:r>
      <w:r w:rsidRPr="00F27A03">
        <w:rPr>
          <w:rFonts w:ascii="Calibri" w:eastAsia="Calibri" w:hAnsi="Calibri" w:cs="Calibri"/>
          <w:bCs/>
          <w:szCs w:val="72"/>
          <w:lang w:val="sr-Cyrl-CS"/>
        </w:rPr>
        <w:t xml:space="preserve"> од вредности, код којих је просечна купонска стопа смањена са 10,68% на крају 2014. године на 4,34 % на крају септембра 2022. године.</w:t>
      </w:r>
    </w:p>
    <w:p w14:paraId="5B6E7E81" w14:textId="77777777" w:rsidR="00F24B7F" w:rsidRPr="00F27A03" w:rsidRDefault="00F24B7F" w:rsidP="00C91F83">
      <w:pPr>
        <w:spacing w:line="256" w:lineRule="auto"/>
        <w:jc w:val="center"/>
        <w:rPr>
          <w:rFonts w:ascii="Calibri" w:eastAsia="Calibri" w:hAnsi="Calibri" w:cs="Times New Roman"/>
          <w:b/>
          <w:color w:val="002060"/>
          <w:spacing w:val="-2"/>
          <w:lang w:val="sr-Cyrl-CS"/>
        </w:rPr>
      </w:pPr>
      <w:r w:rsidRPr="00F27A03">
        <w:rPr>
          <w:rFonts w:ascii="Calibri" w:eastAsia="Calibri" w:hAnsi="Calibri" w:cs="Times New Roman"/>
          <w:b/>
          <w:color w:val="002060"/>
          <w:spacing w:val="-2"/>
          <w:lang w:val="sr-Cyrl-CS"/>
        </w:rPr>
        <w:t>Преглед кретања просечних извршних каматних стопа на динарске државне хартије од вредности у периоду 2011–30. септембар 2022. године</w:t>
      </w:r>
    </w:p>
    <w:p w14:paraId="38F81153" w14:textId="77777777" w:rsidR="00F24B7F" w:rsidRPr="00F27A03" w:rsidRDefault="00F24B7F" w:rsidP="00C91F83">
      <w:pPr>
        <w:spacing w:line="256" w:lineRule="auto"/>
        <w:jc w:val="center"/>
        <w:rPr>
          <w:noProof/>
          <w:lang w:val="sr-Cyrl-CS"/>
        </w:rPr>
      </w:pPr>
      <w:r w:rsidRPr="00F27A03">
        <w:rPr>
          <w:rFonts w:ascii="Calibri" w:eastAsia="Calibri" w:hAnsi="Calibri" w:cs="Times New Roman"/>
          <w:b/>
          <w:noProof/>
          <w:color w:val="002060"/>
          <w:spacing w:val="-2"/>
          <w:lang w:val="sr-Cyrl-RS" w:eastAsia="sr-Cyrl-RS"/>
        </w:rPr>
        <w:drawing>
          <wp:inline distT="0" distB="0" distL="0" distR="0" wp14:anchorId="1D06C7D4" wp14:editId="282CE283">
            <wp:extent cx="2743200" cy="2552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tope rsd.png"/>
                    <pic:cNvPicPr/>
                  </pic:nvPicPr>
                  <pic:blipFill>
                    <a:blip r:embed="rId170">
                      <a:extLst>
                        <a:ext uri="{28A0092B-C50C-407E-A947-70E740481C1C}">
                          <a14:useLocalDpi xmlns:a14="http://schemas.microsoft.com/office/drawing/2010/main" val="0"/>
                        </a:ext>
                      </a:extLst>
                    </a:blip>
                    <a:stretch>
                      <a:fillRect/>
                    </a:stretch>
                  </pic:blipFill>
                  <pic:spPr>
                    <a:xfrm>
                      <a:off x="0" y="0"/>
                      <a:ext cx="2743200" cy="2552700"/>
                    </a:xfrm>
                    <a:prstGeom prst="rect">
                      <a:avLst/>
                    </a:prstGeom>
                  </pic:spPr>
                </pic:pic>
              </a:graphicData>
            </a:graphic>
          </wp:inline>
        </w:drawing>
      </w:r>
    </w:p>
    <w:p w14:paraId="1FBD7DAA" w14:textId="77777777" w:rsidR="00F24B7F" w:rsidRPr="00F27A03" w:rsidRDefault="00F24B7F" w:rsidP="00C91F83">
      <w:pPr>
        <w:spacing w:line="256" w:lineRule="auto"/>
        <w:jc w:val="center"/>
        <w:rPr>
          <w:rFonts w:ascii="Calibri" w:eastAsia="Calibri" w:hAnsi="Calibri" w:cs="Times New Roman"/>
          <w:b/>
          <w:color w:val="002060"/>
          <w:spacing w:val="-2"/>
          <w:lang w:val="sr-Cyrl-CS"/>
        </w:rPr>
      </w:pPr>
    </w:p>
    <w:p w14:paraId="438A946F" w14:textId="77777777" w:rsidR="00F24B7F" w:rsidRPr="00F27A03" w:rsidRDefault="00F24B7F" w:rsidP="00C91F83">
      <w:pPr>
        <w:spacing w:line="256" w:lineRule="auto"/>
        <w:ind w:hanging="142"/>
        <w:rPr>
          <w:rFonts w:ascii="Calibri" w:eastAsia="Calibri" w:hAnsi="Calibri" w:cs="Times New Roman"/>
          <w:b/>
          <w:lang w:val="sr-Cyrl-CS"/>
        </w:rPr>
      </w:pPr>
      <w:r w:rsidRPr="00F27A03">
        <w:rPr>
          <w:rFonts w:ascii="Calibri" w:eastAsia="Calibri" w:hAnsi="Calibri" w:cs="Times New Roman"/>
          <w:b/>
          <w:color w:val="002060"/>
          <w:lang w:val="sr-Cyrl-CS"/>
        </w:rPr>
        <w:t>Преглед кретања просечних извршних каматних стопа на евро деноминоване државне хартије од вредности у периоду 2011–30.септмбар 2022. године</w:t>
      </w:r>
    </w:p>
    <w:p w14:paraId="366D5093" w14:textId="77777777" w:rsidR="00F24B7F" w:rsidRPr="00F27A03" w:rsidRDefault="00F24B7F" w:rsidP="00C91F83">
      <w:pPr>
        <w:spacing w:line="256" w:lineRule="auto"/>
        <w:rPr>
          <w:lang w:val="sr-Cyrl-CS"/>
        </w:rPr>
      </w:pPr>
      <w:r w:rsidRPr="00F27A03">
        <w:rPr>
          <w:noProof/>
          <w:lang w:val="sr-Cyrl-RS" w:eastAsia="sr-Cyrl-RS"/>
        </w:rPr>
        <w:drawing>
          <wp:inline distT="0" distB="0" distL="0" distR="0" wp14:anchorId="5CFA94E7" wp14:editId="142F4F8B">
            <wp:extent cx="2743200" cy="29527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tope eur.png"/>
                    <pic:cNvPicPr/>
                  </pic:nvPicPr>
                  <pic:blipFill>
                    <a:blip r:embed="rId171">
                      <a:extLst>
                        <a:ext uri="{28A0092B-C50C-407E-A947-70E740481C1C}">
                          <a14:useLocalDpi xmlns:a14="http://schemas.microsoft.com/office/drawing/2010/main" val="0"/>
                        </a:ext>
                      </a:extLst>
                    </a:blip>
                    <a:stretch>
                      <a:fillRect/>
                    </a:stretch>
                  </pic:blipFill>
                  <pic:spPr>
                    <a:xfrm>
                      <a:off x="0" y="0"/>
                      <a:ext cx="2743200" cy="2952750"/>
                    </a:xfrm>
                    <a:prstGeom prst="rect">
                      <a:avLst/>
                    </a:prstGeom>
                  </pic:spPr>
                </pic:pic>
              </a:graphicData>
            </a:graphic>
          </wp:inline>
        </w:drawing>
      </w:r>
    </w:p>
    <w:p w14:paraId="1AB8E09C" w14:textId="77777777" w:rsidR="00F24B7F" w:rsidRPr="00F27A03" w:rsidRDefault="00F24B7F" w:rsidP="00C91F83">
      <w:pPr>
        <w:spacing w:line="256" w:lineRule="auto"/>
        <w:rPr>
          <w:lang w:val="sr-Cyrl-CS"/>
        </w:rPr>
      </w:pPr>
    </w:p>
    <w:p w14:paraId="418D85E8" w14:textId="77777777" w:rsidR="00F24B7F" w:rsidRPr="00F27A03" w:rsidRDefault="00F24B7F">
      <w:pPr>
        <w:jc w:val="left"/>
        <w:rPr>
          <w:lang w:val="sr-Cyrl-CS"/>
        </w:rPr>
      </w:pPr>
      <w:r w:rsidRPr="00F27A03">
        <w:rPr>
          <w:lang w:val="sr-Cyrl-CS"/>
        </w:rPr>
        <w:br w:type="page"/>
      </w:r>
    </w:p>
    <w:p w14:paraId="6D56E8D3" w14:textId="77777777" w:rsidR="00F24B7F" w:rsidRPr="00F27A03" w:rsidRDefault="00F24B7F" w:rsidP="00C91F83">
      <w:pPr>
        <w:spacing w:line="256" w:lineRule="auto"/>
        <w:jc w:val="center"/>
        <w:rPr>
          <w:rFonts w:ascii="Calibri" w:eastAsia="Calibri" w:hAnsi="Calibri" w:cs="Times New Roman"/>
          <w:b/>
          <w:bCs/>
          <w:color w:val="002060"/>
          <w:spacing w:val="-4"/>
          <w:lang w:val="sr-Cyrl-CS"/>
        </w:rPr>
        <w:sectPr w:rsidR="00F24B7F" w:rsidRPr="00F27A03">
          <w:type w:val="continuous"/>
          <w:pgSz w:w="12240" w:h="15840"/>
          <w:pgMar w:top="1440" w:right="1440" w:bottom="1440" w:left="1440" w:header="720" w:footer="720" w:gutter="0"/>
          <w:cols w:num="2" w:space="720"/>
        </w:sectPr>
      </w:pPr>
    </w:p>
    <w:tbl>
      <w:tblPr>
        <w:tblStyle w:val="TableGrid62"/>
        <w:tblW w:w="94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8"/>
        <w:gridCol w:w="4726"/>
      </w:tblGrid>
      <w:tr w:rsidR="00F24B7F" w:rsidRPr="00F27A03" w14:paraId="198EC4F9" w14:textId="77777777" w:rsidTr="00ED5386">
        <w:trPr>
          <w:trHeight w:val="3044"/>
        </w:trPr>
        <w:tc>
          <w:tcPr>
            <w:tcW w:w="4708" w:type="dxa"/>
            <w:tcMar>
              <w:left w:w="57" w:type="dxa"/>
              <w:right w:w="57" w:type="dxa"/>
            </w:tcMar>
          </w:tcPr>
          <w:p w14:paraId="3A2ED4CC" w14:textId="77777777" w:rsidR="00F24B7F" w:rsidRPr="00F27A03" w:rsidRDefault="00F24B7F" w:rsidP="00ED5386">
            <w:pPr>
              <w:spacing w:line="256" w:lineRule="auto"/>
              <w:jc w:val="center"/>
              <w:rPr>
                <w:rFonts w:ascii="Calibri" w:eastAsia="Calibri" w:hAnsi="Calibri" w:cs="Times New Roman"/>
                <w:b/>
                <w:bCs/>
                <w:color w:val="002060"/>
                <w:spacing w:val="-4"/>
                <w:lang w:val="sr-Cyrl-CS"/>
              </w:rPr>
            </w:pPr>
            <w:r w:rsidRPr="00F27A03">
              <w:rPr>
                <w:rFonts w:ascii="Calibri" w:eastAsia="Calibri" w:hAnsi="Calibri" w:cs="Times New Roman"/>
                <w:b/>
                <w:bCs/>
                <w:color w:val="002060"/>
                <w:spacing w:val="-4"/>
                <w:lang w:val="sr-Cyrl-CS"/>
              </w:rPr>
              <w:lastRenderedPageBreak/>
              <w:t xml:space="preserve">Преглед кретања цене и приноса на </w:t>
            </w:r>
            <w:r w:rsidRPr="00F27A03">
              <w:rPr>
                <w:rFonts w:ascii="Calibri" w:eastAsia="Calibri" w:hAnsi="Calibri" w:cs="Times New Roman"/>
                <w:b/>
                <w:bCs/>
                <w:color w:val="002060"/>
                <w:spacing w:val="-4"/>
                <w:lang w:val="sr-Cyrl-CS"/>
              </w:rPr>
              <w:br w:type="textWrapping" w:clear="all"/>
              <w:t>еврообвезницу Србија 2027</w:t>
            </w:r>
          </w:p>
          <w:p w14:paraId="31A6708D" w14:textId="77777777" w:rsidR="00F24B7F" w:rsidRPr="00F27A03" w:rsidRDefault="00F24B7F" w:rsidP="00ED5386">
            <w:pPr>
              <w:jc w:val="center"/>
              <w:rPr>
                <w:color w:val="002060"/>
                <w:lang w:val="sr-Cyrl-CS"/>
              </w:rPr>
            </w:pPr>
            <w:r w:rsidRPr="00F27A03">
              <w:rPr>
                <w:noProof/>
                <w:color w:val="002060"/>
                <w:lang w:val="sr-Cyrl-RS" w:eastAsia="sr-Cyrl-RS"/>
              </w:rPr>
              <w:drawing>
                <wp:inline distT="0" distB="0" distL="0" distR="0" wp14:anchorId="760B3101" wp14:editId="2663E555">
                  <wp:extent cx="2884714" cy="2394857"/>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7.png"/>
                          <pic:cNvPicPr/>
                        </pic:nvPicPr>
                        <pic:blipFill>
                          <a:blip r:embed="rId172">
                            <a:extLst>
                              <a:ext uri="{28A0092B-C50C-407E-A947-70E740481C1C}">
                                <a14:useLocalDpi xmlns:a14="http://schemas.microsoft.com/office/drawing/2010/main" val="0"/>
                              </a:ext>
                            </a:extLst>
                          </a:blip>
                          <a:stretch>
                            <a:fillRect/>
                          </a:stretch>
                        </pic:blipFill>
                        <pic:spPr>
                          <a:xfrm>
                            <a:off x="0" y="0"/>
                            <a:ext cx="2888326" cy="2397855"/>
                          </a:xfrm>
                          <a:prstGeom prst="rect">
                            <a:avLst/>
                          </a:prstGeom>
                        </pic:spPr>
                      </pic:pic>
                    </a:graphicData>
                  </a:graphic>
                </wp:inline>
              </w:drawing>
            </w:r>
          </w:p>
        </w:tc>
        <w:tc>
          <w:tcPr>
            <w:tcW w:w="4726" w:type="dxa"/>
            <w:tcMar>
              <w:left w:w="57" w:type="dxa"/>
              <w:right w:w="57" w:type="dxa"/>
            </w:tcMar>
          </w:tcPr>
          <w:p w14:paraId="59388DEA" w14:textId="77777777" w:rsidR="00F24B7F" w:rsidRPr="00F27A03" w:rsidRDefault="00F24B7F" w:rsidP="00ED5386">
            <w:pPr>
              <w:spacing w:line="256" w:lineRule="auto"/>
              <w:jc w:val="center"/>
              <w:rPr>
                <w:rFonts w:ascii="Calibri" w:eastAsia="Calibri" w:hAnsi="Calibri" w:cs="Times New Roman"/>
                <w:b/>
                <w:bCs/>
                <w:color w:val="002060"/>
                <w:spacing w:val="-4"/>
                <w:lang w:val="sr-Cyrl-CS"/>
              </w:rPr>
            </w:pPr>
            <w:r w:rsidRPr="00F27A03">
              <w:rPr>
                <w:rFonts w:ascii="Calibri" w:eastAsia="Calibri" w:hAnsi="Calibri" w:cs="Times New Roman"/>
                <w:b/>
                <w:bCs/>
                <w:color w:val="002060"/>
                <w:spacing w:val="-4"/>
                <w:lang w:val="sr-Cyrl-CS"/>
              </w:rPr>
              <w:t xml:space="preserve">Преглед кретања цене и приноса на </w:t>
            </w:r>
            <w:r w:rsidRPr="00F27A03">
              <w:rPr>
                <w:rFonts w:ascii="Calibri" w:eastAsia="Calibri" w:hAnsi="Calibri" w:cs="Times New Roman"/>
                <w:b/>
                <w:bCs/>
                <w:color w:val="002060"/>
                <w:spacing w:val="-4"/>
                <w:lang w:val="sr-Cyrl-CS"/>
              </w:rPr>
              <w:br w:type="textWrapping" w:clear="all"/>
              <w:t>еврообвезницу Србија 2028</w:t>
            </w:r>
          </w:p>
          <w:p w14:paraId="69A928CA" w14:textId="77777777" w:rsidR="00F24B7F" w:rsidRPr="00F27A03" w:rsidRDefault="00F24B7F" w:rsidP="00ED5386">
            <w:pPr>
              <w:jc w:val="center"/>
              <w:rPr>
                <w:color w:val="002060"/>
                <w:lang w:val="sr-Cyrl-CS"/>
              </w:rPr>
            </w:pPr>
            <w:r w:rsidRPr="00F27A03">
              <w:rPr>
                <w:noProof/>
                <w:color w:val="002060"/>
                <w:lang w:val="sr-Cyrl-RS" w:eastAsia="sr-Cyrl-RS"/>
              </w:rPr>
              <w:drawing>
                <wp:inline distT="0" distB="0" distL="0" distR="0" wp14:anchorId="6161ABFE" wp14:editId="7B101F5D">
                  <wp:extent cx="2883600" cy="239400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8.png"/>
                          <pic:cNvPicPr/>
                        </pic:nvPicPr>
                        <pic:blipFill>
                          <a:blip r:embed="rId173">
                            <a:extLst>
                              <a:ext uri="{28A0092B-C50C-407E-A947-70E740481C1C}">
                                <a14:useLocalDpi xmlns:a14="http://schemas.microsoft.com/office/drawing/2010/main" val="0"/>
                              </a:ext>
                            </a:extLst>
                          </a:blip>
                          <a:stretch>
                            <a:fillRect/>
                          </a:stretch>
                        </pic:blipFill>
                        <pic:spPr>
                          <a:xfrm>
                            <a:off x="0" y="0"/>
                            <a:ext cx="2883600" cy="2394000"/>
                          </a:xfrm>
                          <a:prstGeom prst="rect">
                            <a:avLst/>
                          </a:prstGeom>
                        </pic:spPr>
                      </pic:pic>
                    </a:graphicData>
                  </a:graphic>
                </wp:inline>
              </w:drawing>
            </w:r>
          </w:p>
        </w:tc>
      </w:tr>
      <w:tr w:rsidR="00F24B7F" w:rsidRPr="00F27A03" w14:paraId="318E62A2" w14:textId="77777777" w:rsidTr="00ED5386">
        <w:trPr>
          <w:trHeight w:val="4374"/>
        </w:trPr>
        <w:tc>
          <w:tcPr>
            <w:tcW w:w="4708" w:type="dxa"/>
            <w:tcMar>
              <w:left w:w="57" w:type="dxa"/>
              <w:right w:w="57" w:type="dxa"/>
            </w:tcMar>
          </w:tcPr>
          <w:p w14:paraId="1527340A" w14:textId="77777777" w:rsidR="00F24B7F" w:rsidRPr="00F27A03" w:rsidRDefault="00F24B7F" w:rsidP="00ED5386">
            <w:pPr>
              <w:spacing w:before="60" w:line="257" w:lineRule="auto"/>
              <w:jc w:val="center"/>
              <w:rPr>
                <w:rFonts w:ascii="Calibri" w:eastAsia="Calibri" w:hAnsi="Calibri" w:cs="Times New Roman"/>
                <w:b/>
                <w:bCs/>
                <w:color w:val="002060"/>
                <w:spacing w:val="-4"/>
                <w:lang w:val="sr-Cyrl-CS"/>
              </w:rPr>
            </w:pPr>
            <w:r w:rsidRPr="00F27A03">
              <w:rPr>
                <w:rFonts w:ascii="Calibri" w:eastAsia="Calibri" w:hAnsi="Calibri" w:cs="Times New Roman"/>
                <w:b/>
                <w:bCs/>
                <w:color w:val="002060"/>
                <w:spacing w:val="-4"/>
                <w:lang w:val="sr-Cyrl-CS"/>
              </w:rPr>
              <w:t xml:space="preserve">Преглед кретања цене и приноса на </w:t>
            </w:r>
            <w:r w:rsidRPr="00F27A03">
              <w:rPr>
                <w:rFonts w:ascii="Calibri" w:eastAsia="Calibri" w:hAnsi="Calibri" w:cs="Times New Roman"/>
                <w:b/>
                <w:bCs/>
                <w:color w:val="002060"/>
                <w:spacing w:val="-4"/>
                <w:lang w:val="sr-Cyrl-CS"/>
              </w:rPr>
              <w:br w:type="textWrapping" w:clear="all"/>
              <w:t>еврообвезницу Србија 2029</w:t>
            </w:r>
          </w:p>
          <w:p w14:paraId="1C042439" w14:textId="77777777" w:rsidR="00F24B7F" w:rsidRPr="00F27A03" w:rsidRDefault="00F24B7F" w:rsidP="00ED5386">
            <w:pPr>
              <w:spacing w:before="60"/>
              <w:jc w:val="center"/>
              <w:rPr>
                <w:color w:val="002060"/>
                <w:lang w:val="sr-Cyrl-CS"/>
              </w:rPr>
            </w:pPr>
            <w:r w:rsidRPr="00F27A03">
              <w:rPr>
                <w:noProof/>
                <w:color w:val="002060"/>
                <w:lang w:val="sr-Cyrl-RS" w:eastAsia="sr-Cyrl-RS"/>
              </w:rPr>
              <w:drawing>
                <wp:inline distT="0" distB="0" distL="0" distR="0" wp14:anchorId="349028CC" wp14:editId="1979F73F">
                  <wp:extent cx="2883600" cy="23940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9.png"/>
                          <pic:cNvPicPr/>
                        </pic:nvPicPr>
                        <pic:blipFill>
                          <a:blip r:embed="rId174">
                            <a:extLst>
                              <a:ext uri="{28A0092B-C50C-407E-A947-70E740481C1C}">
                                <a14:useLocalDpi xmlns:a14="http://schemas.microsoft.com/office/drawing/2010/main" val="0"/>
                              </a:ext>
                            </a:extLst>
                          </a:blip>
                          <a:stretch>
                            <a:fillRect/>
                          </a:stretch>
                        </pic:blipFill>
                        <pic:spPr>
                          <a:xfrm>
                            <a:off x="0" y="0"/>
                            <a:ext cx="2883600" cy="2394000"/>
                          </a:xfrm>
                          <a:prstGeom prst="rect">
                            <a:avLst/>
                          </a:prstGeom>
                        </pic:spPr>
                      </pic:pic>
                    </a:graphicData>
                  </a:graphic>
                </wp:inline>
              </w:drawing>
            </w:r>
          </w:p>
        </w:tc>
        <w:tc>
          <w:tcPr>
            <w:tcW w:w="4726" w:type="dxa"/>
            <w:tcMar>
              <w:left w:w="57" w:type="dxa"/>
              <w:right w:w="57" w:type="dxa"/>
            </w:tcMar>
          </w:tcPr>
          <w:p w14:paraId="65EE6836" w14:textId="77777777" w:rsidR="00F24B7F" w:rsidRPr="00F27A03" w:rsidRDefault="00F24B7F" w:rsidP="00ED5386">
            <w:pPr>
              <w:spacing w:before="60" w:line="257" w:lineRule="auto"/>
              <w:jc w:val="center"/>
              <w:rPr>
                <w:rFonts w:ascii="Calibri" w:eastAsia="Calibri" w:hAnsi="Calibri" w:cs="Times New Roman"/>
                <w:b/>
                <w:bCs/>
                <w:color w:val="002060"/>
                <w:spacing w:val="-4"/>
                <w:lang w:val="sr-Cyrl-CS"/>
              </w:rPr>
            </w:pPr>
            <w:r w:rsidRPr="00F27A03">
              <w:rPr>
                <w:rFonts w:ascii="Calibri" w:eastAsia="Calibri" w:hAnsi="Calibri" w:cs="Times New Roman"/>
                <w:b/>
                <w:bCs/>
                <w:color w:val="002060"/>
                <w:spacing w:val="-4"/>
                <w:lang w:val="sr-Cyrl-CS"/>
              </w:rPr>
              <w:t xml:space="preserve">Преглед кретања цене и приноса на </w:t>
            </w:r>
            <w:r w:rsidRPr="00F27A03">
              <w:rPr>
                <w:rFonts w:ascii="Calibri" w:eastAsia="Calibri" w:hAnsi="Calibri" w:cs="Times New Roman"/>
                <w:b/>
                <w:bCs/>
                <w:color w:val="002060"/>
                <w:spacing w:val="-4"/>
                <w:lang w:val="sr-Cyrl-CS"/>
              </w:rPr>
              <w:br w:type="textWrapping" w:clear="all"/>
              <w:t>еврообвезницу Србија 2030</w:t>
            </w:r>
          </w:p>
          <w:p w14:paraId="0620C0BA" w14:textId="77777777" w:rsidR="00F24B7F" w:rsidRPr="00F27A03" w:rsidRDefault="00F24B7F" w:rsidP="00ED5386">
            <w:pPr>
              <w:spacing w:before="60" w:after="60"/>
              <w:jc w:val="center"/>
              <w:rPr>
                <w:color w:val="002060"/>
                <w:lang w:val="sr-Cyrl-CS"/>
              </w:rPr>
            </w:pPr>
            <w:r w:rsidRPr="00F27A03">
              <w:rPr>
                <w:noProof/>
                <w:color w:val="002060"/>
                <w:lang w:val="sr-Cyrl-RS" w:eastAsia="sr-Cyrl-RS"/>
              </w:rPr>
              <w:drawing>
                <wp:inline distT="0" distB="0" distL="0" distR="0" wp14:anchorId="770EFD41" wp14:editId="1516B0DC">
                  <wp:extent cx="2883600" cy="2394000"/>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30.png"/>
                          <pic:cNvPicPr/>
                        </pic:nvPicPr>
                        <pic:blipFill>
                          <a:blip r:embed="rId175">
                            <a:extLst>
                              <a:ext uri="{28A0092B-C50C-407E-A947-70E740481C1C}">
                                <a14:useLocalDpi xmlns:a14="http://schemas.microsoft.com/office/drawing/2010/main" val="0"/>
                              </a:ext>
                            </a:extLst>
                          </a:blip>
                          <a:stretch>
                            <a:fillRect/>
                          </a:stretch>
                        </pic:blipFill>
                        <pic:spPr>
                          <a:xfrm>
                            <a:off x="0" y="0"/>
                            <a:ext cx="2883600" cy="2394000"/>
                          </a:xfrm>
                          <a:prstGeom prst="rect">
                            <a:avLst/>
                          </a:prstGeom>
                        </pic:spPr>
                      </pic:pic>
                    </a:graphicData>
                  </a:graphic>
                </wp:inline>
              </w:drawing>
            </w:r>
          </w:p>
        </w:tc>
      </w:tr>
      <w:tr w:rsidR="00F24B7F" w:rsidRPr="00F27A03" w14:paraId="145A03A8" w14:textId="77777777" w:rsidTr="00ED5386">
        <w:trPr>
          <w:trHeight w:val="3944"/>
        </w:trPr>
        <w:tc>
          <w:tcPr>
            <w:tcW w:w="4708" w:type="dxa"/>
            <w:tcMar>
              <w:left w:w="57" w:type="dxa"/>
              <w:right w:w="57" w:type="dxa"/>
            </w:tcMar>
          </w:tcPr>
          <w:p w14:paraId="3E6AAA22" w14:textId="77777777" w:rsidR="00F24B7F" w:rsidRPr="00F27A03" w:rsidRDefault="00F24B7F" w:rsidP="00ED5386">
            <w:pPr>
              <w:spacing w:before="60" w:line="257" w:lineRule="auto"/>
              <w:jc w:val="center"/>
              <w:rPr>
                <w:rFonts w:ascii="Calibri" w:eastAsia="Calibri" w:hAnsi="Calibri" w:cs="Times New Roman"/>
                <w:b/>
                <w:bCs/>
                <w:color w:val="002060"/>
                <w:spacing w:val="-4"/>
                <w:lang w:val="sr-Cyrl-CS"/>
              </w:rPr>
            </w:pPr>
            <w:r w:rsidRPr="00F27A03">
              <w:rPr>
                <w:rFonts w:ascii="Calibri" w:eastAsia="Calibri" w:hAnsi="Calibri" w:cs="Times New Roman"/>
                <w:b/>
                <w:bCs/>
                <w:color w:val="002060"/>
                <w:spacing w:val="-4"/>
                <w:lang w:val="sr-Cyrl-CS"/>
              </w:rPr>
              <w:t xml:space="preserve">Преглед кретања цене и приноса на </w:t>
            </w:r>
            <w:r w:rsidRPr="00F27A03">
              <w:rPr>
                <w:rFonts w:ascii="Calibri" w:eastAsia="Calibri" w:hAnsi="Calibri" w:cs="Times New Roman"/>
                <w:b/>
                <w:bCs/>
                <w:color w:val="002060"/>
                <w:spacing w:val="-4"/>
                <w:lang w:val="sr-Cyrl-CS"/>
              </w:rPr>
              <w:br w:type="textWrapping" w:clear="all"/>
              <w:t>еврообвезницу Србија 2033</w:t>
            </w:r>
          </w:p>
          <w:p w14:paraId="1D0DA68E" w14:textId="77777777" w:rsidR="00F24B7F" w:rsidRPr="00F27A03" w:rsidRDefault="00F24B7F" w:rsidP="00ED5386">
            <w:pPr>
              <w:jc w:val="center"/>
              <w:rPr>
                <w:color w:val="002060"/>
                <w:lang w:val="sr-Cyrl-CS"/>
              </w:rPr>
            </w:pPr>
            <w:r w:rsidRPr="00F27A03">
              <w:rPr>
                <w:noProof/>
                <w:color w:val="002060"/>
                <w:lang w:val="sr-Cyrl-RS" w:eastAsia="sr-Cyrl-RS"/>
              </w:rPr>
              <w:drawing>
                <wp:inline distT="0" distB="0" distL="0" distR="0" wp14:anchorId="228BA058" wp14:editId="61932130">
                  <wp:extent cx="2883535" cy="21812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33.png"/>
                          <pic:cNvPicPr/>
                        </pic:nvPicPr>
                        <pic:blipFill>
                          <a:blip r:embed="rId176">
                            <a:extLst>
                              <a:ext uri="{28A0092B-C50C-407E-A947-70E740481C1C}">
                                <a14:useLocalDpi xmlns:a14="http://schemas.microsoft.com/office/drawing/2010/main" val="0"/>
                              </a:ext>
                            </a:extLst>
                          </a:blip>
                          <a:stretch>
                            <a:fillRect/>
                          </a:stretch>
                        </pic:blipFill>
                        <pic:spPr>
                          <a:xfrm>
                            <a:off x="0" y="0"/>
                            <a:ext cx="2883602" cy="2181276"/>
                          </a:xfrm>
                          <a:prstGeom prst="rect">
                            <a:avLst/>
                          </a:prstGeom>
                        </pic:spPr>
                      </pic:pic>
                    </a:graphicData>
                  </a:graphic>
                </wp:inline>
              </w:drawing>
            </w:r>
          </w:p>
        </w:tc>
        <w:tc>
          <w:tcPr>
            <w:tcW w:w="4726" w:type="dxa"/>
            <w:tcMar>
              <w:left w:w="57" w:type="dxa"/>
              <w:right w:w="57" w:type="dxa"/>
            </w:tcMar>
          </w:tcPr>
          <w:p w14:paraId="2FBB6503" w14:textId="77777777" w:rsidR="00F24B7F" w:rsidRPr="00F27A03" w:rsidRDefault="00F24B7F" w:rsidP="00ED5386">
            <w:pPr>
              <w:spacing w:before="60" w:line="257" w:lineRule="auto"/>
              <w:jc w:val="center"/>
              <w:rPr>
                <w:rFonts w:ascii="Calibri" w:eastAsia="Calibri" w:hAnsi="Calibri" w:cs="Times New Roman"/>
                <w:b/>
                <w:bCs/>
                <w:color w:val="002060"/>
                <w:spacing w:val="-4"/>
                <w:lang w:val="sr-Cyrl-CS"/>
              </w:rPr>
            </w:pPr>
            <w:r w:rsidRPr="00F27A03">
              <w:rPr>
                <w:rFonts w:ascii="Calibri" w:eastAsia="Calibri" w:hAnsi="Calibri" w:cs="Times New Roman"/>
                <w:b/>
                <w:bCs/>
                <w:color w:val="002060"/>
                <w:spacing w:val="-4"/>
                <w:lang w:val="sr-Cyrl-CS"/>
              </w:rPr>
              <w:t xml:space="preserve">Преглед кретања цене и приноса на </w:t>
            </w:r>
            <w:r w:rsidRPr="00F27A03">
              <w:rPr>
                <w:rFonts w:ascii="Calibri" w:eastAsia="Calibri" w:hAnsi="Calibri" w:cs="Times New Roman"/>
                <w:b/>
                <w:bCs/>
                <w:color w:val="002060"/>
                <w:spacing w:val="-4"/>
                <w:lang w:val="sr-Cyrl-CS"/>
              </w:rPr>
              <w:br w:type="textWrapping" w:clear="all"/>
              <w:t>еврообвезницу Србија 2036</w:t>
            </w:r>
          </w:p>
          <w:p w14:paraId="431EEC3F" w14:textId="77777777" w:rsidR="00F24B7F" w:rsidRPr="00F27A03" w:rsidRDefault="00F24B7F" w:rsidP="00ED5386">
            <w:pPr>
              <w:spacing w:before="60"/>
              <w:jc w:val="center"/>
              <w:rPr>
                <w:color w:val="002060"/>
                <w:lang w:val="sr-Cyrl-CS" w:eastAsia="en-GB"/>
              </w:rPr>
            </w:pPr>
            <w:r w:rsidRPr="00F27A03">
              <w:rPr>
                <w:noProof/>
                <w:color w:val="002060"/>
                <w:lang w:val="sr-Cyrl-RS" w:eastAsia="sr-Cyrl-RS"/>
              </w:rPr>
              <w:drawing>
                <wp:inline distT="0" distB="0" distL="0" distR="0" wp14:anchorId="646D2ABE" wp14:editId="4B0DA1F9">
                  <wp:extent cx="2883535" cy="21431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36.png"/>
                          <pic:cNvPicPr/>
                        </pic:nvPicPr>
                        <pic:blipFill>
                          <a:blip r:embed="rId177">
                            <a:extLst>
                              <a:ext uri="{28A0092B-C50C-407E-A947-70E740481C1C}">
                                <a14:useLocalDpi xmlns:a14="http://schemas.microsoft.com/office/drawing/2010/main" val="0"/>
                              </a:ext>
                            </a:extLst>
                          </a:blip>
                          <a:stretch>
                            <a:fillRect/>
                          </a:stretch>
                        </pic:blipFill>
                        <pic:spPr>
                          <a:xfrm>
                            <a:off x="0" y="0"/>
                            <a:ext cx="2883606" cy="2143178"/>
                          </a:xfrm>
                          <a:prstGeom prst="rect">
                            <a:avLst/>
                          </a:prstGeom>
                        </pic:spPr>
                      </pic:pic>
                    </a:graphicData>
                  </a:graphic>
                </wp:inline>
              </w:drawing>
            </w:r>
          </w:p>
        </w:tc>
      </w:tr>
    </w:tbl>
    <w:p w14:paraId="5C4B048B" w14:textId="63686870"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lastRenderedPageBreak/>
        <w:t>Табела 2</w:t>
      </w:r>
      <w:r w:rsidR="00EB3946" w:rsidRPr="00F27A03">
        <w:rPr>
          <w:rFonts w:ascii="Calibri" w:eastAsia="Calibri" w:hAnsi="Calibri" w:cs="Times New Roman"/>
          <w:b/>
          <w:color w:val="002060"/>
          <w:lang w:val="sr-Cyrl-CS"/>
        </w:rPr>
        <w:t>3</w:t>
      </w:r>
      <w:r w:rsidRPr="00F27A03">
        <w:rPr>
          <w:rFonts w:ascii="Calibri" w:eastAsia="Calibri" w:hAnsi="Calibri" w:cs="Times New Roman"/>
          <w:b/>
          <w:color w:val="002060"/>
          <w:lang w:val="sr-Cyrl-CS"/>
        </w:rPr>
        <w:t>. Пројекције отплате камата и главница до 2025. године</w:t>
      </w:r>
      <w:r w:rsidRPr="00F27A03">
        <w:rPr>
          <w:rFonts w:ascii="Calibri" w:eastAsia="Calibri" w:hAnsi="Calibri" w:cs="Times New Roman"/>
          <w:color w:val="002060"/>
          <w:lang w:val="sr-Cyrl-CS"/>
        </w:rPr>
        <w:t xml:space="preserve"> </w:t>
      </w:r>
      <w:r w:rsidRPr="00F27A03">
        <w:rPr>
          <w:rFonts w:ascii="Calibri" w:eastAsia="Calibri" w:hAnsi="Calibri" w:cs="Times New Roman"/>
          <w:b/>
          <w:color w:val="002060"/>
          <w:lang w:val="sr-Cyrl-CS"/>
        </w:rPr>
        <w:t>(млрд динара)</w:t>
      </w:r>
    </w:p>
    <w:tbl>
      <w:tblPr>
        <w:tblStyle w:val="LightShading-Accent1222"/>
        <w:tblW w:w="5000" w:type="pct"/>
        <w:tblInd w:w="0" w:type="dxa"/>
        <w:tblLook w:val="0420" w:firstRow="1" w:lastRow="0" w:firstColumn="0" w:lastColumn="0" w:noHBand="0" w:noVBand="1"/>
      </w:tblPr>
      <w:tblGrid>
        <w:gridCol w:w="4937"/>
        <w:gridCol w:w="1105"/>
        <w:gridCol w:w="1106"/>
        <w:gridCol w:w="1106"/>
        <w:gridCol w:w="1106"/>
      </w:tblGrid>
      <w:tr w:rsidR="00F24B7F" w:rsidRPr="00F27A03" w14:paraId="6EE36ED0" w14:textId="77777777" w:rsidTr="00C91F83">
        <w:trPr>
          <w:cnfStyle w:val="100000000000" w:firstRow="1" w:lastRow="0" w:firstColumn="0" w:lastColumn="0" w:oddVBand="0" w:evenVBand="0" w:oddHBand="0" w:evenHBand="0" w:firstRowFirstColumn="0" w:firstRowLastColumn="0" w:lastRowFirstColumn="0" w:lastRowLastColumn="0"/>
          <w:trHeight w:val="226"/>
        </w:trPr>
        <w:tc>
          <w:tcPr>
            <w:tcW w:w="2637" w:type="pct"/>
            <w:tcBorders>
              <w:top w:val="single" w:sz="4" w:space="0" w:color="002060"/>
              <w:bottom w:val="single" w:sz="4" w:space="0" w:color="FFFFFF" w:themeColor="background1"/>
            </w:tcBorders>
            <w:noWrap/>
            <w:hideMark/>
          </w:tcPr>
          <w:p w14:paraId="44FA3165" w14:textId="77777777" w:rsidR="00F24B7F" w:rsidRPr="00F27A03" w:rsidRDefault="00F24B7F" w:rsidP="00C91F83">
            <w:pPr>
              <w:rPr>
                <w:rFonts w:ascii="Calibri" w:eastAsia="Times New Roman" w:hAnsi="Calibri" w:cs="Calibri"/>
                <w:color w:val="002060"/>
                <w:sz w:val="18"/>
                <w:szCs w:val="18"/>
                <w:lang w:val="sr-Cyrl-CS" w:eastAsia="ja-JP"/>
              </w:rPr>
            </w:pPr>
            <w:r w:rsidRPr="00F27A03">
              <w:rPr>
                <w:rFonts w:ascii="Calibri" w:eastAsia="Times New Roman" w:hAnsi="Calibri" w:cs="Calibri"/>
                <w:color w:val="002060"/>
                <w:sz w:val="18"/>
                <w:szCs w:val="18"/>
                <w:lang w:val="sr-Cyrl-CS" w:eastAsia="ja-JP"/>
              </w:rPr>
              <w:t> </w:t>
            </w:r>
          </w:p>
        </w:tc>
        <w:tc>
          <w:tcPr>
            <w:tcW w:w="590" w:type="pct"/>
            <w:tcBorders>
              <w:top w:val="single" w:sz="4" w:space="0" w:color="002060"/>
              <w:bottom w:val="single" w:sz="4" w:space="0" w:color="002060"/>
            </w:tcBorders>
            <w:noWrap/>
            <w:hideMark/>
          </w:tcPr>
          <w:p w14:paraId="4D45D4EB"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2022 п</w:t>
            </w:r>
          </w:p>
        </w:tc>
        <w:tc>
          <w:tcPr>
            <w:tcW w:w="591" w:type="pct"/>
            <w:tcBorders>
              <w:top w:val="single" w:sz="4" w:space="0" w:color="002060"/>
              <w:bottom w:val="single" w:sz="4" w:space="0" w:color="002060"/>
            </w:tcBorders>
            <w:noWrap/>
            <w:hideMark/>
          </w:tcPr>
          <w:p w14:paraId="0B06246D"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2023 п</w:t>
            </w:r>
          </w:p>
        </w:tc>
        <w:tc>
          <w:tcPr>
            <w:tcW w:w="591" w:type="pct"/>
            <w:tcBorders>
              <w:top w:val="single" w:sz="4" w:space="0" w:color="002060"/>
              <w:bottom w:val="single" w:sz="4" w:space="0" w:color="002060"/>
            </w:tcBorders>
            <w:noWrap/>
            <w:hideMark/>
          </w:tcPr>
          <w:p w14:paraId="05B0100A"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2024 п</w:t>
            </w:r>
          </w:p>
        </w:tc>
        <w:tc>
          <w:tcPr>
            <w:tcW w:w="591" w:type="pct"/>
            <w:tcBorders>
              <w:top w:val="single" w:sz="4" w:space="0" w:color="002060"/>
              <w:bottom w:val="single" w:sz="4" w:space="0" w:color="002060"/>
            </w:tcBorders>
            <w:noWrap/>
            <w:hideMark/>
          </w:tcPr>
          <w:p w14:paraId="4E640A14"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2025 п</w:t>
            </w:r>
          </w:p>
        </w:tc>
      </w:tr>
      <w:tr w:rsidR="00F24B7F" w:rsidRPr="00F27A03" w14:paraId="010D934B" w14:textId="77777777" w:rsidTr="00C91F83">
        <w:trPr>
          <w:cnfStyle w:val="000000100000" w:firstRow="0" w:lastRow="0" w:firstColumn="0" w:lastColumn="0" w:oddVBand="0" w:evenVBand="0" w:oddHBand="1" w:evenHBand="0" w:firstRowFirstColumn="0" w:firstRowLastColumn="0" w:lastRowFirstColumn="0" w:lastRowLastColumn="0"/>
          <w:trHeight w:val="226"/>
        </w:trPr>
        <w:tc>
          <w:tcPr>
            <w:tcW w:w="2637" w:type="pct"/>
            <w:tcBorders>
              <w:top w:val="single" w:sz="4" w:space="0" w:color="FFFFFF" w:themeColor="background1"/>
              <w:bottom w:val="nil"/>
            </w:tcBorders>
            <w:shd w:val="clear" w:color="auto" w:fill="E7E6E6" w:themeFill="background2"/>
            <w:noWrap/>
            <w:hideMark/>
          </w:tcPr>
          <w:p w14:paraId="261F21B1"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bCs/>
                <w:color w:val="002060"/>
                <w:sz w:val="18"/>
                <w:szCs w:val="18"/>
                <w:lang w:val="sr-Cyrl-CS"/>
              </w:rPr>
              <w:t>Главница*</w:t>
            </w:r>
          </w:p>
        </w:tc>
        <w:tc>
          <w:tcPr>
            <w:tcW w:w="590" w:type="pct"/>
            <w:tcBorders>
              <w:top w:val="single" w:sz="4" w:space="0" w:color="002060"/>
              <w:bottom w:val="nil"/>
            </w:tcBorders>
            <w:shd w:val="clear" w:color="auto" w:fill="E7E6E6" w:themeFill="background2"/>
            <w:noWrap/>
            <w:hideMark/>
          </w:tcPr>
          <w:p w14:paraId="135C4E28"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425,0</w:t>
            </w:r>
          </w:p>
        </w:tc>
        <w:tc>
          <w:tcPr>
            <w:tcW w:w="591" w:type="pct"/>
            <w:tcBorders>
              <w:top w:val="single" w:sz="4" w:space="0" w:color="002060"/>
              <w:bottom w:val="nil"/>
            </w:tcBorders>
            <w:shd w:val="clear" w:color="auto" w:fill="E7E6E6" w:themeFill="background2"/>
            <w:noWrap/>
            <w:hideMark/>
          </w:tcPr>
          <w:p w14:paraId="572F199D"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612,0</w:t>
            </w:r>
          </w:p>
        </w:tc>
        <w:tc>
          <w:tcPr>
            <w:tcW w:w="591" w:type="pct"/>
            <w:tcBorders>
              <w:top w:val="single" w:sz="4" w:space="0" w:color="002060"/>
              <w:bottom w:val="nil"/>
            </w:tcBorders>
            <w:shd w:val="clear" w:color="auto" w:fill="E7E6E6" w:themeFill="background2"/>
            <w:noWrap/>
            <w:hideMark/>
          </w:tcPr>
          <w:p w14:paraId="44F68802"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645,0</w:t>
            </w:r>
          </w:p>
        </w:tc>
        <w:tc>
          <w:tcPr>
            <w:tcW w:w="591" w:type="pct"/>
            <w:tcBorders>
              <w:top w:val="single" w:sz="4" w:space="0" w:color="002060"/>
              <w:bottom w:val="nil"/>
            </w:tcBorders>
            <w:shd w:val="clear" w:color="auto" w:fill="E7E6E6" w:themeFill="background2"/>
            <w:noWrap/>
            <w:hideMark/>
          </w:tcPr>
          <w:p w14:paraId="40CC84C0"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504,0</w:t>
            </w:r>
          </w:p>
        </w:tc>
      </w:tr>
      <w:tr w:rsidR="00F24B7F" w:rsidRPr="00F27A03" w14:paraId="6CCAAD51" w14:textId="77777777" w:rsidTr="00C91F83">
        <w:trPr>
          <w:trHeight w:val="226"/>
        </w:trPr>
        <w:tc>
          <w:tcPr>
            <w:tcW w:w="2637" w:type="pct"/>
            <w:tcBorders>
              <w:top w:val="nil"/>
              <w:left w:val="nil"/>
              <w:bottom w:val="nil"/>
              <w:right w:val="nil"/>
            </w:tcBorders>
            <w:noWrap/>
            <w:hideMark/>
          </w:tcPr>
          <w:p w14:paraId="00D85A0C"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Камата</w:t>
            </w:r>
          </w:p>
        </w:tc>
        <w:tc>
          <w:tcPr>
            <w:tcW w:w="590" w:type="pct"/>
            <w:tcBorders>
              <w:top w:val="nil"/>
              <w:left w:val="nil"/>
              <w:bottom w:val="nil"/>
              <w:right w:val="nil"/>
            </w:tcBorders>
            <w:noWrap/>
            <w:hideMark/>
          </w:tcPr>
          <w:p w14:paraId="070341E0"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113,1</w:t>
            </w:r>
          </w:p>
        </w:tc>
        <w:tc>
          <w:tcPr>
            <w:tcW w:w="591" w:type="pct"/>
            <w:tcBorders>
              <w:top w:val="nil"/>
              <w:left w:val="nil"/>
              <w:bottom w:val="nil"/>
              <w:right w:val="nil"/>
            </w:tcBorders>
            <w:noWrap/>
            <w:hideMark/>
          </w:tcPr>
          <w:p w14:paraId="2302E03D"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143,3</w:t>
            </w:r>
          </w:p>
        </w:tc>
        <w:tc>
          <w:tcPr>
            <w:tcW w:w="591" w:type="pct"/>
            <w:tcBorders>
              <w:top w:val="nil"/>
              <w:left w:val="nil"/>
              <w:bottom w:val="nil"/>
              <w:right w:val="nil"/>
            </w:tcBorders>
            <w:noWrap/>
            <w:hideMark/>
          </w:tcPr>
          <w:p w14:paraId="406155A8"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178,2</w:t>
            </w:r>
          </w:p>
        </w:tc>
        <w:tc>
          <w:tcPr>
            <w:tcW w:w="591" w:type="pct"/>
            <w:tcBorders>
              <w:top w:val="nil"/>
              <w:left w:val="nil"/>
              <w:bottom w:val="nil"/>
              <w:right w:val="nil"/>
            </w:tcBorders>
            <w:noWrap/>
            <w:hideMark/>
          </w:tcPr>
          <w:p w14:paraId="711FD210"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180,9</w:t>
            </w:r>
          </w:p>
        </w:tc>
      </w:tr>
      <w:tr w:rsidR="00F24B7F" w:rsidRPr="00F27A03" w14:paraId="1CD18D5B" w14:textId="77777777" w:rsidTr="00C91F83">
        <w:trPr>
          <w:cnfStyle w:val="000000100000" w:firstRow="0" w:lastRow="0" w:firstColumn="0" w:lastColumn="0" w:oddVBand="0" w:evenVBand="0" w:oddHBand="1" w:evenHBand="0" w:firstRowFirstColumn="0" w:firstRowLastColumn="0" w:lastRowFirstColumn="0" w:lastRowLastColumn="0"/>
          <w:trHeight w:val="226"/>
        </w:trPr>
        <w:tc>
          <w:tcPr>
            <w:tcW w:w="2637" w:type="pct"/>
            <w:tcBorders>
              <w:top w:val="nil"/>
              <w:bottom w:val="nil"/>
            </w:tcBorders>
            <w:shd w:val="clear" w:color="auto" w:fill="E7E6E6" w:themeFill="background2"/>
            <w:noWrap/>
            <w:hideMark/>
          </w:tcPr>
          <w:p w14:paraId="3667DFDB"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bCs/>
                <w:color w:val="002060"/>
                <w:sz w:val="18"/>
                <w:szCs w:val="18"/>
                <w:lang w:val="sr-Cyrl-CS"/>
              </w:rPr>
              <w:t>Укупно</w:t>
            </w:r>
          </w:p>
        </w:tc>
        <w:tc>
          <w:tcPr>
            <w:tcW w:w="590" w:type="pct"/>
            <w:tcBorders>
              <w:top w:val="nil"/>
              <w:bottom w:val="nil"/>
            </w:tcBorders>
            <w:shd w:val="clear" w:color="auto" w:fill="E7E6E6" w:themeFill="background2"/>
            <w:noWrap/>
            <w:hideMark/>
          </w:tcPr>
          <w:p w14:paraId="4A03AFE5"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538,1</w:t>
            </w:r>
          </w:p>
        </w:tc>
        <w:tc>
          <w:tcPr>
            <w:tcW w:w="591" w:type="pct"/>
            <w:tcBorders>
              <w:top w:val="nil"/>
              <w:bottom w:val="nil"/>
            </w:tcBorders>
            <w:shd w:val="clear" w:color="auto" w:fill="E7E6E6" w:themeFill="background2"/>
            <w:noWrap/>
            <w:hideMark/>
          </w:tcPr>
          <w:p w14:paraId="0A7FCE25"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755,3</w:t>
            </w:r>
          </w:p>
        </w:tc>
        <w:tc>
          <w:tcPr>
            <w:tcW w:w="591" w:type="pct"/>
            <w:tcBorders>
              <w:top w:val="nil"/>
              <w:bottom w:val="nil"/>
            </w:tcBorders>
            <w:shd w:val="clear" w:color="auto" w:fill="E7E6E6" w:themeFill="background2"/>
            <w:noWrap/>
            <w:hideMark/>
          </w:tcPr>
          <w:p w14:paraId="64140EC5"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823,2</w:t>
            </w:r>
          </w:p>
        </w:tc>
        <w:tc>
          <w:tcPr>
            <w:tcW w:w="591" w:type="pct"/>
            <w:tcBorders>
              <w:top w:val="nil"/>
              <w:bottom w:val="nil"/>
            </w:tcBorders>
            <w:shd w:val="clear" w:color="auto" w:fill="E7E6E6" w:themeFill="background2"/>
            <w:noWrap/>
            <w:hideMark/>
          </w:tcPr>
          <w:p w14:paraId="708797A5"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684,9</w:t>
            </w:r>
          </w:p>
        </w:tc>
      </w:tr>
      <w:tr w:rsidR="00F24B7F" w:rsidRPr="00F27A03" w14:paraId="05A9DBC8" w14:textId="77777777" w:rsidTr="00C91F83">
        <w:trPr>
          <w:trHeight w:val="226"/>
        </w:trPr>
        <w:tc>
          <w:tcPr>
            <w:tcW w:w="2637" w:type="pct"/>
            <w:tcBorders>
              <w:top w:val="nil"/>
              <w:left w:val="nil"/>
              <w:bottom w:val="single" w:sz="4" w:space="0" w:color="002060"/>
              <w:right w:val="nil"/>
            </w:tcBorders>
            <w:noWrap/>
            <w:hideMark/>
          </w:tcPr>
          <w:p w14:paraId="2E288BA4"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 xml:space="preserve"> У односу на јавни дуг на дан 30.9.2022. године</w:t>
            </w:r>
          </w:p>
        </w:tc>
        <w:tc>
          <w:tcPr>
            <w:tcW w:w="590" w:type="pct"/>
            <w:tcBorders>
              <w:top w:val="nil"/>
              <w:left w:val="nil"/>
              <w:bottom w:val="single" w:sz="4" w:space="0" w:color="002060"/>
              <w:right w:val="nil"/>
            </w:tcBorders>
            <w:noWrap/>
            <w:hideMark/>
          </w:tcPr>
          <w:p w14:paraId="6481D32A"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14,1%</w:t>
            </w:r>
          </w:p>
        </w:tc>
        <w:tc>
          <w:tcPr>
            <w:tcW w:w="591" w:type="pct"/>
            <w:tcBorders>
              <w:top w:val="nil"/>
              <w:left w:val="nil"/>
              <w:bottom w:val="single" w:sz="4" w:space="0" w:color="002060"/>
              <w:right w:val="nil"/>
            </w:tcBorders>
            <w:noWrap/>
            <w:hideMark/>
          </w:tcPr>
          <w:p w14:paraId="638EE220"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19,9%</w:t>
            </w:r>
          </w:p>
        </w:tc>
        <w:tc>
          <w:tcPr>
            <w:tcW w:w="591" w:type="pct"/>
            <w:tcBorders>
              <w:top w:val="nil"/>
              <w:left w:val="nil"/>
              <w:bottom w:val="single" w:sz="4" w:space="0" w:color="002060"/>
              <w:right w:val="nil"/>
            </w:tcBorders>
            <w:noWrap/>
            <w:hideMark/>
          </w:tcPr>
          <w:p w14:paraId="7B85C6BB"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21,6%</w:t>
            </w:r>
          </w:p>
        </w:tc>
        <w:tc>
          <w:tcPr>
            <w:tcW w:w="591" w:type="pct"/>
            <w:tcBorders>
              <w:top w:val="nil"/>
              <w:left w:val="nil"/>
              <w:bottom w:val="single" w:sz="4" w:space="0" w:color="002060"/>
              <w:right w:val="nil"/>
            </w:tcBorders>
            <w:noWrap/>
            <w:hideMark/>
          </w:tcPr>
          <w:p w14:paraId="5625DD5B"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18,0%</w:t>
            </w:r>
          </w:p>
        </w:tc>
      </w:tr>
    </w:tbl>
    <w:p w14:paraId="60613476" w14:textId="77777777" w:rsidR="00F24B7F" w:rsidRPr="00F27A03" w:rsidRDefault="00F24B7F" w:rsidP="00C91F83">
      <w:pPr>
        <w:spacing w:after="240" w:line="240" w:lineRule="auto"/>
        <w:rPr>
          <w:rFonts w:ascii="Calibri" w:eastAsia="Calibri" w:hAnsi="Calibri" w:cs="Calibri"/>
          <w:bCs/>
          <w:sz w:val="18"/>
          <w:szCs w:val="18"/>
          <w:lang w:val="sr-Cyrl-CS"/>
        </w:rPr>
      </w:pPr>
      <w:r w:rsidRPr="00F27A03">
        <w:rPr>
          <w:rFonts w:ascii="Calibri" w:eastAsia="Calibri" w:hAnsi="Calibri" w:cs="Calibri"/>
          <w:bCs/>
          <w:sz w:val="18"/>
          <w:szCs w:val="18"/>
          <w:lang w:val="sr-Cyrl-CS"/>
        </w:rPr>
        <w:t>*</w:t>
      </w:r>
      <w:r w:rsidRPr="00F27A03">
        <w:rPr>
          <w:lang w:val="sr-Cyrl-CS"/>
        </w:rPr>
        <w:t xml:space="preserve"> </w:t>
      </w:r>
      <w:r w:rsidRPr="00F27A03">
        <w:rPr>
          <w:rFonts w:ascii="Calibri" w:eastAsia="Calibri" w:hAnsi="Calibri" w:cs="Calibri"/>
          <w:bCs/>
          <w:sz w:val="18"/>
          <w:szCs w:val="18"/>
          <w:lang w:val="sr-Cyrl-CS"/>
        </w:rPr>
        <w:t xml:space="preserve">укључена и средства за </w:t>
      </w:r>
      <w:r w:rsidRPr="00F27A03">
        <w:rPr>
          <w:rFonts w:ascii="Calibri" w:eastAsia="Calibri" w:hAnsi="Calibri" w:cs="Calibri"/>
          <w:bCs/>
          <w:i/>
          <w:sz w:val="18"/>
          <w:szCs w:val="18"/>
          <w:lang w:val="sr-Cyrl-CS"/>
        </w:rPr>
        <w:t>buy-back</w:t>
      </w:r>
      <w:r w:rsidRPr="00F27A03">
        <w:rPr>
          <w:rFonts w:ascii="Calibri" w:eastAsia="Calibri" w:hAnsi="Calibri" w:cs="Calibri"/>
          <w:bCs/>
          <w:sz w:val="18"/>
          <w:szCs w:val="18"/>
          <w:lang w:val="sr-Cyrl-CS"/>
        </w:rPr>
        <w:t xml:space="preserve"> операције</w:t>
      </w:r>
    </w:p>
    <w:p w14:paraId="0C268489" w14:textId="7035D86C"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t>Табела 2</w:t>
      </w:r>
      <w:r w:rsidR="00EB3946" w:rsidRPr="00F27A03">
        <w:rPr>
          <w:rFonts w:ascii="Calibri" w:eastAsia="Calibri" w:hAnsi="Calibri" w:cs="Times New Roman"/>
          <w:b/>
          <w:color w:val="002060"/>
          <w:lang w:val="sr-Cyrl-CS"/>
        </w:rPr>
        <w:t>4</w:t>
      </w:r>
      <w:r w:rsidRPr="00F27A03">
        <w:rPr>
          <w:rFonts w:ascii="Calibri" w:eastAsia="Calibri" w:hAnsi="Calibri" w:cs="Times New Roman"/>
          <w:b/>
          <w:color w:val="002060"/>
          <w:lang w:val="sr-Cyrl-CS"/>
        </w:rPr>
        <w:t>. Пројекције отплате камата и главница до 2025. године (% БДП)</w:t>
      </w:r>
    </w:p>
    <w:tbl>
      <w:tblPr>
        <w:tblStyle w:val="LightShading-Accent1222"/>
        <w:tblW w:w="5000" w:type="pct"/>
        <w:tblInd w:w="0" w:type="dxa"/>
        <w:tblLook w:val="0420" w:firstRow="1" w:lastRow="0" w:firstColumn="0" w:lastColumn="0" w:noHBand="0" w:noVBand="1"/>
      </w:tblPr>
      <w:tblGrid>
        <w:gridCol w:w="4949"/>
        <w:gridCol w:w="1102"/>
        <w:gridCol w:w="1103"/>
        <w:gridCol w:w="1103"/>
        <w:gridCol w:w="1103"/>
      </w:tblGrid>
      <w:tr w:rsidR="00F24B7F" w:rsidRPr="00F27A03" w14:paraId="2DB6670A" w14:textId="77777777" w:rsidTr="00C91F83">
        <w:trPr>
          <w:cnfStyle w:val="100000000000" w:firstRow="1" w:lastRow="0" w:firstColumn="0" w:lastColumn="0" w:oddVBand="0" w:evenVBand="0" w:oddHBand="0" w:evenHBand="0" w:firstRowFirstColumn="0" w:firstRowLastColumn="0" w:lastRowFirstColumn="0" w:lastRowLastColumn="0"/>
          <w:trHeight w:val="220"/>
        </w:trPr>
        <w:tc>
          <w:tcPr>
            <w:tcW w:w="2644" w:type="pct"/>
            <w:tcBorders>
              <w:top w:val="single" w:sz="4" w:space="0" w:color="002060"/>
              <w:bottom w:val="single" w:sz="4" w:space="0" w:color="FFFFFF" w:themeColor="background1"/>
            </w:tcBorders>
            <w:noWrap/>
            <w:hideMark/>
          </w:tcPr>
          <w:p w14:paraId="3CB7444D" w14:textId="77777777" w:rsidR="00F24B7F" w:rsidRPr="00F27A03" w:rsidRDefault="00F24B7F" w:rsidP="00C91F83">
            <w:pPr>
              <w:jc w:val="right"/>
              <w:rPr>
                <w:rFonts w:ascii="Calibri" w:hAnsi="Calibri" w:cs="Calibri"/>
                <w:color w:val="002060"/>
                <w:sz w:val="18"/>
                <w:szCs w:val="18"/>
                <w:lang w:val="sr-Cyrl-CS"/>
              </w:rPr>
            </w:pPr>
            <w:bookmarkStart w:id="43" w:name="_Hlk529257961"/>
            <w:r w:rsidRPr="00F27A03">
              <w:rPr>
                <w:rFonts w:ascii="Calibri" w:hAnsi="Calibri" w:cs="Calibri"/>
                <w:color w:val="002060"/>
                <w:sz w:val="18"/>
                <w:szCs w:val="18"/>
                <w:lang w:val="sr-Cyrl-CS"/>
              </w:rPr>
              <w:t> </w:t>
            </w:r>
          </w:p>
        </w:tc>
        <w:tc>
          <w:tcPr>
            <w:tcW w:w="589" w:type="pct"/>
            <w:tcBorders>
              <w:top w:val="single" w:sz="4" w:space="0" w:color="002060"/>
              <w:bottom w:val="single" w:sz="4" w:space="0" w:color="002060"/>
            </w:tcBorders>
            <w:noWrap/>
            <w:hideMark/>
          </w:tcPr>
          <w:p w14:paraId="5DC41137"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2022 п</w:t>
            </w:r>
          </w:p>
        </w:tc>
        <w:tc>
          <w:tcPr>
            <w:tcW w:w="589" w:type="pct"/>
            <w:tcBorders>
              <w:top w:val="single" w:sz="4" w:space="0" w:color="002060"/>
              <w:bottom w:val="single" w:sz="4" w:space="0" w:color="002060"/>
            </w:tcBorders>
            <w:noWrap/>
            <w:hideMark/>
          </w:tcPr>
          <w:p w14:paraId="45D5639D"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2023 п</w:t>
            </w:r>
          </w:p>
        </w:tc>
        <w:tc>
          <w:tcPr>
            <w:tcW w:w="589" w:type="pct"/>
            <w:tcBorders>
              <w:top w:val="single" w:sz="4" w:space="0" w:color="002060"/>
              <w:bottom w:val="single" w:sz="4" w:space="0" w:color="002060"/>
            </w:tcBorders>
            <w:noWrap/>
            <w:hideMark/>
          </w:tcPr>
          <w:p w14:paraId="265B68CF"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2024 п</w:t>
            </w:r>
          </w:p>
        </w:tc>
        <w:tc>
          <w:tcPr>
            <w:tcW w:w="589" w:type="pct"/>
            <w:tcBorders>
              <w:top w:val="single" w:sz="4" w:space="0" w:color="002060"/>
              <w:bottom w:val="single" w:sz="4" w:space="0" w:color="002060"/>
            </w:tcBorders>
            <w:noWrap/>
            <w:hideMark/>
          </w:tcPr>
          <w:p w14:paraId="1BD0A0D2"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2025 п</w:t>
            </w:r>
          </w:p>
        </w:tc>
      </w:tr>
      <w:tr w:rsidR="00F24B7F" w:rsidRPr="00F27A03" w14:paraId="4E87C68E" w14:textId="77777777" w:rsidTr="00C91F83">
        <w:trPr>
          <w:cnfStyle w:val="000000100000" w:firstRow="0" w:lastRow="0" w:firstColumn="0" w:lastColumn="0" w:oddVBand="0" w:evenVBand="0" w:oddHBand="1" w:evenHBand="0" w:firstRowFirstColumn="0" w:firstRowLastColumn="0" w:lastRowFirstColumn="0" w:lastRowLastColumn="0"/>
          <w:trHeight w:val="220"/>
        </w:trPr>
        <w:tc>
          <w:tcPr>
            <w:tcW w:w="2644" w:type="pct"/>
            <w:tcBorders>
              <w:top w:val="nil"/>
              <w:bottom w:val="nil"/>
            </w:tcBorders>
            <w:shd w:val="clear" w:color="auto" w:fill="E7E6E6" w:themeFill="background2"/>
            <w:noWrap/>
            <w:hideMark/>
          </w:tcPr>
          <w:p w14:paraId="499BC0CD"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Главница</w:t>
            </w:r>
          </w:p>
        </w:tc>
        <w:tc>
          <w:tcPr>
            <w:tcW w:w="589" w:type="pct"/>
            <w:tcBorders>
              <w:top w:val="nil"/>
              <w:bottom w:val="nil"/>
            </w:tcBorders>
            <w:shd w:val="clear" w:color="auto" w:fill="E7E6E6" w:themeFill="background2"/>
            <w:noWrap/>
            <w:hideMark/>
          </w:tcPr>
          <w:p w14:paraId="77404DF6"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6,0%</w:t>
            </w:r>
          </w:p>
        </w:tc>
        <w:tc>
          <w:tcPr>
            <w:tcW w:w="589" w:type="pct"/>
            <w:tcBorders>
              <w:top w:val="nil"/>
              <w:bottom w:val="nil"/>
            </w:tcBorders>
            <w:shd w:val="clear" w:color="auto" w:fill="E7E6E6" w:themeFill="background2"/>
            <w:noWrap/>
            <w:hideMark/>
          </w:tcPr>
          <w:p w14:paraId="78FBE03B"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7,6%</w:t>
            </w:r>
          </w:p>
        </w:tc>
        <w:tc>
          <w:tcPr>
            <w:tcW w:w="589" w:type="pct"/>
            <w:tcBorders>
              <w:top w:val="nil"/>
              <w:bottom w:val="nil"/>
            </w:tcBorders>
            <w:shd w:val="clear" w:color="auto" w:fill="E7E6E6" w:themeFill="background2"/>
            <w:noWrap/>
            <w:hideMark/>
          </w:tcPr>
          <w:p w14:paraId="71D64006"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7,3%</w:t>
            </w:r>
          </w:p>
        </w:tc>
        <w:tc>
          <w:tcPr>
            <w:tcW w:w="589" w:type="pct"/>
            <w:tcBorders>
              <w:top w:val="nil"/>
              <w:bottom w:val="nil"/>
            </w:tcBorders>
            <w:shd w:val="clear" w:color="auto" w:fill="E7E6E6" w:themeFill="background2"/>
            <w:noWrap/>
            <w:hideMark/>
          </w:tcPr>
          <w:p w14:paraId="43632B7A"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5,3%</w:t>
            </w:r>
          </w:p>
        </w:tc>
      </w:tr>
      <w:tr w:rsidR="00F24B7F" w:rsidRPr="00F27A03" w14:paraId="482C203E" w14:textId="77777777" w:rsidTr="00C91F83">
        <w:trPr>
          <w:trHeight w:val="220"/>
        </w:trPr>
        <w:tc>
          <w:tcPr>
            <w:tcW w:w="2644" w:type="pct"/>
            <w:tcBorders>
              <w:top w:val="nil"/>
              <w:left w:val="nil"/>
              <w:bottom w:val="nil"/>
              <w:right w:val="nil"/>
            </w:tcBorders>
            <w:noWrap/>
            <w:hideMark/>
          </w:tcPr>
          <w:p w14:paraId="49D90A41"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bCs/>
                <w:color w:val="002060"/>
                <w:sz w:val="18"/>
                <w:szCs w:val="18"/>
                <w:lang w:val="sr-Cyrl-CS"/>
              </w:rPr>
              <w:t>Камата</w:t>
            </w:r>
          </w:p>
        </w:tc>
        <w:tc>
          <w:tcPr>
            <w:tcW w:w="589" w:type="pct"/>
            <w:tcBorders>
              <w:top w:val="nil"/>
              <w:left w:val="nil"/>
              <w:bottom w:val="nil"/>
              <w:right w:val="nil"/>
            </w:tcBorders>
            <w:noWrap/>
            <w:hideMark/>
          </w:tcPr>
          <w:p w14:paraId="266B4332"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1,6%</w:t>
            </w:r>
          </w:p>
        </w:tc>
        <w:tc>
          <w:tcPr>
            <w:tcW w:w="589" w:type="pct"/>
            <w:tcBorders>
              <w:top w:val="nil"/>
              <w:left w:val="nil"/>
              <w:bottom w:val="nil"/>
              <w:right w:val="nil"/>
            </w:tcBorders>
            <w:noWrap/>
            <w:hideMark/>
          </w:tcPr>
          <w:p w14:paraId="7BFD97FF"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1,8%</w:t>
            </w:r>
          </w:p>
        </w:tc>
        <w:tc>
          <w:tcPr>
            <w:tcW w:w="589" w:type="pct"/>
            <w:tcBorders>
              <w:top w:val="nil"/>
              <w:left w:val="nil"/>
              <w:bottom w:val="nil"/>
              <w:right w:val="nil"/>
            </w:tcBorders>
            <w:noWrap/>
            <w:hideMark/>
          </w:tcPr>
          <w:p w14:paraId="4ABD12BD"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2,0%</w:t>
            </w:r>
          </w:p>
        </w:tc>
        <w:tc>
          <w:tcPr>
            <w:tcW w:w="589" w:type="pct"/>
            <w:tcBorders>
              <w:top w:val="nil"/>
              <w:left w:val="nil"/>
              <w:bottom w:val="nil"/>
              <w:right w:val="nil"/>
            </w:tcBorders>
            <w:noWrap/>
            <w:hideMark/>
          </w:tcPr>
          <w:p w14:paraId="5284B54D"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1,9%</w:t>
            </w:r>
          </w:p>
        </w:tc>
      </w:tr>
      <w:tr w:rsidR="00F24B7F" w:rsidRPr="00F27A03" w14:paraId="2229D723" w14:textId="77777777" w:rsidTr="00C91F83">
        <w:trPr>
          <w:cnfStyle w:val="000000100000" w:firstRow="0" w:lastRow="0" w:firstColumn="0" w:lastColumn="0" w:oddVBand="0" w:evenVBand="0" w:oddHBand="1" w:evenHBand="0" w:firstRowFirstColumn="0" w:firstRowLastColumn="0" w:lastRowFirstColumn="0" w:lastRowLastColumn="0"/>
          <w:trHeight w:val="220"/>
        </w:trPr>
        <w:tc>
          <w:tcPr>
            <w:tcW w:w="2644" w:type="pct"/>
            <w:tcBorders>
              <w:top w:val="nil"/>
              <w:bottom w:val="single" w:sz="4" w:space="0" w:color="002060"/>
            </w:tcBorders>
            <w:shd w:val="clear" w:color="auto" w:fill="E7E6E6" w:themeFill="background2"/>
            <w:noWrap/>
            <w:hideMark/>
          </w:tcPr>
          <w:p w14:paraId="5FDDB91F"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Укупно</w:t>
            </w:r>
          </w:p>
        </w:tc>
        <w:tc>
          <w:tcPr>
            <w:tcW w:w="589" w:type="pct"/>
            <w:tcBorders>
              <w:top w:val="nil"/>
              <w:bottom w:val="single" w:sz="4" w:space="0" w:color="002060"/>
            </w:tcBorders>
            <w:shd w:val="clear" w:color="auto" w:fill="E7E6E6" w:themeFill="background2"/>
            <w:noWrap/>
            <w:hideMark/>
          </w:tcPr>
          <w:p w14:paraId="5813C8DB"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7,6%</w:t>
            </w:r>
          </w:p>
        </w:tc>
        <w:tc>
          <w:tcPr>
            <w:tcW w:w="589" w:type="pct"/>
            <w:tcBorders>
              <w:top w:val="nil"/>
              <w:bottom w:val="single" w:sz="4" w:space="0" w:color="002060"/>
            </w:tcBorders>
            <w:shd w:val="clear" w:color="auto" w:fill="E7E6E6" w:themeFill="background2"/>
            <w:noWrap/>
            <w:hideMark/>
          </w:tcPr>
          <w:p w14:paraId="0A0D574C"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9,4%</w:t>
            </w:r>
          </w:p>
        </w:tc>
        <w:tc>
          <w:tcPr>
            <w:tcW w:w="589" w:type="pct"/>
            <w:tcBorders>
              <w:top w:val="nil"/>
              <w:bottom w:val="single" w:sz="4" w:space="0" w:color="002060"/>
            </w:tcBorders>
            <w:shd w:val="clear" w:color="auto" w:fill="E7E6E6" w:themeFill="background2"/>
            <w:noWrap/>
            <w:hideMark/>
          </w:tcPr>
          <w:p w14:paraId="3CDABB01"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9,4%</w:t>
            </w:r>
          </w:p>
        </w:tc>
        <w:tc>
          <w:tcPr>
            <w:tcW w:w="589" w:type="pct"/>
            <w:tcBorders>
              <w:top w:val="nil"/>
              <w:bottom w:val="single" w:sz="4" w:space="0" w:color="002060"/>
            </w:tcBorders>
            <w:shd w:val="clear" w:color="auto" w:fill="E7E6E6" w:themeFill="background2"/>
            <w:noWrap/>
            <w:hideMark/>
          </w:tcPr>
          <w:p w14:paraId="2E44D847"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7,2%</w:t>
            </w:r>
          </w:p>
        </w:tc>
      </w:tr>
      <w:bookmarkEnd w:id="43"/>
    </w:tbl>
    <w:p w14:paraId="3A2F2E29" w14:textId="77777777" w:rsidR="00F24B7F" w:rsidRPr="00F27A03" w:rsidRDefault="00F24B7F" w:rsidP="00C91F83">
      <w:pPr>
        <w:spacing w:after="0" w:line="256" w:lineRule="auto"/>
        <w:jc w:val="left"/>
        <w:rPr>
          <w:rFonts w:ascii="Calibri" w:eastAsia="Calibri" w:hAnsi="Calibri" w:cs="Calibri"/>
          <w:bCs/>
          <w:szCs w:val="72"/>
          <w:lang w:val="sr-Cyrl-CS"/>
        </w:rPr>
        <w:sectPr w:rsidR="00F24B7F" w:rsidRPr="00F27A03">
          <w:type w:val="continuous"/>
          <w:pgSz w:w="12240" w:h="15840"/>
          <w:pgMar w:top="1440" w:right="1440" w:bottom="1440" w:left="1440" w:header="720" w:footer="720" w:gutter="0"/>
          <w:cols w:space="720"/>
        </w:sectPr>
      </w:pPr>
    </w:p>
    <w:p w14:paraId="3F0AA992"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Планирани износи за отплату камата и главница, на централном нивоу државе, укључују и средства за </w:t>
      </w:r>
      <w:r w:rsidRPr="00F27A03">
        <w:rPr>
          <w:rFonts w:ascii="Calibri" w:eastAsia="Calibri" w:hAnsi="Calibri" w:cs="Calibri"/>
          <w:bCs/>
          <w:i/>
          <w:szCs w:val="72"/>
          <w:lang w:val="sr-Cyrl-CS"/>
        </w:rPr>
        <w:t>buy-back</w:t>
      </w:r>
      <w:r w:rsidRPr="00F27A03">
        <w:rPr>
          <w:rFonts w:ascii="Calibri" w:eastAsia="Calibri" w:hAnsi="Calibri" w:cs="Calibri"/>
          <w:bCs/>
          <w:szCs w:val="72"/>
          <w:lang w:val="sr-Cyrl-CS"/>
        </w:rPr>
        <w:t xml:space="preserve"> операције, тј. превремену отплату дуга, како би се скупљи дуг заменио јефтинијим, као и премије осигурања на експортне кредите.</w:t>
      </w:r>
    </w:p>
    <w:p w14:paraId="1718153E" w14:textId="77777777" w:rsidR="00F24B7F" w:rsidRPr="00F27A03" w:rsidRDefault="00F24B7F" w:rsidP="00C91F83">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Пројекција стања јавног дуга општег нивоа државе у периоду 2022–2025. године</w:t>
      </w:r>
    </w:p>
    <w:p w14:paraId="11F39EC7" w14:textId="77777777" w:rsidR="00F24B7F" w:rsidRPr="00F27A03" w:rsidRDefault="00F24B7F" w:rsidP="00C91F83">
      <w:pPr>
        <w:spacing w:after="240"/>
        <w:rPr>
          <w:rFonts w:ascii="Calibri" w:eastAsia="Calibri" w:hAnsi="Calibri" w:cs="Calibri"/>
          <w:bCs/>
          <w:szCs w:val="72"/>
          <w:lang w:val="sr-Cyrl-CS"/>
        </w:rPr>
      </w:pPr>
      <w:r w:rsidRPr="00F27A03">
        <w:rPr>
          <w:rFonts w:ascii="Calibri" w:eastAsia="Calibri" w:hAnsi="Calibri" w:cs="Calibri"/>
          <w:bCs/>
          <w:szCs w:val="72"/>
          <w:lang w:val="sr-Cyrl-CS"/>
        </w:rPr>
        <w:t xml:space="preserve">Имајући у виду пројектовани примарни резултат буџета Републике Србије за период 2022–2025. </w:t>
      </w:r>
      <w:r w:rsidRPr="00F27A03">
        <w:rPr>
          <w:rFonts w:ascii="Calibri" w:eastAsia="Calibri" w:hAnsi="Calibri" w:cs="Calibri"/>
          <w:bCs/>
          <w:szCs w:val="72"/>
          <w:lang w:val="sr-Cyrl-CS"/>
        </w:rPr>
        <w:t>године, укључујући и обим повлачења кредитних средстава за пројектно финансирање од буџетских корисника, ефекте промене девизног курса динара према евру и америчком долару, у основном макроекономском сценарију, стање дуга централног нивоа државе требало би да буде на нивоу од 53,0% БДП на крају 2025. године.</w:t>
      </w:r>
    </w:p>
    <w:p w14:paraId="4A1EF50F" w14:textId="77777777" w:rsidR="00F24B7F" w:rsidRPr="00F27A03" w:rsidRDefault="00F24B7F" w:rsidP="00C91F83">
      <w:pPr>
        <w:spacing w:after="0" w:line="256" w:lineRule="auto"/>
        <w:jc w:val="left"/>
        <w:rPr>
          <w:rFonts w:ascii="Calibri" w:eastAsia="Calibri" w:hAnsi="Calibri" w:cs="Calibri"/>
          <w:bCs/>
          <w:szCs w:val="72"/>
          <w:lang w:val="sr-Cyrl-CS"/>
        </w:rPr>
      </w:pPr>
    </w:p>
    <w:p w14:paraId="20AC2634" w14:textId="77777777" w:rsidR="00F24B7F" w:rsidRPr="00F27A03" w:rsidRDefault="00F24B7F" w:rsidP="00C91F83">
      <w:pPr>
        <w:spacing w:after="0" w:line="256" w:lineRule="auto"/>
        <w:jc w:val="left"/>
        <w:rPr>
          <w:rFonts w:ascii="Calibri" w:eastAsia="Calibri" w:hAnsi="Calibri" w:cs="Calibri"/>
          <w:bCs/>
          <w:szCs w:val="72"/>
          <w:lang w:val="sr-Cyrl-CS"/>
        </w:rPr>
      </w:pPr>
    </w:p>
    <w:p w14:paraId="074265FF" w14:textId="77777777" w:rsidR="00F24B7F" w:rsidRPr="00F27A03" w:rsidRDefault="00F24B7F" w:rsidP="00C91F83">
      <w:pPr>
        <w:spacing w:after="0" w:line="256" w:lineRule="auto"/>
        <w:jc w:val="left"/>
        <w:rPr>
          <w:rFonts w:ascii="Calibri" w:eastAsia="Calibri" w:hAnsi="Calibri" w:cs="Calibri"/>
          <w:bCs/>
          <w:szCs w:val="72"/>
          <w:lang w:val="sr-Cyrl-CS"/>
        </w:rPr>
      </w:pPr>
    </w:p>
    <w:p w14:paraId="194F9798" w14:textId="77777777" w:rsidR="00F24B7F" w:rsidRPr="00F27A03" w:rsidRDefault="00F24B7F" w:rsidP="00C91F83">
      <w:pPr>
        <w:spacing w:after="0" w:line="256" w:lineRule="auto"/>
        <w:jc w:val="left"/>
        <w:rPr>
          <w:rFonts w:ascii="Calibri" w:eastAsia="Calibri" w:hAnsi="Calibri" w:cs="Calibri"/>
          <w:bCs/>
          <w:szCs w:val="72"/>
          <w:lang w:val="sr-Cyrl-CS"/>
        </w:rPr>
        <w:sectPr w:rsidR="00F24B7F" w:rsidRPr="00F27A03">
          <w:type w:val="continuous"/>
          <w:pgSz w:w="12240" w:h="15840"/>
          <w:pgMar w:top="1440" w:right="1440" w:bottom="1440" w:left="1440" w:header="720" w:footer="720" w:gutter="0"/>
          <w:cols w:num="2" w:space="720"/>
        </w:sectPr>
      </w:pPr>
    </w:p>
    <w:p w14:paraId="1D775F4A" w14:textId="1B16AF0C"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t>Табела 2</w:t>
      </w:r>
      <w:r w:rsidR="00EB3946" w:rsidRPr="00F27A03">
        <w:rPr>
          <w:rFonts w:ascii="Calibri" w:eastAsia="Calibri" w:hAnsi="Calibri" w:cs="Times New Roman"/>
          <w:b/>
          <w:color w:val="002060"/>
          <w:lang w:val="sr-Cyrl-CS"/>
        </w:rPr>
        <w:t>5</w:t>
      </w:r>
      <w:r w:rsidRPr="00F27A03">
        <w:rPr>
          <w:rFonts w:ascii="Calibri" w:eastAsia="Calibri" w:hAnsi="Calibri" w:cs="Times New Roman"/>
          <w:b/>
          <w:color w:val="002060"/>
          <w:lang w:val="sr-Cyrl-CS"/>
        </w:rPr>
        <w:t>. Основна пројекција стања јавног дуга општег нивоа државе до 2025. године</w:t>
      </w:r>
    </w:p>
    <w:tbl>
      <w:tblPr>
        <w:tblStyle w:val="LightShading-Accent1222"/>
        <w:tblW w:w="5000" w:type="pct"/>
        <w:tblInd w:w="0" w:type="dxa"/>
        <w:tblLook w:val="0420" w:firstRow="1" w:lastRow="0" w:firstColumn="0" w:lastColumn="0" w:noHBand="0" w:noVBand="1"/>
      </w:tblPr>
      <w:tblGrid>
        <w:gridCol w:w="5100"/>
        <w:gridCol w:w="1065"/>
        <w:gridCol w:w="1065"/>
        <w:gridCol w:w="1065"/>
        <w:gridCol w:w="1065"/>
      </w:tblGrid>
      <w:tr w:rsidR="00F24B7F" w:rsidRPr="00F27A03" w14:paraId="69F51A66" w14:textId="77777777" w:rsidTr="00C91F83">
        <w:trPr>
          <w:cnfStyle w:val="100000000000" w:firstRow="1" w:lastRow="0" w:firstColumn="0" w:lastColumn="0" w:oddVBand="0" w:evenVBand="0" w:oddHBand="0" w:evenHBand="0" w:firstRowFirstColumn="0" w:firstRowLastColumn="0" w:lastRowFirstColumn="0" w:lastRowLastColumn="0"/>
          <w:trHeight w:val="20"/>
        </w:trPr>
        <w:tc>
          <w:tcPr>
            <w:tcW w:w="2724" w:type="pct"/>
            <w:tcBorders>
              <w:top w:val="single" w:sz="4" w:space="0" w:color="002060"/>
              <w:bottom w:val="single" w:sz="8" w:space="0" w:color="FFFFFF" w:themeColor="background1"/>
            </w:tcBorders>
            <w:noWrap/>
            <w:hideMark/>
          </w:tcPr>
          <w:p w14:paraId="078F4EC9" w14:textId="77777777" w:rsidR="00F24B7F" w:rsidRPr="00F27A03" w:rsidRDefault="00F24B7F" w:rsidP="00C91F83">
            <w:pPr>
              <w:spacing w:line="256" w:lineRule="auto"/>
              <w:rPr>
                <w:rFonts w:ascii="Calibri" w:hAnsi="Calibri"/>
                <w:color w:val="002060"/>
                <w:lang w:val="sr-Cyrl-CS"/>
              </w:rPr>
            </w:pPr>
          </w:p>
        </w:tc>
        <w:tc>
          <w:tcPr>
            <w:tcW w:w="569" w:type="pct"/>
            <w:tcBorders>
              <w:top w:val="single" w:sz="4" w:space="0" w:color="002060"/>
              <w:bottom w:val="single" w:sz="4" w:space="0" w:color="002060"/>
            </w:tcBorders>
            <w:noWrap/>
            <w:hideMark/>
          </w:tcPr>
          <w:p w14:paraId="1FCE31A4"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2022 п</w:t>
            </w:r>
          </w:p>
        </w:tc>
        <w:tc>
          <w:tcPr>
            <w:tcW w:w="569" w:type="pct"/>
            <w:tcBorders>
              <w:top w:val="single" w:sz="4" w:space="0" w:color="002060"/>
              <w:bottom w:val="single" w:sz="4" w:space="0" w:color="002060"/>
            </w:tcBorders>
            <w:noWrap/>
            <w:hideMark/>
          </w:tcPr>
          <w:p w14:paraId="44531208"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2023 п</w:t>
            </w:r>
          </w:p>
        </w:tc>
        <w:tc>
          <w:tcPr>
            <w:tcW w:w="569" w:type="pct"/>
            <w:tcBorders>
              <w:top w:val="single" w:sz="4" w:space="0" w:color="002060"/>
              <w:bottom w:val="single" w:sz="4" w:space="0" w:color="002060"/>
            </w:tcBorders>
            <w:noWrap/>
            <w:hideMark/>
          </w:tcPr>
          <w:p w14:paraId="41E79240"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2024 п</w:t>
            </w:r>
          </w:p>
        </w:tc>
        <w:tc>
          <w:tcPr>
            <w:tcW w:w="569" w:type="pct"/>
            <w:tcBorders>
              <w:top w:val="single" w:sz="4" w:space="0" w:color="002060"/>
              <w:bottom w:val="single" w:sz="4" w:space="0" w:color="002060"/>
            </w:tcBorders>
            <w:noWrap/>
            <w:hideMark/>
          </w:tcPr>
          <w:p w14:paraId="6BE276D1" w14:textId="77777777" w:rsidR="00F24B7F" w:rsidRPr="00F27A03" w:rsidRDefault="00F24B7F" w:rsidP="00C91F83">
            <w:pPr>
              <w:jc w:val="right"/>
              <w:rPr>
                <w:rFonts w:ascii="Calibri" w:hAnsi="Calibri" w:cs="Calibri"/>
                <w:color w:val="002060"/>
                <w:sz w:val="18"/>
                <w:szCs w:val="18"/>
                <w:lang w:val="sr-Cyrl-CS"/>
              </w:rPr>
            </w:pPr>
            <w:r w:rsidRPr="00F27A03">
              <w:rPr>
                <w:rFonts w:ascii="Calibri" w:hAnsi="Calibri" w:cs="Calibri"/>
                <w:color w:val="002060"/>
                <w:sz w:val="18"/>
                <w:szCs w:val="18"/>
                <w:lang w:val="sr-Cyrl-CS"/>
              </w:rPr>
              <w:t>2025 п</w:t>
            </w:r>
          </w:p>
        </w:tc>
      </w:tr>
      <w:tr w:rsidR="00F24B7F" w:rsidRPr="00F27A03" w14:paraId="63E921A8" w14:textId="77777777" w:rsidTr="00C91F83">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noWrap/>
            <w:hideMark/>
          </w:tcPr>
          <w:p w14:paraId="7B02993C" w14:textId="77777777" w:rsidR="00F24B7F" w:rsidRPr="00F27A03" w:rsidRDefault="00F24B7F" w:rsidP="00ED5386">
            <w:pPr>
              <w:spacing w:line="240" w:lineRule="auto"/>
              <w:rPr>
                <w:rFonts w:ascii="Calibri" w:hAnsi="Calibri" w:cs="Calibri"/>
                <w:bCs/>
                <w:color w:val="44546A"/>
                <w:sz w:val="18"/>
                <w:szCs w:val="18"/>
                <w:lang w:val="sr-Cyrl-CS"/>
              </w:rPr>
            </w:pPr>
            <w:r w:rsidRPr="00F27A03">
              <w:rPr>
                <w:rFonts w:ascii="Calibri" w:hAnsi="Calibri" w:cs="Calibri"/>
                <w:bCs/>
                <w:color w:val="002060"/>
                <w:sz w:val="18"/>
                <w:szCs w:val="18"/>
                <w:lang w:val="sr-Cyrl-CS"/>
              </w:rPr>
              <w:t>Јавни дуг (централни ниво власти), млрд РСД</w:t>
            </w:r>
          </w:p>
        </w:tc>
        <w:tc>
          <w:tcPr>
            <w:tcW w:w="569" w:type="pct"/>
            <w:tcBorders>
              <w:top w:val="single" w:sz="4" w:space="0" w:color="002060"/>
              <w:bottom w:val="nil"/>
            </w:tcBorders>
            <w:shd w:val="clear" w:color="auto" w:fill="E7E6E6" w:themeFill="background2"/>
            <w:noWrap/>
            <w:hideMark/>
          </w:tcPr>
          <w:p w14:paraId="2DBD9F5D"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3.973,9</w:t>
            </w:r>
          </w:p>
        </w:tc>
        <w:tc>
          <w:tcPr>
            <w:tcW w:w="569" w:type="pct"/>
            <w:tcBorders>
              <w:top w:val="single" w:sz="4" w:space="0" w:color="002060"/>
              <w:bottom w:val="nil"/>
            </w:tcBorders>
            <w:shd w:val="clear" w:color="auto" w:fill="E7E6E6" w:themeFill="background2"/>
            <w:noWrap/>
            <w:hideMark/>
          </w:tcPr>
          <w:p w14:paraId="5E978355"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4.419,1</w:t>
            </w:r>
          </w:p>
        </w:tc>
        <w:tc>
          <w:tcPr>
            <w:tcW w:w="569" w:type="pct"/>
            <w:tcBorders>
              <w:top w:val="single" w:sz="4" w:space="0" w:color="002060"/>
              <w:bottom w:val="nil"/>
            </w:tcBorders>
            <w:shd w:val="clear" w:color="auto" w:fill="E7E6E6" w:themeFill="background2"/>
            <w:noWrap/>
            <w:hideMark/>
          </w:tcPr>
          <w:p w14:paraId="759637D5"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4.745,1</w:t>
            </w:r>
          </w:p>
        </w:tc>
        <w:tc>
          <w:tcPr>
            <w:tcW w:w="569" w:type="pct"/>
            <w:tcBorders>
              <w:top w:val="single" w:sz="4" w:space="0" w:color="002060"/>
              <w:bottom w:val="nil"/>
            </w:tcBorders>
            <w:shd w:val="clear" w:color="auto" w:fill="E7E6E6" w:themeFill="background2"/>
            <w:noWrap/>
            <w:hideMark/>
          </w:tcPr>
          <w:p w14:paraId="1EE8CC0F"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5.041,1</w:t>
            </w:r>
          </w:p>
        </w:tc>
      </w:tr>
      <w:tr w:rsidR="00F24B7F" w:rsidRPr="00F27A03" w14:paraId="578BB083" w14:textId="77777777" w:rsidTr="00C91F83">
        <w:trPr>
          <w:trHeight w:val="20"/>
        </w:trPr>
        <w:tc>
          <w:tcPr>
            <w:tcW w:w="2724" w:type="pct"/>
            <w:tcBorders>
              <w:top w:val="nil"/>
              <w:left w:val="nil"/>
              <w:bottom w:val="nil"/>
              <w:right w:val="nil"/>
            </w:tcBorders>
            <w:hideMark/>
          </w:tcPr>
          <w:p w14:paraId="01BD0B71"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Дуг централне државе, у % БДП</w:t>
            </w:r>
          </w:p>
        </w:tc>
        <w:tc>
          <w:tcPr>
            <w:tcW w:w="569" w:type="pct"/>
            <w:tcBorders>
              <w:top w:val="nil"/>
              <w:left w:val="nil"/>
              <w:bottom w:val="nil"/>
              <w:right w:val="nil"/>
            </w:tcBorders>
            <w:noWrap/>
            <w:hideMark/>
          </w:tcPr>
          <w:p w14:paraId="4C6CA69F"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56,1%</w:t>
            </w:r>
          </w:p>
        </w:tc>
        <w:tc>
          <w:tcPr>
            <w:tcW w:w="569" w:type="pct"/>
            <w:tcBorders>
              <w:top w:val="nil"/>
              <w:left w:val="nil"/>
              <w:bottom w:val="nil"/>
              <w:right w:val="nil"/>
            </w:tcBorders>
            <w:noWrap/>
            <w:hideMark/>
          </w:tcPr>
          <w:p w14:paraId="7F4100EB"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55,1%</w:t>
            </w:r>
          </w:p>
        </w:tc>
        <w:tc>
          <w:tcPr>
            <w:tcW w:w="569" w:type="pct"/>
            <w:tcBorders>
              <w:top w:val="nil"/>
              <w:left w:val="nil"/>
              <w:bottom w:val="nil"/>
              <w:right w:val="nil"/>
            </w:tcBorders>
            <w:noWrap/>
            <w:hideMark/>
          </w:tcPr>
          <w:p w14:paraId="7BCD426F"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54,1%</w:t>
            </w:r>
          </w:p>
        </w:tc>
        <w:tc>
          <w:tcPr>
            <w:tcW w:w="569" w:type="pct"/>
            <w:tcBorders>
              <w:top w:val="nil"/>
              <w:left w:val="nil"/>
              <w:bottom w:val="nil"/>
              <w:right w:val="nil"/>
            </w:tcBorders>
            <w:noWrap/>
            <w:hideMark/>
          </w:tcPr>
          <w:p w14:paraId="0C7AA153"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53,0%</w:t>
            </w:r>
          </w:p>
        </w:tc>
      </w:tr>
      <w:tr w:rsidR="00F24B7F" w:rsidRPr="00F27A03" w14:paraId="57CCA8B6" w14:textId="77777777" w:rsidTr="00C91F83">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hideMark/>
          </w:tcPr>
          <w:p w14:paraId="24FF76BF"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Негарантовани дуг јединица локалне самоуправе*, у % БДП</w:t>
            </w:r>
          </w:p>
        </w:tc>
        <w:tc>
          <w:tcPr>
            <w:tcW w:w="569" w:type="pct"/>
            <w:tcBorders>
              <w:top w:val="nil"/>
              <w:bottom w:val="nil"/>
            </w:tcBorders>
            <w:shd w:val="clear" w:color="auto" w:fill="E7E6E6" w:themeFill="background2"/>
            <w:noWrap/>
            <w:hideMark/>
          </w:tcPr>
          <w:p w14:paraId="777B391A"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0,8%</w:t>
            </w:r>
          </w:p>
        </w:tc>
        <w:tc>
          <w:tcPr>
            <w:tcW w:w="569" w:type="pct"/>
            <w:tcBorders>
              <w:top w:val="nil"/>
              <w:bottom w:val="nil"/>
            </w:tcBorders>
            <w:shd w:val="clear" w:color="auto" w:fill="E7E6E6" w:themeFill="background2"/>
            <w:noWrap/>
            <w:hideMark/>
          </w:tcPr>
          <w:p w14:paraId="4D4A91BB"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1,0%</w:t>
            </w:r>
          </w:p>
        </w:tc>
        <w:tc>
          <w:tcPr>
            <w:tcW w:w="569" w:type="pct"/>
            <w:tcBorders>
              <w:top w:val="nil"/>
              <w:bottom w:val="nil"/>
            </w:tcBorders>
            <w:shd w:val="clear" w:color="auto" w:fill="E7E6E6" w:themeFill="background2"/>
            <w:noWrap/>
            <w:hideMark/>
          </w:tcPr>
          <w:p w14:paraId="40C5935E"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1,0%</w:t>
            </w:r>
          </w:p>
        </w:tc>
        <w:tc>
          <w:tcPr>
            <w:tcW w:w="569" w:type="pct"/>
            <w:tcBorders>
              <w:top w:val="nil"/>
              <w:bottom w:val="nil"/>
            </w:tcBorders>
            <w:shd w:val="clear" w:color="auto" w:fill="E7E6E6" w:themeFill="background2"/>
            <w:noWrap/>
            <w:hideMark/>
          </w:tcPr>
          <w:p w14:paraId="76B34E38"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1,0%</w:t>
            </w:r>
          </w:p>
        </w:tc>
      </w:tr>
      <w:tr w:rsidR="00F24B7F" w:rsidRPr="00F27A03" w14:paraId="6C3A9E10" w14:textId="77777777" w:rsidTr="00C91F83">
        <w:trPr>
          <w:trHeight w:val="20"/>
        </w:trPr>
        <w:tc>
          <w:tcPr>
            <w:tcW w:w="2724" w:type="pct"/>
            <w:tcBorders>
              <w:top w:val="nil"/>
              <w:left w:val="nil"/>
              <w:bottom w:val="single" w:sz="4" w:space="0" w:color="002060"/>
              <w:right w:val="nil"/>
            </w:tcBorders>
            <w:hideMark/>
          </w:tcPr>
          <w:p w14:paraId="61713D62"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Дуг опште државе, у % БДП</w:t>
            </w:r>
          </w:p>
        </w:tc>
        <w:tc>
          <w:tcPr>
            <w:tcW w:w="569" w:type="pct"/>
            <w:tcBorders>
              <w:top w:val="nil"/>
              <w:left w:val="nil"/>
              <w:bottom w:val="single" w:sz="4" w:space="0" w:color="002060"/>
              <w:right w:val="nil"/>
            </w:tcBorders>
            <w:noWrap/>
            <w:hideMark/>
          </w:tcPr>
          <w:p w14:paraId="504CCEB0"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56,9%</w:t>
            </w:r>
          </w:p>
        </w:tc>
        <w:tc>
          <w:tcPr>
            <w:tcW w:w="569" w:type="pct"/>
            <w:tcBorders>
              <w:top w:val="nil"/>
              <w:left w:val="nil"/>
              <w:bottom w:val="single" w:sz="4" w:space="0" w:color="002060"/>
              <w:right w:val="nil"/>
            </w:tcBorders>
            <w:noWrap/>
            <w:hideMark/>
          </w:tcPr>
          <w:p w14:paraId="2DA219F8"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56,1%</w:t>
            </w:r>
          </w:p>
        </w:tc>
        <w:tc>
          <w:tcPr>
            <w:tcW w:w="569" w:type="pct"/>
            <w:tcBorders>
              <w:top w:val="nil"/>
              <w:left w:val="nil"/>
              <w:bottom w:val="single" w:sz="4" w:space="0" w:color="002060"/>
              <w:right w:val="nil"/>
            </w:tcBorders>
            <w:noWrap/>
            <w:hideMark/>
          </w:tcPr>
          <w:p w14:paraId="3ECB0560"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55,1%</w:t>
            </w:r>
          </w:p>
        </w:tc>
        <w:tc>
          <w:tcPr>
            <w:tcW w:w="569" w:type="pct"/>
            <w:tcBorders>
              <w:top w:val="nil"/>
              <w:left w:val="nil"/>
              <w:bottom w:val="single" w:sz="4" w:space="0" w:color="002060"/>
              <w:right w:val="nil"/>
            </w:tcBorders>
            <w:noWrap/>
            <w:hideMark/>
          </w:tcPr>
          <w:p w14:paraId="0D9A1C41" w14:textId="77777777" w:rsidR="00F24B7F" w:rsidRPr="00F27A03" w:rsidRDefault="00F24B7F" w:rsidP="00ED5386">
            <w:pPr>
              <w:spacing w:line="240" w:lineRule="auto"/>
              <w:jc w:val="right"/>
              <w:rPr>
                <w:rFonts w:ascii="Calibri" w:hAnsi="Calibri" w:cs="Calibri"/>
                <w:bCs/>
                <w:color w:val="002060"/>
                <w:sz w:val="18"/>
                <w:szCs w:val="18"/>
                <w:lang w:val="sr-Cyrl-CS"/>
              </w:rPr>
            </w:pPr>
            <w:r w:rsidRPr="00F27A03">
              <w:rPr>
                <w:rFonts w:ascii="Calibri" w:hAnsi="Calibri" w:cs="Calibri"/>
                <w:bCs/>
                <w:color w:val="002060"/>
                <w:sz w:val="18"/>
                <w:szCs w:val="18"/>
                <w:lang w:val="sr-Cyrl-CS"/>
              </w:rPr>
              <w:t>54,0%</w:t>
            </w:r>
          </w:p>
        </w:tc>
      </w:tr>
    </w:tbl>
    <w:p w14:paraId="1FCEAB59" w14:textId="77777777" w:rsidR="00F24B7F" w:rsidRPr="00F27A03" w:rsidRDefault="00F24B7F" w:rsidP="00C91F83">
      <w:pPr>
        <w:spacing w:after="240" w:line="240" w:lineRule="auto"/>
        <w:rPr>
          <w:rFonts w:ascii="Calibri" w:eastAsia="Calibri" w:hAnsi="Calibri" w:cs="Calibri"/>
          <w:bCs/>
          <w:sz w:val="18"/>
          <w:szCs w:val="18"/>
          <w:lang w:val="sr-Cyrl-CS"/>
        </w:rPr>
        <w:sectPr w:rsidR="00F24B7F" w:rsidRPr="00F27A03">
          <w:type w:val="continuous"/>
          <w:pgSz w:w="12240" w:h="15840"/>
          <w:pgMar w:top="1440" w:right="1440" w:bottom="1440" w:left="1440" w:header="720" w:footer="720" w:gutter="0"/>
          <w:cols w:space="720"/>
        </w:sectPr>
      </w:pPr>
      <w:r w:rsidRPr="00F27A03">
        <w:rPr>
          <w:rFonts w:ascii="Calibri" w:eastAsia="Calibri" w:hAnsi="Calibri" w:cs="Calibri"/>
          <w:bCs/>
          <w:sz w:val="18"/>
          <w:szCs w:val="18"/>
          <w:lang w:val="sr-Cyrl-CS"/>
        </w:rPr>
        <w:t>*</w:t>
      </w:r>
      <w:r w:rsidRPr="00F27A03">
        <w:rPr>
          <w:lang w:val="sr-Cyrl-CS"/>
        </w:rPr>
        <w:t xml:space="preserve"> </w:t>
      </w:r>
      <w:r w:rsidRPr="00F27A03">
        <w:rPr>
          <w:rFonts w:ascii="Calibri" w:eastAsia="Calibri" w:hAnsi="Calibri" w:cs="Calibri"/>
          <w:bCs/>
          <w:sz w:val="18"/>
          <w:szCs w:val="18"/>
          <w:lang w:val="sr-Cyrl-CS"/>
        </w:rPr>
        <w:t>и осталог сектора државе</w:t>
      </w:r>
    </w:p>
    <w:p w14:paraId="56903F96" w14:textId="769892AA" w:rsidR="00F24B7F" w:rsidRPr="00F27A03" w:rsidRDefault="00F24B7F" w:rsidP="00C91F83">
      <w:pPr>
        <w:rPr>
          <w:rFonts w:ascii="Calibri" w:eastAsia="Calibri" w:hAnsi="Calibri" w:cs="Calibri"/>
          <w:bCs/>
          <w:spacing w:val="-2"/>
          <w:szCs w:val="72"/>
          <w:lang w:val="sr-Cyrl-CS"/>
        </w:rPr>
      </w:pPr>
      <w:r w:rsidRPr="00F27A03">
        <w:rPr>
          <w:rFonts w:ascii="Calibri" w:eastAsia="Calibri" w:hAnsi="Calibri" w:cs="Calibri"/>
          <w:bCs/>
          <w:spacing w:val="-2"/>
          <w:szCs w:val="72"/>
          <w:lang w:val="sr-Cyrl-CS"/>
        </w:rPr>
        <w:t>На крају 2022. годин</w:t>
      </w:r>
      <w:r w:rsidR="007266BA" w:rsidRPr="00F27A03">
        <w:rPr>
          <w:rFonts w:ascii="Calibri" w:eastAsia="Calibri" w:hAnsi="Calibri" w:cs="Calibri"/>
          <w:bCs/>
          <w:spacing w:val="-2"/>
          <w:szCs w:val="72"/>
          <w:lang w:val="sr-Cyrl-CS"/>
        </w:rPr>
        <w:t>е</w:t>
      </w:r>
      <w:r w:rsidRPr="00F27A03">
        <w:rPr>
          <w:rFonts w:ascii="Calibri" w:eastAsia="Calibri" w:hAnsi="Calibri" w:cs="Calibri"/>
          <w:bCs/>
          <w:spacing w:val="-2"/>
          <w:szCs w:val="72"/>
          <w:lang w:val="sr-Cyrl-CS"/>
        </w:rPr>
        <w:t xml:space="preserve"> очекује се да учешће јавног дуга оп</w:t>
      </w:r>
      <w:r w:rsidR="005453D2" w:rsidRPr="00F27A03">
        <w:rPr>
          <w:rFonts w:ascii="Calibri" w:eastAsia="Calibri" w:hAnsi="Calibri" w:cs="Calibri"/>
          <w:bCs/>
          <w:spacing w:val="-2"/>
          <w:szCs w:val="72"/>
          <w:lang w:val="sr-Cyrl-CS"/>
        </w:rPr>
        <w:t xml:space="preserve">штег нивоа државе у БДП износи </w:t>
      </w:r>
      <w:r w:rsidRPr="00F27A03">
        <w:rPr>
          <w:rFonts w:ascii="Calibri" w:eastAsia="Calibri" w:hAnsi="Calibri" w:cs="Calibri"/>
          <w:bCs/>
          <w:spacing w:val="-2"/>
          <w:szCs w:val="72"/>
          <w:lang w:val="sr-Cyrl-CS"/>
        </w:rPr>
        <w:t xml:space="preserve">56,9%. У наредним годинама се очекује пад рација, који би у основном сценарију требало на крају 2023. године да износи 56,1%, на крају 2024. године 55,1%, а на крају 2025. године 54,0%. У датом периоду се очекује реализација великих инфраструктурних пројеката који ће бити финансирани углавном из пројектних зајмова, те њихова интензивнија реализација у односу на претходни период. Ово је управо једна од тачака где се може видети јасна координација фискалних и развојних циљева. Води се рачуна о одрживости јавног дуга и постепеном паду његовог учешћа у БДП, уз истовремено коришћење новог задуживања за побољшање инфраструктурних услова који доводе до раста БДП, </w:t>
      </w:r>
      <w:r w:rsidRPr="00F27A03">
        <w:rPr>
          <w:rFonts w:ascii="Calibri" w:eastAsia="Calibri" w:hAnsi="Calibri" w:cs="Calibri"/>
          <w:bCs/>
          <w:spacing w:val="-2"/>
          <w:szCs w:val="72"/>
          <w:lang w:val="sr-Cyrl-CS"/>
        </w:rPr>
        <w:t>животног стандарда и нових инвестиција. Предвиђа се да ће негарантовани дуг јединица локалне самоуправе и осталог сектора државе у наредном периоду бити на релативно стабилном нивоу од око 1,0% БДП.</w:t>
      </w:r>
    </w:p>
    <w:p w14:paraId="76E4378E" w14:textId="77777777" w:rsidR="00F24B7F" w:rsidRPr="00F27A03" w:rsidRDefault="00F24B7F" w:rsidP="00C91F83">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Принципи управљања јавним дугом</w:t>
      </w:r>
    </w:p>
    <w:p w14:paraId="2C34292A"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Према Закону о јавном дугу, примарни циљ задуживања Републике Србије и управљања јавним дугом је обезбеђивање средстава за редовно сервисирање буџетских потреба по најповољнијим условима и трошковима финансирања уз прихватљив ниво ризика. На основу тога, Стратегија управљања јавним дугом Републике Србије дефинише следеће опште циљеве и принципе:</w:t>
      </w:r>
    </w:p>
    <w:p w14:paraId="681BFD5B"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lastRenderedPageBreak/>
        <w:t>1) Осигурати финансирање фискалног дефицита и редовно сервисирање обавеза по основу јавног дуга Републике Србије;</w:t>
      </w:r>
    </w:p>
    <w:p w14:paraId="14D388BE"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2) Дефинисати прихватљив ниво ризика који треба да буде одређен у условима циљане структуре портфолија дуга у смислу валутне структуре дуга, структуре каматних стопа, структуре рочности и структуре дуга према инструментима;</w:t>
      </w:r>
    </w:p>
    <w:p w14:paraId="12319E18"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3) Наставити развој тржишта државних хартија од вредности које се емитују на домаћем и међународном тржишту, што би помогло у смањењу трошкова задуживања у средњем и дугом року;</w:t>
      </w:r>
    </w:p>
    <w:p w14:paraId="148AB39F"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4) Омогућити транспарентност и предвидивост процеса задуживања.</w:t>
      </w:r>
    </w:p>
    <w:p w14:paraId="28199761"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Стратегија управљања јавним дугом конзистентна је са општим средњорочним макроекономским и фискалним оквиром.</w:t>
      </w:r>
    </w:p>
    <w:p w14:paraId="78D13C0D" w14:textId="77777777" w:rsidR="00F24B7F" w:rsidRPr="00F27A03" w:rsidRDefault="00F24B7F" w:rsidP="00C91F83">
      <w:pPr>
        <w:rPr>
          <w:rFonts w:ascii="Calibri" w:eastAsia="Calibri" w:hAnsi="Calibri" w:cs="Calibri"/>
          <w:bCs/>
          <w:spacing w:val="-2"/>
          <w:szCs w:val="72"/>
          <w:lang w:val="sr-Cyrl-CS"/>
        </w:rPr>
      </w:pPr>
      <w:r w:rsidRPr="00F27A03">
        <w:rPr>
          <w:rFonts w:ascii="Calibri" w:eastAsia="Calibri" w:hAnsi="Calibri" w:cs="Calibri"/>
          <w:bCs/>
          <w:spacing w:val="-2"/>
          <w:szCs w:val="72"/>
          <w:lang w:val="sr-Cyrl-CS"/>
        </w:rPr>
        <w:t>Стратегија управљања јавним дугом у наредном средњорочном периоду базира се на финансирању дефицита и главнице дуга буџета Републике Србије путем емисија државних хартија од вредности на домаћем и међународном тржишту капитала како би било испуњено редовно сервисирање обавеза. Флексибилност ће се огледати у домену избора тржишта на коме ће се вршити задуживање, валуте задуживања и инструмената финансирања. Избор структуре финансирања узимаће у обзир тренутно стање и тренд развоја домаћег и међународног финансијског тржишта (ниво каматних стопа, премије ризика, криву приноса, девизне курсеве референтних валута) и прихватљив ниво изложености финансијским ризицима.</w:t>
      </w:r>
    </w:p>
    <w:p w14:paraId="0DF9BA6F"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Циљ је да се у наредном дугорочном периоду финансирање обавља пре свега емитовањем динарских хартија од вредности на домаћем тржишту. Део финансирања може бити обезбеђен и на међународном финансијском тржишту у средњорочном периоду. Успостављање </w:t>
      </w:r>
      <w:r w:rsidRPr="00F27A03">
        <w:rPr>
          <w:rFonts w:ascii="Calibri" w:eastAsia="Calibri" w:hAnsi="Calibri" w:cs="Calibri"/>
          <w:bCs/>
          <w:i/>
          <w:szCs w:val="72"/>
          <w:lang w:val="sr-Cyrl-CS"/>
        </w:rPr>
        <w:t>GMTN</w:t>
      </w:r>
      <w:r w:rsidRPr="00F27A03">
        <w:rPr>
          <w:rFonts w:ascii="Calibri" w:eastAsia="Calibri" w:hAnsi="Calibri" w:cs="Calibri"/>
          <w:bCs/>
          <w:szCs w:val="72"/>
          <w:lang w:val="sr-Cyrl-CS"/>
        </w:rPr>
        <w:t xml:space="preserve"> програма у 2020. години омогућило је флексибилност у избору финансирања и бржи приступ финансирању на међунарoдном тржишту.</w:t>
      </w:r>
    </w:p>
    <w:p w14:paraId="4071E39B"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Позајмљивање у страној валути, као нпр. у америчким доларима, за собом повлачи и девизни ризик услед промене курсa евро – </w:t>
      </w:r>
      <w:r w:rsidRPr="00F27A03">
        <w:rPr>
          <w:rFonts w:ascii="Calibri" w:eastAsia="Calibri" w:hAnsi="Calibri" w:cs="Calibri"/>
          <w:bCs/>
          <w:szCs w:val="72"/>
          <w:lang w:val="sr-Cyrl-CS"/>
        </w:rPr>
        <w:t>амерички долар, те ће се из тог разлога користити могућност хеџинга.</w:t>
      </w:r>
    </w:p>
    <w:p w14:paraId="6C357C62"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Политика управљања јавним дугом мора да узме у обзир дугорочну перспективу, али се одлука о финансирању буџетских издатака мора доносити годишње. Одлука о годишњем задуживању се доноси у оквиру Закона о буџету за одређену фискалну годину. У зависности од промене основних фискалних агрегата могућа је корекција плана задуживања током фискалне године.</w:t>
      </w:r>
    </w:p>
    <w:p w14:paraId="5AF1BBF4" w14:textId="77777777" w:rsidR="00F24B7F" w:rsidRPr="00F27A03" w:rsidRDefault="00F24B7F" w:rsidP="00C91F83">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Финансијски ризици и мере за управљање финансијским ризицима</w:t>
      </w:r>
    </w:p>
    <w:p w14:paraId="06C45F54"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Утицај финансијских и фискалних ризика може довести до већег раста јавног дуга него што предвиђа основни сценарио. Ризици који су присутни и који могу да доведу до раста задужености и трошкова сервисирања јавног дуга су: ризик рефинансирања, девизни ризик, тржишни ризик (ризик каматних стопа, ризик инфлације), ризик ликвидности, кредитни и оперативни ризици и ризици везани за дистрибуцију трошкова сервисирања (структура дуга, концентрација обавеза).</w:t>
      </w:r>
    </w:p>
    <w:p w14:paraId="3689CB45" w14:textId="77777777" w:rsidR="00F24B7F" w:rsidRPr="00F27A03" w:rsidRDefault="00F24B7F" w:rsidP="00C91F83">
      <w:pPr>
        <w:spacing w:after="120"/>
        <w:rPr>
          <w:rFonts w:ascii="Calibri" w:eastAsia="Calibri" w:hAnsi="Calibri" w:cs="Calibri"/>
          <w:bCs/>
          <w:szCs w:val="72"/>
          <w:lang w:val="sr-Cyrl-CS"/>
        </w:rPr>
      </w:pPr>
      <w:r w:rsidRPr="00F27A03">
        <w:rPr>
          <w:rFonts w:ascii="Calibri" w:eastAsia="Calibri" w:hAnsi="Calibri" w:cs="Calibri"/>
          <w:bCs/>
          <w:szCs w:val="72"/>
          <w:lang w:val="sr-Cyrl-CS"/>
        </w:rPr>
        <w:t>У циљу смањења изложености финансијским ризицима потребно је спроводити следеће мере:</w:t>
      </w:r>
    </w:p>
    <w:p w14:paraId="5F47E0EB" w14:textId="77777777" w:rsidR="00F24B7F" w:rsidRPr="00F27A03" w:rsidRDefault="00F24B7F" w:rsidP="00C91F83">
      <w:pPr>
        <w:spacing w:after="60"/>
        <w:rPr>
          <w:rFonts w:ascii="Calibri" w:eastAsia="Calibri" w:hAnsi="Calibri" w:cs="Calibri"/>
          <w:bCs/>
          <w:szCs w:val="72"/>
          <w:lang w:val="sr-Cyrl-CS"/>
        </w:rPr>
      </w:pPr>
      <w:r w:rsidRPr="00F27A03">
        <w:rPr>
          <w:rFonts w:ascii="Calibri" w:eastAsia="Calibri" w:hAnsi="Calibri" w:cs="Calibri"/>
          <w:bCs/>
          <w:szCs w:val="72"/>
          <w:lang w:val="sr-Cyrl-CS"/>
        </w:rPr>
        <w:t>1. ризик рефинансирања</w:t>
      </w:r>
    </w:p>
    <w:p w14:paraId="638C82D1" w14:textId="77777777" w:rsidR="00F24B7F" w:rsidRPr="00F27A03" w:rsidRDefault="00F24B7F" w:rsidP="00DB0157">
      <w:pPr>
        <w:numPr>
          <w:ilvl w:val="0"/>
          <w:numId w:val="8"/>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повећање учешћа средњорочних и дугорочних финансијских инструмената деноминованих у динарима на домаћем финансијском тржишту;</w:t>
      </w:r>
    </w:p>
    <w:p w14:paraId="208377E6" w14:textId="77777777" w:rsidR="00F24B7F" w:rsidRPr="00F27A03" w:rsidRDefault="00F24B7F" w:rsidP="00DB0157">
      <w:pPr>
        <w:numPr>
          <w:ilvl w:val="0"/>
          <w:numId w:val="8"/>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равномерна расподела обавеза по основу јавног дуга на годишњем нивоу у наредном дугорочном периоду;</w:t>
      </w:r>
    </w:p>
    <w:p w14:paraId="6E9B8293" w14:textId="77777777" w:rsidR="00F24B7F" w:rsidRPr="00F27A03" w:rsidRDefault="00F24B7F" w:rsidP="00DB0157">
      <w:pPr>
        <w:numPr>
          <w:ilvl w:val="0"/>
          <w:numId w:val="8"/>
        </w:numPr>
        <w:spacing w:after="120"/>
        <w:ind w:left="181" w:hanging="181"/>
        <w:rPr>
          <w:rFonts w:ascii="Calibri" w:eastAsia="Calibri" w:hAnsi="Calibri" w:cs="Calibri"/>
          <w:bCs/>
          <w:szCs w:val="72"/>
          <w:lang w:val="sr-Cyrl-CS"/>
        </w:rPr>
      </w:pPr>
      <w:r w:rsidRPr="00F27A03">
        <w:rPr>
          <w:rFonts w:ascii="Calibri" w:eastAsia="Calibri" w:hAnsi="Calibri" w:cs="Calibri"/>
          <w:bCs/>
          <w:szCs w:val="72"/>
          <w:lang w:val="sr-Cyrl-CS"/>
        </w:rPr>
        <w:t>продужавање просечне рочности дуга који се емитује у хартијама од вредности;</w:t>
      </w:r>
    </w:p>
    <w:p w14:paraId="5EED414E" w14:textId="77777777" w:rsidR="00F24B7F" w:rsidRPr="00F27A03" w:rsidRDefault="00F24B7F" w:rsidP="00C91F83">
      <w:pPr>
        <w:spacing w:after="60"/>
        <w:rPr>
          <w:rFonts w:ascii="Calibri" w:eastAsia="Calibri" w:hAnsi="Calibri" w:cs="Calibri"/>
          <w:bCs/>
          <w:szCs w:val="72"/>
          <w:lang w:val="sr-Cyrl-CS"/>
        </w:rPr>
      </w:pPr>
      <w:r w:rsidRPr="00F27A03">
        <w:rPr>
          <w:rFonts w:ascii="Calibri" w:eastAsia="Calibri" w:hAnsi="Calibri" w:cs="Calibri"/>
          <w:bCs/>
          <w:szCs w:val="72"/>
          <w:lang w:val="sr-Cyrl-CS"/>
        </w:rPr>
        <w:t>2. девизни ризик</w:t>
      </w:r>
    </w:p>
    <w:p w14:paraId="4EEF2992" w14:textId="77777777" w:rsidR="00F24B7F" w:rsidRPr="00F27A03" w:rsidRDefault="00F24B7F" w:rsidP="00DB0157">
      <w:pPr>
        <w:numPr>
          <w:ilvl w:val="1"/>
          <w:numId w:val="9"/>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настојање да се смањи учешће дуга деноминованог у ино-валути уз уважавање трошкова новог дуга (трошкови динаризације дуга);</w:t>
      </w:r>
    </w:p>
    <w:p w14:paraId="481AB6E2" w14:textId="77777777" w:rsidR="00F24B7F" w:rsidRPr="00F27A03" w:rsidRDefault="00F24B7F" w:rsidP="00DB0157">
      <w:pPr>
        <w:numPr>
          <w:ilvl w:val="1"/>
          <w:numId w:val="9"/>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коришћење финансијских деривата у циљу лимитирања ефеката промене курсева референтних валута;</w:t>
      </w:r>
    </w:p>
    <w:p w14:paraId="43E6C4B5" w14:textId="77777777" w:rsidR="00F24B7F" w:rsidRPr="00F27A03" w:rsidRDefault="00F24B7F" w:rsidP="00DB0157">
      <w:pPr>
        <w:numPr>
          <w:ilvl w:val="1"/>
          <w:numId w:val="9"/>
        </w:numPr>
        <w:spacing w:after="120"/>
        <w:ind w:left="181" w:hanging="181"/>
        <w:rPr>
          <w:rFonts w:ascii="Calibri" w:eastAsia="Calibri" w:hAnsi="Calibri" w:cs="Calibri"/>
          <w:bCs/>
          <w:szCs w:val="72"/>
          <w:lang w:val="sr-Cyrl-CS"/>
        </w:rPr>
      </w:pPr>
      <w:r w:rsidRPr="00F27A03">
        <w:rPr>
          <w:rFonts w:ascii="Calibri" w:eastAsia="Calibri" w:hAnsi="Calibri" w:cs="Calibri"/>
          <w:bCs/>
          <w:szCs w:val="72"/>
          <w:lang w:val="sr-Cyrl-CS"/>
        </w:rPr>
        <w:t xml:space="preserve">настојање да спољни дуг буде углавном у еврима и да се доларски дуг користи само ако је финансирање на међународном тржишту у </w:t>
      </w:r>
      <w:r w:rsidRPr="00F27A03">
        <w:rPr>
          <w:rFonts w:ascii="Calibri" w:eastAsia="Calibri" w:hAnsi="Calibri" w:cs="Calibri"/>
          <w:bCs/>
          <w:szCs w:val="72"/>
          <w:lang w:val="sr-Cyrl-CS"/>
        </w:rPr>
        <w:lastRenderedPageBreak/>
        <w:t>доларима јефтиније уз коришћење финансијских деривата за лимитирање ризика;</w:t>
      </w:r>
    </w:p>
    <w:p w14:paraId="07152DF9" w14:textId="77777777" w:rsidR="00F24B7F" w:rsidRPr="00F27A03" w:rsidRDefault="00F24B7F" w:rsidP="002B0A7B">
      <w:pPr>
        <w:spacing w:after="60"/>
        <w:ind w:left="181" w:hanging="181"/>
        <w:rPr>
          <w:rFonts w:ascii="Calibri" w:eastAsia="Calibri" w:hAnsi="Calibri" w:cs="Calibri"/>
          <w:bCs/>
          <w:szCs w:val="72"/>
          <w:lang w:val="sr-Cyrl-CS"/>
        </w:rPr>
      </w:pPr>
      <w:r w:rsidRPr="00F27A03">
        <w:rPr>
          <w:rFonts w:ascii="Calibri" w:eastAsia="Calibri" w:hAnsi="Calibri" w:cs="Calibri"/>
          <w:bCs/>
          <w:szCs w:val="72"/>
          <w:lang w:val="sr-Cyrl-CS"/>
        </w:rPr>
        <w:t>3. тржишни ризик (ризик каматних стопа, ризик инфлације)</w:t>
      </w:r>
    </w:p>
    <w:p w14:paraId="5291513E" w14:textId="77777777" w:rsidR="00F24B7F" w:rsidRPr="00F27A03" w:rsidRDefault="00F24B7F" w:rsidP="00DB0157">
      <w:pPr>
        <w:numPr>
          <w:ilvl w:val="1"/>
          <w:numId w:val="10"/>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настојање да се продужи просечна рочност домаћег дуга у динарима;</w:t>
      </w:r>
    </w:p>
    <w:p w14:paraId="2BE6A2AC" w14:textId="77777777" w:rsidR="00F24B7F" w:rsidRPr="00F27A03" w:rsidRDefault="00F24B7F" w:rsidP="00DB0157">
      <w:pPr>
        <w:numPr>
          <w:ilvl w:val="1"/>
          <w:numId w:val="10"/>
        </w:numPr>
        <w:spacing w:after="120"/>
        <w:ind w:left="181" w:hanging="181"/>
        <w:rPr>
          <w:rFonts w:ascii="Calibri" w:eastAsia="Calibri" w:hAnsi="Calibri" w:cs="Calibri"/>
          <w:bCs/>
          <w:szCs w:val="72"/>
          <w:lang w:val="sr-Cyrl-CS"/>
        </w:rPr>
      </w:pPr>
      <w:r w:rsidRPr="00F27A03">
        <w:rPr>
          <w:rFonts w:ascii="Calibri" w:eastAsia="Calibri" w:hAnsi="Calibri" w:cs="Calibri"/>
          <w:bCs/>
          <w:szCs w:val="72"/>
          <w:lang w:val="sr-Cyrl-CS"/>
        </w:rPr>
        <w:t>настојање да ризик по основу каматних стопа на спољни дуг не угрожава дугорочни циљ минимизације трошкова јавног дуга;</w:t>
      </w:r>
    </w:p>
    <w:p w14:paraId="49FB7095" w14:textId="77777777" w:rsidR="00F24B7F" w:rsidRPr="00F27A03" w:rsidRDefault="00F24B7F" w:rsidP="00C91F83">
      <w:pPr>
        <w:spacing w:after="60"/>
        <w:rPr>
          <w:rFonts w:ascii="Calibri" w:eastAsia="Calibri" w:hAnsi="Calibri" w:cs="Calibri"/>
          <w:bCs/>
          <w:szCs w:val="72"/>
          <w:lang w:val="sr-Cyrl-CS"/>
        </w:rPr>
      </w:pPr>
      <w:r w:rsidRPr="00F27A03">
        <w:rPr>
          <w:rFonts w:ascii="Calibri" w:eastAsia="Calibri" w:hAnsi="Calibri" w:cs="Calibri"/>
          <w:bCs/>
          <w:szCs w:val="72"/>
          <w:lang w:val="sr-Cyrl-CS"/>
        </w:rPr>
        <w:t>4. ризик ликвидности</w:t>
      </w:r>
    </w:p>
    <w:p w14:paraId="4E1AE4A3" w14:textId="77777777" w:rsidR="00F24B7F" w:rsidRPr="00F27A03" w:rsidRDefault="00F24B7F" w:rsidP="00DB0157">
      <w:pPr>
        <w:numPr>
          <w:ilvl w:val="1"/>
          <w:numId w:val="11"/>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перманентно одржавање нивоа готовине на рачунима Републике Србије на нивоу који омогућава несметано финансирање обавеза у минимуму од четири месеца и на нивоу који омогућава апсорпцију евентуалних мањих прилива по основу задуживања у односу на план;</w:t>
      </w:r>
    </w:p>
    <w:p w14:paraId="78C21941" w14:textId="77777777" w:rsidR="00F24B7F" w:rsidRPr="00F27A03" w:rsidRDefault="00F24B7F" w:rsidP="00DB0157">
      <w:pPr>
        <w:numPr>
          <w:ilvl w:val="1"/>
          <w:numId w:val="11"/>
        </w:numPr>
        <w:spacing w:after="120"/>
        <w:ind w:left="181" w:hanging="181"/>
        <w:rPr>
          <w:rFonts w:ascii="Calibri" w:eastAsia="Calibri" w:hAnsi="Calibri" w:cs="Calibri"/>
          <w:bCs/>
          <w:szCs w:val="72"/>
          <w:lang w:val="sr-Cyrl-CS"/>
        </w:rPr>
      </w:pPr>
      <w:r w:rsidRPr="00F27A03">
        <w:rPr>
          <w:rFonts w:ascii="Calibri" w:eastAsia="Calibri" w:hAnsi="Calibri" w:cs="Calibri"/>
          <w:bCs/>
          <w:szCs w:val="72"/>
          <w:lang w:val="sr-Cyrl-CS"/>
        </w:rPr>
        <w:t>адекватно управљање слободним готовинским средствима на рачунима Републике Србије у складу са принципима asset-liability management и у складу са могућностима;</w:t>
      </w:r>
    </w:p>
    <w:p w14:paraId="494FBCDD" w14:textId="77777777" w:rsidR="00F24B7F" w:rsidRPr="00F27A03" w:rsidRDefault="00F24B7F" w:rsidP="00C91F83">
      <w:pPr>
        <w:spacing w:after="60"/>
        <w:rPr>
          <w:rFonts w:ascii="Calibri" w:eastAsia="Calibri" w:hAnsi="Calibri" w:cs="Calibri"/>
          <w:bCs/>
          <w:szCs w:val="72"/>
          <w:lang w:val="sr-Cyrl-CS"/>
        </w:rPr>
      </w:pPr>
      <w:r w:rsidRPr="00F27A03">
        <w:rPr>
          <w:rFonts w:ascii="Calibri" w:eastAsia="Calibri" w:hAnsi="Calibri" w:cs="Calibri"/>
          <w:bCs/>
          <w:szCs w:val="72"/>
          <w:lang w:val="sr-Cyrl-CS"/>
        </w:rPr>
        <w:t>5. кредитни и оперативни ризици</w:t>
      </w:r>
    </w:p>
    <w:p w14:paraId="130D33A5" w14:textId="77777777" w:rsidR="00F24B7F" w:rsidRPr="00F27A03" w:rsidRDefault="00F24B7F" w:rsidP="00DB0157">
      <w:pPr>
        <w:numPr>
          <w:ilvl w:val="1"/>
          <w:numId w:val="12"/>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спровођење трансакција са финансијским дериватима само са финансијским институцијама које имају висок кредитни рејтинг;</w:t>
      </w:r>
    </w:p>
    <w:p w14:paraId="7C82EDBF" w14:textId="77777777" w:rsidR="00F24B7F" w:rsidRPr="00F27A03" w:rsidRDefault="00F24B7F" w:rsidP="00DB0157">
      <w:pPr>
        <w:numPr>
          <w:ilvl w:val="1"/>
          <w:numId w:val="12"/>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коришћење финансијских инструмената који лимитирају кредитни ризик;</w:t>
      </w:r>
    </w:p>
    <w:p w14:paraId="45E7AA0E" w14:textId="77777777" w:rsidR="00F24B7F" w:rsidRPr="00F27A03" w:rsidRDefault="00F24B7F" w:rsidP="00DB0157">
      <w:pPr>
        <w:numPr>
          <w:ilvl w:val="1"/>
          <w:numId w:val="12"/>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давање гаранција и одобравање новог дуга јединицама локалне самоуправе само ако постоји адекватна анализа о релативно ниском степену вероватноће да се реализује гаранција или да јединица локалне самоуправе постане несолвентна у средњорочном периоду;</w:t>
      </w:r>
    </w:p>
    <w:p w14:paraId="6373A3B1" w14:textId="77777777" w:rsidR="00F24B7F" w:rsidRPr="00F27A03" w:rsidRDefault="00F24B7F" w:rsidP="002B0A7B">
      <w:pPr>
        <w:numPr>
          <w:ilvl w:val="0"/>
          <w:numId w:val="5"/>
        </w:numPr>
        <w:tabs>
          <w:tab w:val="left" w:pos="90"/>
        </w:tabs>
        <w:spacing w:after="120"/>
        <w:ind w:left="181" w:hanging="181"/>
        <w:rPr>
          <w:rFonts w:ascii="Calibri" w:eastAsia="Calibri" w:hAnsi="Calibri" w:cs="Calibri"/>
          <w:bCs/>
          <w:szCs w:val="72"/>
          <w:lang w:val="sr-Cyrl-CS"/>
        </w:rPr>
      </w:pPr>
      <w:r w:rsidRPr="00F27A03">
        <w:rPr>
          <w:rFonts w:ascii="Calibri" w:eastAsia="Calibri" w:hAnsi="Calibri" w:cs="Calibri"/>
          <w:bCs/>
          <w:szCs w:val="72"/>
          <w:lang w:val="sr-Cyrl-CS"/>
        </w:rPr>
        <w:t>увођење адекватне контроле у свим пословним активностима у Управи за јавни дуг и унапређење знања запослених;</w:t>
      </w:r>
    </w:p>
    <w:p w14:paraId="665B9783" w14:textId="77777777" w:rsidR="00F24B7F" w:rsidRPr="00F27A03" w:rsidRDefault="00F24B7F" w:rsidP="002B0A7B">
      <w:pPr>
        <w:tabs>
          <w:tab w:val="left" w:pos="90"/>
        </w:tabs>
        <w:spacing w:after="60"/>
        <w:ind w:left="181" w:hanging="181"/>
        <w:rPr>
          <w:rFonts w:ascii="Calibri" w:eastAsia="Calibri" w:hAnsi="Calibri" w:cs="Calibri"/>
          <w:bCs/>
          <w:szCs w:val="72"/>
          <w:lang w:val="sr-Cyrl-CS"/>
        </w:rPr>
      </w:pPr>
      <w:r w:rsidRPr="00F27A03">
        <w:rPr>
          <w:rFonts w:ascii="Calibri" w:eastAsia="Calibri" w:hAnsi="Calibri" w:cs="Calibri"/>
          <w:bCs/>
          <w:szCs w:val="72"/>
          <w:lang w:val="sr-Cyrl-CS"/>
        </w:rPr>
        <w:t>6. ризици везани за дистрибуцију трошкова сервисирања</w:t>
      </w:r>
    </w:p>
    <w:p w14:paraId="62D0711A" w14:textId="77777777" w:rsidR="00F24B7F" w:rsidRPr="00F27A03" w:rsidRDefault="00F24B7F" w:rsidP="002B0A7B">
      <w:pPr>
        <w:numPr>
          <w:ilvl w:val="0"/>
          <w:numId w:val="5"/>
        </w:numPr>
        <w:tabs>
          <w:tab w:val="left" w:pos="90"/>
        </w:tabs>
        <w:ind w:left="181" w:hanging="181"/>
        <w:contextualSpacing/>
        <w:rPr>
          <w:rFonts w:ascii="Calibri" w:eastAsia="Calibri" w:hAnsi="Calibri" w:cs="Calibri"/>
          <w:bCs/>
          <w:szCs w:val="72"/>
          <w:lang w:val="sr-Cyrl-CS"/>
        </w:rPr>
      </w:pPr>
      <w:r w:rsidRPr="00F27A03">
        <w:rPr>
          <w:rFonts w:ascii="Calibri" w:eastAsia="Calibri" w:hAnsi="Calibri" w:cs="Calibri"/>
          <w:bCs/>
          <w:szCs w:val="72"/>
          <w:lang w:val="sr-Cyrl-CS"/>
        </w:rPr>
        <w:t>адекватно планирање задуживања на годишњем нивоу и равномерна расподела у наредним годинама и током фискалне године како би се избегао ризик велике концентрације обавеза за рефинансирање;</w:t>
      </w:r>
    </w:p>
    <w:p w14:paraId="718FDD97" w14:textId="77777777" w:rsidR="00F24B7F" w:rsidRPr="00F27A03" w:rsidRDefault="00F24B7F" w:rsidP="002B0A7B">
      <w:pPr>
        <w:numPr>
          <w:ilvl w:val="0"/>
          <w:numId w:val="5"/>
        </w:numPr>
        <w:tabs>
          <w:tab w:val="left" w:pos="90"/>
        </w:tabs>
        <w:ind w:left="181" w:hanging="181"/>
        <w:rPr>
          <w:rFonts w:ascii="Calibri" w:eastAsia="Calibri" w:hAnsi="Calibri" w:cs="Calibri"/>
          <w:bCs/>
          <w:szCs w:val="72"/>
          <w:lang w:val="sr-Cyrl-CS"/>
        </w:rPr>
      </w:pPr>
      <w:r w:rsidRPr="00F27A03">
        <w:rPr>
          <w:rFonts w:ascii="Calibri" w:eastAsia="Calibri" w:hAnsi="Calibri" w:cs="Calibri"/>
          <w:bCs/>
          <w:szCs w:val="72"/>
          <w:lang w:val="sr-Cyrl-CS"/>
        </w:rPr>
        <w:t xml:space="preserve">избегавање концентрације обавеза по основу јавног дуга на месечном нивоу, који не би могао </w:t>
      </w:r>
      <w:r w:rsidRPr="00F27A03">
        <w:rPr>
          <w:rFonts w:ascii="Calibri" w:eastAsia="Calibri" w:hAnsi="Calibri" w:cs="Calibri"/>
          <w:bCs/>
          <w:szCs w:val="72"/>
          <w:lang w:val="sr-Cyrl-CS"/>
        </w:rPr>
        <w:t>бити амортизован слободним новчаним средствима на рачунима Републике Србије.</w:t>
      </w:r>
    </w:p>
    <w:p w14:paraId="3734E051" w14:textId="77777777" w:rsidR="00F24B7F" w:rsidRPr="00F27A03" w:rsidRDefault="00F24B7F" w:rsidP="00C91F83">
      <w:pPr>
        <w:tabs>
          <w:tab w:val="left" w:pos="90"/>
        </w:tabs>
        <w:rPr>
          <w:rFonts w:ascii="Calibri" w:eastAsia="Calibri" w:hAnsi="Calibri" w:cs="Calibri"/>
          <w:bCs/>
          <w:szCs w:val="72"/>
          <w:lang w:val="sr-Cyrl-CS"/>
        </w:rPr>
      </w:pPr>
      <w:r w:rsidRPr="00F27A03">
        <w:rPr>
          <w:rFonts w:ascii="Calibri" w:eastAsia="Calibri" w:hAnsi="Calibri" w:cs="Calibri"/>
          <w:bCs/>
          <w:szCs w:val="72"/>
          <w:lang w:val="sr-Cyrl-CS"/>
        </w:rPr>
        <w:t>Захваљујући спровођењу дефинисаних мера у претходних неколико година дошло је до значајног побољшања структуре јавног дуга у скоро свим сегментима – побољшане су валутна структура и структура каматних стопа, значајно повећана рочност, смањени трошкови задуживања, смањен гарантовани јавни дуг, долази до равномерније расподеле обавеза уз перманентно одржавање адекватног нивоа ликвидности. Примера ради, на централном нивоу власти удео јавног дуга у динарима је порастао са 20,9%, колико је износио на крају 2016. године, на 25,4% на крају септембра 2022. године. У истом временском интервалу удео јавног дуга у америчким доларима се смањио са 33,9% на 12,5%. Удео дуга са фиксном каматном стопом је у периоду од 2013. године до септембра 2022. године порастао са 73,2% на 82,5%. У истом периоду је дошло до пада гарантованог дуга са 2,8 млрд евра на 1,6 млрд евра и пада просечно пондерисане каматне стопе на јавни дуг са 5,64% на 2,56%.</w:t>
      </w:r>
    </w:p>
    <w:p w14:paraId="028E6403" w14:textId="77777777" w:rsidR="00F24B7F" w:rsidRPr="00F27A03" w:rsidRDefault="00F24B7F" w:rsidP="00ED5386">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Анализе коришћене приликом израде Стратегије за управљање јавним дугом</w:t>
      </w:r>
    </w:p>
    <w:p w14:paraId="2B9F7FBD"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За формулисање Стратегије за управљање јавним дугом коришћен је квантитативни приступ у анализи трошкова и ризика који утичу на управљање јавним дугом.</w:t>
      </w:r>
    </w:p>
    <w:p w14:paraId="20F4356E"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Имајући у виду макроекономско окружење и тржишне услове, упоредно се разматрају алтернативни извори финансирања.</w:t>
      </w:r>
    </w:p>
    <w:p w14:paraId="53B2772E"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У сврху анализе коришћени су инструменти доступни на домаћем и међународном финансијском тржишту.</w:t>
      </w:r>
    </w:p>
    <w:p w14:paraId="0092FEB9" w14:textId="77777777" w:rsidR="00F24B7F" w:rsidRPr="00F27A03" w:rsidRDefault="00F24B7F" w:rsidP="002B0A7B">
      <w:pPr>
        <w:spacing w:after="120"/>
        <w:rPr>
          <w:rFonts w:ascii="Calibri" w:eastAsia="Calibri" w:hAnsi="Calibri" w:cs="Calibri"/>
          <w:bCs/>
          <w:szCs w:val="72"/>
          <w:lang w:val="sr-Cyrl-CS"/>
        </w:rPr>
      </w:pPr>
      <w:r w:rsidRPr="00F27A03">
        <w:rPr>
          <w:rFonts w:ascii="Calibri" w:eastAsia="Calibri" w:hAnsi="Calibri" w:cs="Calibri"/>
          <w:bCs/>
          <w:szCs w:val="72"/>
          <w:lang w:val="sr-Cyrl-CS"/>
        </w:rPr>
        <w:t>Извори финансирања деноминовани у страној валути:</w:t>
      </w:r>
    </w:p>
    <w:p w14:paraId="2242BEF9" w14:textId="77777777" w:rsidR="00F24B7F" w:rsidRPr="00F27A03" w:rsidRDefault="00F24B7F" w:rsidP="00ED5386">
      <w:pPr>
        <w:numPr>
          <w:ilvl w:val="0"/>
          <w:numId w:val="6"/>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Зајмови страних влада и међународних финансијских институција, као и домаћих пословних банака – приказани као концесионални инструменти деноминовани у еврима или америчким доларима, са фиксном или варијабилном каматном стопом;</w:t>
      </w:r>
    </w:p>
    <w:p w14:paraId="75A52009" w14:textId="77777777" w:rsidR="00F24B7F" w:rsidRPr="00F27A03" w:rsidRDefault="00F24B7F" w:rsidP="00ED5386">
      <w:pPr>
        <w:numPr>
          <w:ilvl w:val="0"/>
          <w:numId w:val="6"/>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lastRenderedPageBreak/>
        <w:t>Домаћи дуг деноминован у еврима исказан кроз два инструмента – државни записи и државне обвезнице емитоване на домаћем финансијском тржишту и иностраном тржишту;</w:t>
      </w:r>
    </w:p>
    <w:p w14:paraId="5ACAECD8" w14:textId="0F7B0552" w:rsidR="00F24B7F" w:rsidRPr="00F27A03" w:rsidRDefault="00F24B7F" w:rsidP="00ED5386">
      <w:pPr>
        <w:numPr>
          <w:ilvl w:val="0"/>
          <w:numId w:val="6"/>
        </w:numPr>
        <w:ind w:left="180" w:hanging="180"/>
        <w:contextualSpacing/>
        <w:rPr>
          <w:rFonts w:ascii="Calibri" w:eastAsia="Calibri" w:hAnsi="Calibri" w:cs="Calibri"/>
          <w:bCs/>
          <w:szCs w:val="72"/>
          <w:lang w:val="sr-Cyrl-CS"/>
        </w:rPr>
      </w:pPr>
      <w:r w:rsidRPr="00F27A03">
        <w:rPr>
          <w:rFonts w:ascii="Calibri" w:eastAsia="Calibri" w:hAnsi="Calibri" w:cs="Calibri"/>
          <w:bCs/>
          <w:szCs w:val="72"/>
          <w:lang w:val="sr-Cyrl-CS"/>
        </w:rPr>
        <w:t>Еврообвезница (е</w:t>
      </w:r>
      <w:r w:rsidR="002B0A7B" w:rsidRPr="00F27A03">
        <w:rPr>
          <w:rFonts w:ascii="Calibri" w:eastAsia="Calibri" w:hAnsi="Calibri" w:cs="Calibri"/>
          <w:bCs/>
          <w:szCs w:val="72"/>
          <w:lang w:val="sr-Cyrl-CS"/>
        </w:rPr>
        <w:t>в</w:t>
      </w:r>
      <w:r w:rsidRPr="00F27A03">
        <w:rPr>
          <w:rFonts w:ascii="Calibri" w:eastAsia="Calibri" w:hAnsi="Calibri" w:cs="Calibri"/>
          <w:bCs/>
          <w:szCs w:val="72"/>
          <w:lang w:val="sr-Cyrl-CS"/>
        </w:rPr>
        <w:t>робонд) – емитована у еврима или америчким доларима на међународном финансијском тржишту.</w:t>
      </w:r>
    </w:p>
    <w:p w14:paraId="35ED0E89" w14:textId="77777777" w:rsidR="00F24B7F" w:rsidRPr="00F27A03" w:rsidRDefault="00F24B7F" w:rsidP="00ED5386">
      <w:pPr>
        <w:ind w:left="180"/>
        <w:contextualSpacing/>
        <w:rPr>
          <w:rFonts w:ascii="Calibri" w:eastAsia="Calibri" w:hAnsi="Calibri" w:cs="Calibri"/>
          <w:bCs/>
          <w:szCs w:val="72"/>
          <w:lang w:val="sr-Cyrl-CS"/>
        </w:rPr>
      </w:pPr>
    </w:p>
    <w:p w14:paraId="62535F1B" w14:textId="77777777" w:rsidR="00F24B7F" w:rsidRPr="00F27A03" w:rsidRDefault="00F24B7F" w:rsidP="002B0A7B">
      <w:pPr>
        <w:spacing w:after="120"/>
        <w:rPr>
          <w:rFonts w:ascii="Calibri" w:eastAsia="Calibri" w:hAnsi="Calibri" w:cs="Calibri"/>
          <w:bCs/>
          <w:szCs w:val="72"/>
          <w:lang w:val="sr-Cyrl-CS"/>
        </w:rPr>
      </w:pPr>
      <w:r w:rsidRPr="00F27A03">
        <w:rPr>
          <w:rFonts w:ascii="Calibri" w:eastAsia="Calibri" w:hAnsi="Calibri" w:cs="Calibri"/>
          <w:bCs/>
          <w:szCs w:val="72"/>
          <w:lang w:val="sr-Cyrl-CS"/>
        </w:rPr>
        <w:t>Извори финансирања у домаћој валути:</w:t>
      </w:r>
    </w:p>
    <w:p w14:paraId="337477A2" w14:textId="77777777" w:rsidR="00F24B7F" w:rsidRPr="00F27A03" w:rsidRDefault="00F24B7F" w:rsidP="00ED5386">
      <w:pPr>
        <w:numPr>
          <w:ilvl w:val="1"/>
          <w:numId w:val="7"/>
        </w:numPr>
        <w:ind w:left="181" w:hanging="181"/>
        <w:rPr>
          <w:rFonts w:ascii="Calibri" w:eastAsia="Calibri" w:hAnsi="Calibri" w:cs="Calibri"/>
          <w:bCs/>
          <w:szCs w:val="72"/>
          <w:lang w:val="sr-Cyrl-CS"/>
        </w:rPr>
      </w:pPr>
      <w:r w:rsidRPr="00F27A03">
        <w:rPr>
          <w:rFonts w:ascii="Calibri" w:eastAsia="Calibri" w:hAnsi="Calibri" w:cs="Calibri"/>
          <w:bCs/>
          <w:szCs w:val="72"/>
          <w:lang w:val="sr-Cyrl-CS"/>
        </w:rPr>
        <w:t>Све државне хартије од вредности деноминоване у динарима груписане су на државне записе (са роковима доспећа до 53 недеље) и државне обвезнице (са роковима доспећа од две године и више).</w:t>
      </w:r>
    </w:p>
    <w:p w14:paraId="161E601D" w14:textId="77777777" w:rsidR="00F24B7F" w:rsidRPr="00F27A03" w:rsidRDefault="00F24B7F" w:rsidP="00ED5386">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Будуће тржишне каматне стопе и сценарио анализа</w:t>
      </w:r>
    </w:p>
    <w:p w14:paraId="2659FF58"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Након избора одговарајуће композиције извора финансирања (изабране и компаративних стратегија финансирања), приступа се анализи трошкова и ризика полазећи од основног (највероватнијег) сценарија, након чега се врши стрес тестирање за додатне врсте сценарија –шокова, како би се добио преглед ефеката коштања разматраних стратегија.</w:t>
      </w:r>
    </w:p>
    <w:p w14:paraId="65A59F65"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Основни сценарио се базира на највише вероватним тржишним условима за три групе тржишних варијабли: девизни курс, каматне стопе на међународном тржишту и каматне стопе на домаћем тржишту. Приступ за динарске и евро каматне стопе заснива се на стопама оствареним током претходне и текуће године.</w:t>
      </w:r>
    </w:p>
    <w:p w14:paraId="1DE0CA06"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Након дефинисања основног сценарија, у циљу стрес тестирања одабране су додатне врсте сценарија – шокова:</w:t>
      </w:r>
    </w:p>
    <w:p w14:paraId="53B303F9" w14:textId="77777777" w:rsidR="00F24B7F" w:rsidRPr="00F27A03" w:rsidRDefault="00F24B7F" w:rsidP="00ED5386">
      <w:pPr>
        <w:pStyle w:val="ListParagraph"/>
        <w:numPr>
          <w:ilvl w:val="2"/>
          <w:numId w:val="6"/>
        </w:numPr>
        <w:spacing w:after="60"/>
        <w:ind w:left="227" w:hanging="227"/>
        <w:contextualSpacing w:val="0"/>
        <w:rPr>
          <w:rFonts w:ascii="Calibri" w:eastAsia="Calibri" w:hAnsi="Calibri" w:cs="Calibri"/>
          <w:bCs/>
          <w:szCs w:val="72"/>
          <w:lang w:val="sr-Cyrl-CS"/>
        </w:rPr>
      </w:pPr>
      <w:r w:rsidRPr="00F27A03">
        <w:rPr>
          <w:rFonts w:ascii="Calibri" w:eastAsia="Calibri" w:hAnsi="Calibri" w:cs="Calibri"/>
          <w:bCs/>
          <w:szCs w:val="72"/>
          <w:lang w:val="sr-Cyrl-CS"/>
        </w:rPr>
        <w:t>Депрецијација динара у односу на све валуте од 15% у 2024.</w:t>
      </w:r>
      <w:r w:rsidRPr="00F27A03">
        <w:rPr>
          <w:rFonts w:ascii="Calibri" w:eastAsia="Calibri" w:hAnsi="Calibri" w:cs="Calibri"/>
          <w:bCs/>
          <w:color w:val="FF0000"/>
          <w:szCs w:val="72"/>
          <w:lang w:val="sr-Cyrl-CS"/>
        </w:rPr>
        <w:t xml:space="preserve"> </w:t>
      </w:r>
      <w:r w:rsidRPr="00F27A03">
        <w:rPr>
          <w:rFonts w:ascii="Calibri" w:eastAsia="Calibri" w:hAnsi="Calibri" w:cs="Calibri"/>
          <w:bCs/>
          <w:szCs w:val="72"/>
          <w:lang w:val="sr-Cyrl-CS"/>
        </w:rPr>
        <w:t>години. У овом сценарију однос евра и америчког долара би остао стабилан, док би само динар депрецирао у односу на обе валуте;</w:t>
      </w:r>
    </w:p>
    <w:p w14:paraId="15AC3F5A" w14:textId="77777777" w:rsidR="00F24B7F" w:rsidRPr="00F27A03" w:rsidRDefault="00F24B7F" w:rsidP="00ED5386">
      <w:pPr>
        <w:pStyle w:val="ListParagraph"/>
        <w:numPr>
          <w:ilvl w:val="2"/>
          <w:numId w:val="6"/>
        </w:numPr>
        <w:spacing w:after="60"/>
        <w:ind w:left="227" w:hanging="227"/>
        <w:contextualSpacing w:val="0"/>
        <w:rPr>
          <w:rFonts w:ascii="Calibri" w:eastAsia="Calibri" w:hAnsi="Calibri" w:cs="Calibri"/>
          <w:bCs/>
          <w:szCs w:val="72"/>
          <w:lang w:val="sr-Cyrl-CS"/>
        </w:rPr>
      </w:pPr>
      <w:r w:rsidRPr="00F27A03">
        <w:rPr>
          <w:rFonts w:ascii="Calibri" w:eastAsia="Calibri" w:hAnsi="Calibri" w:cs="Calibri"/>
          <w:bCs/>
          <w:szCs w:val="72"/>
          <w:lang w:val="sr-Cyrl-CS"/>
        </w:rPr>
        <w:t>Повећање каматних стопа на домаћем и међународном тржишту за око 2 п.п.;</w:t>
      </w:r>
    </w:p>
    <w:p w14:paraId="0C0715A6" w14:textId="77777777" w:rsidR="00F24B7F" w:rsidRPr="00F27A03" w:rsidRDefault="00F24B7F" w:rsidP="00ED5386">
      <w:pPr>
        <w:pStyle w:val="ListParagraph"/>
        <w:numPr>
          <w:ilvl w:val="2"/>
          <w:numId w:val="6"/>
        </w:numPr>
        <w:spacing w:after="60"/>
        <w:ind w:left="227" w:hanging="227"/>
        <w:contextualSpacing w:val="0"/>
        <w:rPr>
          <w:rFonts w:ascii="Calibri" w:eastAsia="Calibri" w:hAnsi="Calibri" w:cs="Calibri"/>
          <w:bCs/>
          <w:spacing w:val="-4"/>
          <w:szCs w:val="72"/>
          <w:lang w:val="sr-Cyrl-CS"/>
        </w:rPr>
      </w:pPr>
      <w:r w:rsidRPr="00F27A03">
        <w:rPr>
          <w:rFonts w:ascii="Calibri" w:eastAsia="Calibri" w:hAnsi="Calibri" w:cs="Calibri"/>
          <w:bCs/>
          <w:spacing w:val="-4"/>
          <w:szCs w:val="72"/>
          <w:lang w:val="sr-Cyrl-CS"/>
        </w:rPr>
        <w:t>Повећање каматних стопа на међународном тржишту до 3 п.п., а на домаћем тржишту до 4 п.п.;</w:t>
      </w:r>
    </w:p>
    <w:p w14:paraId="06D62C64" w14:textId="77777777" w:rsidR="00F24B7F" w:rsidRPr="00F27A03" w:rsidRDefault="00F24B7F" w:rsidP="00ED5386">
      <w:pPr>
        <w:pStyle w:val="ListParagraph"/>
        <w:numPr>
          <w:ilvl w:val="2"/>
          <w:numId w:val="6"/>
        </w:numPr>
        <w:ind w:left="227" w:hanging="227"/>
        <w:rPr>
          <w:rFonts w:ascii="Calibri" w:eastAsia="Calibri" w:hAnsi="Calibri" w:cs="Calibri"/>
          <w:bCs/>
          <w:szCs w:val="72"/>
          <w:lang w:val="sr-Cyrl-CS"/>
        </w:rPr>
      </w:pPr>
      <w:r w:rsidRPr="00F27A03">
        <w:rPr>
          <w:rFonts w:ascii="Calibri" w:eastAsia="Calibri" w:hAnsi="Calibri" w:cs="Calibri"/>
          <w:bCs/>
          <w:szCs w:val="72"/>
          <w:lang w:val="sr-Cyrl-CS"/>
        </w:rPr>
        <w:t>Комбиновани шок који се односи на депрецијацију динара у односу на долар 15% у 2024. години и раст каматних стопа за око 2 п.п.</w:t>
      </w:r>
    </w:p>
    <w:p w14:paraId="6171BCD0" w14:textId="77777777" w:rsidR="00F24B7F" w:rsidRPr="00F27A03" w:rsidRDefault="00F24B7F" w:rsidP="00ED5386">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Алтернативне стратегије задуживања за период 2023–2025. година</w:t>
      </w:r>
    </w:p>
    <w:p w14:paraId="63655226"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 xml:space="preserve">На бази модела Светске банке </w:t>
      </w:r>
      <w:r w:rsidRPr="00F27A03">
        <w:rPr>
          <w:rFonts w:ascii="Calibri" w:eastAsia="Calibri" w:hAnsi="Calibri" w:cs="Calibri"/>
          <w:bCs/>
          <w:i/>
          <w:szCs w:val="72"/>
          <w:lang w:val="sr-Cyrl-CS"/>
        </w:rPr>
        <w:t>Medium Term Debt Strategy Model</w:t>
      </w:r>
      <w:r w:rsidRPr="00F27A03">
        <w:rPr>
          <w:rFonts w:ascii="Calibri" w:eastAsia="Calibri" w:hAnsi="Calibri" w:cs="Calibri"/>
          <w:bCs/>
          <w:szCs w:val="72"/>
          <w:lang w:val="sr-Cyrl-CS"/>
        </w:rPr>
        <w:t xml:space="preserve"> – MTDS, анализиране алтернативне стратегије задуживања су:</w:t>
      </w:r>
    </w:p>
    <w:p w14:paraId="410D6CCC" w14:textId="65E6E5B9"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Основна стратегија (С1): представља стратегију која укупне потребе за финансирањем покрива већим делом из извора финансирања у ст</w:t>
      </w:r>
      <w:r w:rsidR="00D22C99" w:rsidRPr="00F27A03">
        <w:rPr>
          <w:rFonts w:ascii="Calibri" w:eastAsia="Calibri" w:hAnsi="Calibri" w:cs="Calibri"/>
          <w:bCs/>
          <w:szCs w:val="72"/>
          <w:lang w:val="sr-Cyrl-CS"/>
        </w:rPr>
        <w:t>раној валути у току 2023. – 81%</w:t>
      </w:r>
      <w:r w:rsidRPr="00F27A03">
        <w:rPr>
          <w:rFonts w:ascii="Calibri" w:eastAsia="Calibri" w:hAnsi="Calibri" w:cs="Calibri"/>
          <w:bCs/>
          <w:szCs w:val="72"/>
          <w:lang w:val="sr-Cyrl-CS"/>
        </w:rPr>
        <w:t xml:space="preserve">, 2024. – 82,5% и 2025. године 73,5%. Током 2023. и 2024. године буџетско финансирање предвиђа финансирање претежно у страној валути (71-72%) емисијом државних хартија од вредности на иностраном тржишту, емисијом еврообвезница и коришћењем средстава из аранжмана са Међународним </w:t>
      </w:r>
      <w:r w:rsidR="000D3521" w:rsidRPr="00F27A03">
        <w:rPr>
          <w:rFonts w:ascii="Calibri" w:eastAsia="Calibri" w:hAnsi="Calibri" w:cs="Calibri"/>
          <w:bCs/>
          <w:szCs w:val="72"/>
          <w:lang w:val="sr-Cyrl-CS"/>
        </w:rPr>
        <w:t>монетарним фондом, док би оста</w:t>
      </w:r>
      <w:r w:rsidRPr="00F27A03">
        <w:rPr>
          <w:rFonts w:ascii="Calibri" w:eastAsia="Calibri" w:hAnsi="Calibri" w:cs="Calibri"/>
          <w:bCs/>
          <w:szCs w:val="72"/>
          <w:lang w:val="sr-Cyrl-CS"/>
        </w:rPr>
        <w:t>так требао да се обезбеди емисијом државних хартија од вредности у домаћој валути. У 2025. години планира се успостављање уравнотеженог фина</w:t>
      </w:r>
      <w:r w:rsidR="000D3521" w:rsidRPr="00F27A03">
        <w:rPr>
          <w:rFonts w:ascii="Calibri" w:eastAsia="Calibri" w:hAnsi="Calibri" w:cs="Calibri"/>
          <w:bCs/>
          <w:szCs w:val="72"/>
          <w:lang w:val="sr-Cyrl-CS"/>
        </w:rPr>
        <w:t>н</w:t>
      </w:r>
      <w:r w:rsidRPr="00F27A03">
        <w:rPr>
          <w:rFonts w:ascii="Calibri" w:eastAsia="Calibri" w:hAnsi="Calibri" w:cs="Calibri"/>
          <w:bCs/>
          <w:szCs w:val="72"/>
          <w:lang w:val="sr-Cyrl-CS"/>
        </w:rPr>
        <w:t>сирања буџетских потреба из домаће и страних валута путем емисије државних хартија од вредности на домаћем тржишту и емисијом еврообвезница на иностраном тржишту. Пројектно финансирање, као и у претходним годинама, обезбеђује се највећим делом из кредита деноминованих у страној валути од иностраних поверилаца.</w:t>
      </w:r>
    </w:p>
    <w:p w14:paraId="3B13A4A7"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Стратегија (С2): у односу на стратегију С1, целокупне потребе за финансирањем задовољавају се емисијом еврообвезница у доларима, рочности десет и петнаест година.</w:t>
      </w:r>
    </w:p>
    <w:p w14:paraId="7BA06CA3"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Стратегија (С3): у односу на стратегију С1, представља стратегију која целокупно финансирање заснива на емисијама еврообвезница у еврима рочности десет и петнаест година.</w:t>
      </w:r>
    </w:p>
    <w:p w14:paraId="54749E7A"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Стратегија додатне динаризације (С4): представља стратегију која целокупно финансирање заснива на емисијама динарских хартија од вредности.</w:t>
      </w:r>
    </w:p>
    <w:p w14:paraId="18F09281" w14:textId="77777777" w:rsidR="00F24B7F" w:rsidRPr="00F27A03" w:rsidRDefault="00F24B7F" w:rsidP="00ED5386">
      <w:pPr>
        <w:rPr>
          <w:rFonts w:ascii="Calibri" w:eastAsia="Calibri" w:hAnsi="Calibri" w:cs="Calibri"/>
          <w:bCs/>
          <w:szCs w:val="72"/>
          <w:lang w:val="sr-Cyrl-CS"/>
        </w:rPr>
      </w:pPr>
    </w:p>
    <w:p w14:paraId="60310CB8" w14:textId="77777777" w:rsidR="00F24B7F" w:rsidRPr="00F27A03" w:rsidRDefault="00F24B7F" w:rsidP="00746584">
      <w:pPr>
        <w:rPr>
          <w:lang w:val="sr-Cyrl-CS"/>
        </w:rPr>
      </w:pPr>
    </w:p>
    <w:p w14:paraId="54C1CEFA" w14:textId="77777777" w:rsidR="00F24B7F" w:rsidRPr="00F27A03" w:rsidRDefault="00F24B7F" w:rsidP="00ED5386">
      <w:pPr>
        <w:spacing w:line="256" w:lineRule="auto"/>
        <w:rPr>
          <w:rFonts w:ascii="Calibri" w:eastAsia="Calibri" w:hAnsi="Calibri" w:cs="Calibri"/>
          <w:bCs/>
          <w:szCs w:val="72"/>
          <w:lang w:val="sr-Cyrl-CS"/>
        </w:rPr>
      </w:pPr>
      <w:r w:rsidRPr="00F27A03">
        <w:rPr>
          <w:rFonts w:ascii="Calibri" w:eastAsia="Calibri" w:hAnsi="Calibri" w:cs="Times New Roman"/>
          <w:b/>
          <w:color w:val="2F5496" w:themeColor="accent1" w:themeShade="BF"/>
          <w:sz w:val="22"/>
          <w:lang w:val="sr-Cyrl-CS"/>
        </w:rPr>
        <w:lastRenderedPageBreak/>
        <w:t>Поређење алтернативних стратегија</w:t>
      </w:r>
    </w:p>
    <w:p w14:paraId="2A2E2862"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За поређење алтернативних стратегија задуживања примењене су две мере трошкова: однос јавног дуга према БДП и номинална камата као проценат БДП. Први однос је индикатор стања, а други индикатор тока. У циљу поређења, пажња је усмерена на резултате разматраних стратегија на крају 2025. године.</w:t>
      </w:r>
    </w:p>
    <w:p w14:paraId="47D01017"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pacing w:val="-2"/>
          <w:szCs w:val="72"/>
          <w:lang w:val="sr-Cyrl-CS"/>
        </w:rPr>
        <w:t xml:space="preserve">На основу графикона јасно се уочавају трошкови које свака од разматраних стратегија носи са собом. </w:t>
      </w:r>
      <w:r w:rsidRPr="00F27A03">
        <w:rPr>
          <w:rFonts w:ascii="Calibri" w:eastAsia="Calibri" w:hAnsi="Calibri" w:cs="Calibri"/>
          <w:bCs/>
          <w:szCs w:val="72"/>
          <w:lang w:val="sr-Cyrl-CS"/>
        </w:rPr>
        <w:t>Трошак алтернативних стратегија при основном макроекономском сценарију приказан је на вертикалној оси графикона трошкова, док се на хоризонталној оси налази потенцијални трошак одређене стратегије задуживања (резултат стрес теста).</w:t>
      </w:r>
    </w:p>
    <w:p w14:paraId="1406300E" w14:textId="666202E4"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 xml:space="preserve">При основном макроекономском сценарију на крају 2025. године, мерено учешћем дуга у БДП стратегије са целокупним финансирањем из тржишних инструмената С2, С3 и С4 скупље су од стратегије С1 која комбинује финансирање тржишних и концесионалних инструмената. Са друге стране највећи ризик на однос дуга и БДП, ако се одступи од основног макроекономског сценарија, има промена девизног курса. Посматрано са аспекта утицаја шокова девизног курса на рацио дуга и БДП, најбољи положај има стратегија С4 јер је целокупно финансирање у динарима, док стратегије С2 и С3 имају већу изложеност ризику промени девизног </w:t>
      </w:r>
      <w:r w:rsidR="005453D2" w:rsidRPr="00F27A03">
        <w:rPr>
          <w:rFonts w:ascii="Calibri" w:eastAsia="Calibri" w:hAnsi="Calibri" w:cs="Calibri"/>
          <w:bCs/>
          <w:szCs w:val="72"/>
          <w:lang w:val="sr-Cyrl-CS"/>
        </w:rPr>
        <w:t>курса јер финансирање засновано</w:t>
      </w:r>
      <w:r w:rsidRPr="00F27A03">
        <w:rPr>
          <w:rFonts w:ascii="Calibri" w:eastAsia="Calibri" w:hAnsi="Calibri" w:cs="Calibri"/>
          <w:bCs/>
          <w:szCs w:val="72"/>
          <w:lang w:val="sr-Cyrl-CS"/>
        </w:rPr>
        <w:t xml:space="preserve"> у потпуности на изворима у страној валути. Стратегија С1 у погледу ризика промене девизног курса има нешто повољнији положај у односу на стратегију С2 и С3, из разлога што комбинује финансирање у домаћој и страној валути.</w:t>
      </w:r>
    </w:p>
    <w:p w14:paraId="4C6E3990" w14:textId="4B8A9034" w:rsidR="00F24B7F" w:rsidRPr="00F27A03" w:rsidRDefault="00F24B7F" w:rsidP="00ED5386">
      <w:pPr>
        <w:spacing w:line="256" w:lineRule="auto"/>
        <w:rPr>
          <w:rFonts w:ascii="Calibri" w:eastAsia="Calibri" w:hAnsi="Calibri" w:cs="Calibri"/>
          <w:bCs/>
          <w:szCs w:val="72"/>
          <w:lang w:val="sr-Cyrl-CS"/>
        </w:rPr>
      </w:pPr>
      <w:r w:rsidRPr="00F27A03">
        <w:rPr>
          <w:rFonts w:ascii="Calibri" w:eastAsia="Calibri" w:hAnsi="Calibri" w:cs="Calibri"/>
          <w:bCs/>
          <w:szCs w:val="72"/>
          <w:lang w:val="sr-Cyrl-CS"/>
        </w:rPr>
        <w:t xml:space="preserve">Са аспекта учешћа камата у БДП, стратегија С2 је најскупља јер су доларски инструменти са највишим стопама, следе стратегија С4 и С3, док је стратегија С1 најповољнија јер комбинује каматне стопе за тржишне и концесионалне инструменте. Резултати стрес анализе показали су да највећи ризик за промену односа камате и БДП, ако се промени основни сценарио, долази од шока промене каматних стопа који је већи на домаћем него на међународном тржишту због чега стратегија С4 има највећи ризик промене рација </w:t>
      </w:r>
      <w:r w:rsidR="005453D2" w:rsidRPr="00F27A03">
        <w:rPr>
          <w:rFonts w:ascii="Calibri" w:eastAsia="Calibri" w:hAnsi="Calibri" w:cs="Calibri"/>
          <w:bCs/>
          <w:szCs w:val="72"/>
          <w:lang w:val="sr-Cyrl-CS"/>
        </w:rPr>
        <w:t xml:space="preserve">камате и БДП. Следе стратегије </w:t>
      </w:r>
      <w:r w:rsidRPr="00F27A03">
        <w:rPr>
          <w:rFonts w:ascii="Calibri" w:eastAsia="Calibri" w:hAnsi="Calibri" w:cs="Calibri"/>
          <w:bCs/>
          <w:szCs w:val="72"/>
          <w:lang w:val="sr-Cyrl-CS"/>
        </w:rPr>
        <w:t>С2 и С3 које се састоје од тржишних инструмената који су такође подложни шоковима промене каматних стопа на међународн</w:t>
      </w:r>
      <w:r w:rsidR="005453D2" w:rsidRPr="00F27A03">
        <w:rPr>
          <w:rFonts w:ascii="Calibri" w:eastAsia="Calibri" w:hAnsi="Calibri" w:cs="Calibri"/>
          <w:bCs/>
          <w:szCs w:val="72"/>
          <w:lang w:val="sr-Cyrl-CS"/>
        </w:rPr>
        <w:t xml:space="preserve">ом тржишту, док је код С1 овај </w:t>
      </w:r>
      <w:r w:rsidRPr="00F27A03">
        <w:rPr>
          <w:rFonts w:ascii="Calibri" w:eastAsia="Calibri" w:hAnsi="Calibri" w:cs="Calibri"/>
          <w:bCs/>
          <w:szCs w:val="72"/>
          <w:lang w:val="sr-Cyrl-CS"/>
        </w:rPr>
        <w:t>ризик ублажен услед присуства концесионалних инструмената са фиксним стопама.</w:t>
      </w:r>
    </w:p>
    <w:p w14:paraId="3BA33728" w14:textId="77777777" w:rsidR="00F24B7F" w:rsidRPr="00F27A03" w:rsidRDefault="00F24B7F" w:rsidP="00ED5386">
      <w:pPr>
        <w:spacing w:line="256" w:lineRule="auto"/>
        <w:jc w:val="center"/>
        <w:rPr>
          <w:rFonts w:ascii="Calibri" w:eastAsia="Calibri" w:hAnsi="Calibri" w:cs="Times New Roman"/>
          <w:b/>
          <w:color w:val="002060"/>
          <w:lang w:val="sr-Cyrl-CS"/>
        </w:rPr>
      </w:pPr>
      <w:r w:rsidRPr="00F27A03">
        <w:rPr>
          <w:noProof/>
          <w:lang w:val="sr-Cyrl-RS" w:eastAsia="sr-Cyrl-RS"/>
        </w:rPr>
        <w:drawing>
          <wp:anchor distT="0" distB="0" distL="114300" distR="114300" simplePos="0" relativeHeight="251676160" behindDoc="0" locked="0" layoutInCell="1" allowOverlap="1" wp14:anchorId="650BBD53" wp14:editId="0E6AFA43">
            <wp:simplePos x="0" y="0"/>
            <wp:positionH relativeFrom="column">
              <wp:posOffset>0</wp:posOffset>
            </wp:positionH>
            <wp:positionV relativeFrom="paragraph">
              <wp:posOffset>160020</wp:posOffset>
            </wp:positionV>
            <wp:extent cx="2685600" cy="1389600"/>
            <wp:effectExtent l="0" t="0" r="635" b="1270"/>
            <wp:wrapNone/>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14:sizeRelH relativeFrom="margin">
              <wp14:pctWidth>0</wp14:pctWidth>
            </wp14:sizeRelH>
            <wp14:sizeRelV relativeFrom="margin">
              <wp14:pctHeight>0</wp14:pctHeight>
            </wp14:sizeRelV>
          </wp:anchor>
        </w:drawing>
      </w:r>
      <w:r w:rsidRPr="00F27A03">
        <w:rPr>
          <w:rFonts w:ascii="Calibri" w:eastAsia="Calibri" w:hAnsi="Calibri" w:cs="Times New Roman"/>
          <w:b/>
          <w:color w:val="002060"/>
          <w:lang w:val="sr-Cyrl-CS"/>
        </w:rPr>
        <w:t>Однос дуга и БДП на крају 2025. године</w:t>
      </w:r>
    </w:p>
    <w:p w14:paraId="7F87DE4E" w14:textId="77777777" w:rsidR="00F24B7F" w:rsidRPr="00F27A03" w:rsidRDefault="00F24B7F" w:rsidP="00C91F83">
      <w:pPr>
        <w:spacing w:line="256" w:lineRule="auto"/>
        <w:rPr>
          <w:rFonts w:ascii="Calibri" w:eastAsia="Calibri" w:hAnsi="Calibri" w:cs="Times New Roman"/>
          <w:b/>
          <w:color w:val="002060"/>
          <w:lang w:val="sr-Cyrl-CS"/>
        </w:rPr>
      </w:pPr>
    </w:p>
    <w:p w14:paraId="1A68624E" w14:textId="77777777" w:rsidR="00F24B7F" w:rsidRPr="00F27A03" w:rsidRDefault="00F24B7F" w:rsidP="00C91F83">
      <w:pPr>
        <w:spacing w:line="256" w:lineRule="auto"/>
        <w:rPr>
          <w:rFonts w:ascii="Calibri" w:eastAsia="Calibri" w:hAnsi="Calibri" w:cs="Times New Roman"/>
          <w:b/>
          <w:color w:val="002060"/>
          <w:lang w:val="sr-Cyrl-CS"/>
        </w:rPr>
      </w:pPr>
    </w:p>
    <w:p w14:paraId="31900980" w14:textId="77777777" w:rsidR="00F24B7F" w:rsidRPr="00F27A03" w:rsidRDefault="00F24B7F" w:rsidP="00C91F83">
      <w:pPr>
        <w:spacing w:line="256" w:lineRule="auto"/>
        <w:rPr>
          <w:rFonts w:ascii="Calibri" w:eastAsia="Calibri" w:hAnsi="Calibri" w:cs="Times New Roman"/>
          <w:b/>
          <w:color w:val="002060"/>
          <w:lang w:val="sr-Cyrl-CS"/>
        </w:rPr>
      </w:pPr>
    </w:p>
    <w:p w14:paraId="7DC9520E" w14:textId="77777777" w:rsidR="00F24B7F" w:rsidRPr="00F27A03" w:rsidRDefault="00F24B7F" w:rsidP="00C91F83">
      <w:pPr>
        <w:spacing w:line="256" w:lineRule="auto"/>
        <w:rPr>
          <w:rFonts w:ascii="Calibri" w:eastAsia="Calibri" w:hAnsi="Calibri" w:cs="Times New Roman"/>
          <w:b/>
          <w:color w:val="002060"/>
          <w:lang w:val="sr-Cyrl-CS"/>
        </w:rPr>
      </w:pPr>
    </w:p>
    <w:p w14:paraId="2F5DEC22" w14:textId="77777777" w:rsidR="00F24B7F" w:rsidRPr="00F27A03" w:rsidRDefault="00F24B7F" w:rsidP="00C91F83">
      <w:pPr>
        <w:spacing w:line="256" w:lineRule="auto"/>
        <w:rPr>
          <w:rFonts w:ascii="Calibri" w:eastAsia="Calibri" w:hAnsi="Calibri" w:cs="Times New Roman"/>
          <w:b/>
          <w:color w:val="002060"/>
          <w:lang w:val="sr-Cyrl-CS"/>
        </w:rPr>
      </w:pPr>
    </w:p>
    <w:p w14:paraId="4138905F" w14:textId="77777777" w:rsidR="00F24B7F" w:rsidRPr="00F27A03" w:rsidRDefault="00F24B7F" w:rsidP="00C91F83">
      <w:pPr>
        <w:spacing w:line="256" w:lineRule="auto"/>
        <w:jc w:val="center"/>
        <w:rPr>
          <w:rFonts w:ascii="Calibri" w:eastAsia="Calibri" w:hAnsi="Calibri" w:cs="Times New Roman"/>
          <w:b/>
          <w:color w:val="002060"/>
          <w:lang w:val="sr-Cyrl-CS"/>
        </w:rPr>
      </w:pPr>
      <w:r w:rsidRPr="00F27A03">
        <w:rPr>
          <w:noProof/>
          <w:lang w:val="sr-Cyrl-RS" w:eastAsia="sr-Cyrl-RS"/>
        </w:rPr>
        <w:drawing>
          <wp:anchor distT="0" distB="0" distL="114300" distR="114300" simplePos="0" relativeHeight="251677184" behindDoc="0" locked="0" layoutInCell="1" allowOverlap="1" wp14:anchorId="390F9F67" wp14:editId="2762FBB3">
            <wp:simplePos x="0" y="0"/>
            <wp:positionH relativeFrom="column">
              <wp:posOffset>0</wp:posOffset>
            </wp:positionH>
            <wp:positionV relativeFrom="paragraph">
              <wp:posOffset>243840</wp:posOffset>
            </wp:positionV>
            <wp:extent cx="2685415" cy="1389380"/>
            <wp:effectExtent l="0" t="0" r="635" b="1270"/>
            <wp:wrapNone/>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14:sizeRelH relativeFrom="margin">
              <wp14:pctWidth>0</wp14:pctWidth>
            </wp14:sizeRelH>
            <wp14:sizeRelV relativeFrom="margin">
              <wp14:pctHeight>0</wp14:pctHeight>
            </wp14:sizeRelV>
          </wp:anchor>
        </w:drawing>
      </w:r>
      <w:r w:rsidRPr="00F27A03">
        <w:rPr>
          <w:rFonts w:ascii="Calibri" w:eastAsia="Calibri" w:hAnsi="Calibri" w:cs="Times New Roman"/>
          <w:b/>
          <w:color w:val="002060"/>
          <w:lang w:val="sr-Cyrl-CS"/>
        </w:rPr>
        <w:t>Однос камата и БДП на крају 2025. године</w:t>
      </w:r>
    </w:p>
    <w:p w14:paraId="320752F2" w14:textId="77777777" w:rsidR="00F24B7F" w:rsidRPr="00F27A03" w:rsidRDefault="00F24B7F" w:rsidP="00C91F83">
      <w:pPr>
        <w:spacing w:line="256" w:lineRule="auto"/>
        <w:rPr>
          <w:rFonts w:ascii="Calibri" w:eastAsia="Calibri" w:hAnsi="Calibri" w:cs="Times New Roman"/>
          <w:b/>
          <w:lang w:val="sr-Cyrl-CS"/>
        </w:rPr>
      </w:pPr>
    </w:p>
    <w:p w14:paraId="5E05DDDC" w14:textId="77777777" w:rsidR="00F24B7F" w:rsidRPr="00F27A03" w:rsidRDefault="00F24B7F" w:rsidP="00C91F83">
      <w:pPr>
        <w:spacing w:line="256" w:lineRule="auto"/>
        <w:jc w:val="center"/>
        <w:rPr>
          <w:rFonts w:ascii="Calibri" w:eastAsia="Calibri" w:hAnsi="Calibri" w:cs="Times New Roman"/>
          <w:b/>
          <w:color w:val="002060"/>
          <w:lang w:val="sr-Cyrl-CS"/>
        </w:rPr>
      </w:pPr>
    </w:p>
    <w:p w14:paraId="221D39DC" w14:textId="77777777" w:rsidR="00F24B7F" w:rsidRPr="00F27A03" w:rsidRDefault="00F24B7F" w:rsidP="00C91F83">
      <w:pPr>
        <w:spacing w:line="256" w:lineRule="auto"/>
        <w:jc w:val="center"/>
        <w:rPr>
          <w:rFonts w:ascii="Calibri" w:eastAsia="Calibri" w:hAnsi="Calibri" w:cs="Times New Roman"/>
          <w:b/>
          <w:color w:val="002060"/>
          <w:lang w:val="sr-Cyrl-CS"/>
        </w:rPr>
      </w:pPr>
    </w:p>
    <w:p w14:paraId="564166D7" w14:textId="77777777" w:rsidR="00F24B7F" w:rsidRPr="00F27A03" w:rsidRDefault="00F24B7F" w:rsidP="00C91F83">
      <w:pPr>
        <w:spacing w:line="256" w:lineRule="auto"/>
        <w:jc w:val="center"/>
        <w:rPr>
          <w:rFonts w:ascii="Calibri" w:eastAsia="Calibri" w:hAnsi="Calibri" w:cs="Times New Roman"/>
          <w:b/>
          <w:color w:val="002060"/>
          <w:lang w:val="sr-Cyrl-CS"/>
        </w:rPr>
      </w:pPr>
    </w:p>
    <w:p w14:paraId="26132F9B" w14:textId="77777777" w:rsidR="00F24B7F" w:rsidRPr="00F27A03" w:rsidRDefault="00F24B7F" w:rsidP="00C91F83">
      <w:pPr>
        <w:spacing w:line="256" w:lineRule="auto"/>
        <w:jc w:val="center"/>
        <w:rPr>
          <w:rFonts w:ascii="Calibri" w:eastAsia="Calibri" w:hAnsi="Calibri" w:cs="Times New Roman"/>
          <w:b/>
          <w:color w:val="002060"/>
          <w:lang w:val="sr-Cyrl-CS"/>
        </w:rPr>
      </w:pPr>
    </w:p>
    <w:p w14:paraId="49161D8E" w14:textId="77777777" w:rsidR="00F24B7F" w:rsidRPr="00F27A03" w:rsidRDefault="00F24B7F" w:rsidP="00C91F83">
      <w:pPr>
        <w:spacing w:after="0" w:line="256" w:lineRule="auto"/>
        <w:jc w:val="left"/>
        <w:rPr>
          <w:rFonts w:ascii="Calibri" w:eastAsia="Calibri" w:hAnsi="Calibri" w:cs="Calibri"/>
          <w:bCs/>
          <w:szCs w:val="72"/>
          <w:lang w:val="sr-Cyrl-CS"/>
        </w:rPr>
        <w:sectPr w:rsidR="00F24B7F" w:rsidRPr="00F27A03">
          <w:type w:val="continuous"/>
          <w:pgSz w:w="12240" w:h="15840"/>
          <w:pgMar w:top="1440" w:right="1440" w:bottom="1440" w:left="1440" w:header="720" w:footer="720" w:gutter="0"/>
          <w:cols w:num="2" w:space="720"/>
        </w:sectPr>
      </w:pPr>
    </w:p>
    <w:p w14:paraId="634565B4" w14:textId="45623D7D" w:rsidR="00F24B7F" w:rsidRPr="00F27A03" w:rsidRDefault="00F24B7F" w:rsidP="00ED5386">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t>Табела 2</w:t>
      </w:r>
      <w:r w:rsidR="00EB3946" w:rsidRPr="00F27A03">
        <w:rPr>
          <w:rFonts w:ascii="Calibri" w:eastAsia="Calibri" w:hAnsi="Calibri" w:cs="Times New Roman"/>
          <w:b/>
          <w:color w:val="002060"/>
          <w:lang w:val="sr-Cyrl-CS"/>
        </w:rPr>
        <w:t>6</w:t>
      </w:r>
      <w:r w:rsidRPr="00F27A03">
        <w:rPr>
          <w:rFonts w:ascii="Calibri" w:eastAsia="Calibri" w:hAnsi="Calibri" w:cs="Times New Roman"/>
          <w:b/>
          <w:color w:val="002060"/>
          <w:lang w:val="sr-Cyrl-CS"/>
        </w:rPr>
        <w:t>. Однос јавног дуга и БДП на крају 2025.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F24B7F" w:rsidRPr="00F27A03" w14:paraId="547139FF" w14:textId="77777777" w:rsidTr="00ED5386">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nil"/>
            </w:tcBorders>
            <w:noWrap/>
            <w:hideMark/>
          </w:tcPr>
          <w:p w14:paraId="785B9576" w14:textId="77777777" w:rsidR="00F24B7F" w:rsidRPr="00F27A03" w:rsidRDefault="00F24B7F" w:rsidP="00ED5386">
            <w:pPr>
              <w:rPr>
                <w:rFonts w:ascii="Calibri" w:hAnsi="Calibri" w:cs="Calibri"/>
                <w:color w:val="002060"/>
                <w:sz w:val="18"/>
                <w:szCs w:val="18"/>
                <w:lang w:val="sr-Cyrl-CS"/>
              </w:rPr>
            </w:pPr>
            <w:r w:rsidRPr="00F27A03">
              <w:rPr>
                <w:rFonts w:ascii="Calibri" w:hAnsi="Calibri" w:cs="Calibri"/>
                <w:color w:val="002060"/>
                <w:sz w:val="18"/>
                <w:szCs w:val="18"/>
                <w:lang w:val="sr-Cyrl-CS"/>
              </w:rPr>
              <w:t>Сценарији</w:t>
            </w:r>
          </w:p>
        </w:tc>
        <w:tc>
          <w:tcPr>
            <w:tcW w:w="578" w:type="pct"/>
            <w:tcBorders>
              <w:top w:val="single" w:sz="4" w:space="0" w:color="002060"/>
              <w:bottom w:val="single" w:sz="4" w:space="0" w:color="002060"/>
            </w:tcBorders>
            <w:noWrap/>
            <w:hideMark/>
          </w:tcPr>
          <w:p w14:paraId="6C81BF5C" w14:textId="77777777" w:rsidR="00F24B7F" w:rsidRPr="00F27A03" w:rsidRDefault="00F24B7F" w:rsidP="00ED5386">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C1</w:t>
            </w:r>
          </w:p>
        </w:tc>
        <w:tc>
          <w:tcPr>
            <w:tcW w:w="578" w:type="pct"/>
            <w:tcBorders>
              <w:top w:val="single" w:sz="4" w:space="0" w:color="002060"/>
              <w:bottom w:val="single" w:sz="4" w:space="0" w:color="002060"/>
            </w:tcBorders>
            <w:noWrap/>
            <w:hideMark/>
          </w:tcPr>
          <w:p w14:paraId="4897110D" w14:textId="77777777" w:rsidR="00F24B7F" w:rsidRPr="00F27A03" w:rsidRDefault="00F24B7F" w:rsidP="00ED5386">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C2</w:t>
            </w:r>
          </w:p>
        </w:tc>
        <w:tc>
          <w:tcPr>
            <w:tcW w:w="578" w:type="pct"/>
            <w:tcBorders>
              <w:top w:val="single" w:sz="4" w:space="0" w:color="002060"/>
              <w:bottom w:val="single" w:sz="4" w:space="0" w:color="002060"/>
            </w:tcBorders>
            <w:noWrap/>
            <w:hideMark/>
          </w:tcPr>
          <w:p w14:paraId="6675F776" w14:textId="77777777" w:rsidR="00F24B7F" w:rsidRPr="00F27A03" w:rsidRDefault="00F24B7F" w:rsidP="00ED5386">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C3</w:t>
            </w:r>
          </w:p>
        </w:tc>
        <w:tc>
          <w:tcPr>
            <w:tcW w:w="578" w:type="pct"/>
            <w:tcBorders>
              <w:top w:val="single" w:sz="4" w:space="0" w:color="002060"/>
              <w:bottom w:val="single" w:sz="4" w:space="0" w:color="002060"/>
            </w:tcBorders>
            <w:noWrap/>
            <w:hideMark/>
          </w:tcPr>
          <w:p w14:paraId="56A35E9B" w14:textId="77777777" w:rsidR="00F24B7F" w:rsidRPr="00F27A03" w:rsidRDefault="00F24B7F" w:rsidP="00ED5386">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C4</w:t>
            </w:r>
          </w:p>
        </w:tc>
      </w:tr>
      <w:tr w:rsidR="00F24B7F" w:rsidRPr="00F27A03" w14:paraId="4E41E994" w14:textId="77777777" w:rsidTr="0084261B">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16CAD5BD"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Основни сценарио</w:t>
            </w:r>
          </w:p>
        </w:tc>
        <w:tc>
          <w:tcPr>
            <w:tcW w:w="578" w:type="pct"/>
            <w:tcBorders>
              <w:top w:val="nil"/>
              <w:bottom w:val="nil"/>
            </w:tcBorders>
            <w:shd w:val="clear" w:color="auto" w:fill="E7E6E6" w:themeFill="background2"/>
            <w:noWrap/>
            <w:hideMark/>
          </w:tcPr>
          <w:p w14:paraId="7E766EED"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53,0</w:t>
            </w:r>
          </w:p>
        </w:tc>
        <w:tc>
          <w:tcPr>
            <w:tcW w:w="578" w:type="pct"/>
            <w:tcBorders>
              <w:top w:val="nil"/>
              <w:bottom w:val="nil"/>
            </w:tcBorders>
            <w:shd w:val="clear" w:color="auto" w:fill="E7E6E6" w:themeFill="background2"/>
            <w:noWrap/>
            <w:hideMark/>
          </w:tcPr>
          <w:p w14:paraId="208A6DF0"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53,7</w:t>
            </w:r>
          </w:p>
        </w:tc>
        <w:tc>
          <w:tcPr>
            <w:tcW w:w="578" w:type="pct"/>
            <w:tcBorders>
              <w:top w:val="nil"/>
              <w:bottom w:val="nil"/>
            </w:tcBorders>
            <w:shd w:val="clear" w:color="auto" w:fill="E7E6E6" w:themeFill="background2"/>
            <w:noWrap/>
            <w:hideMark/>
          </w:tcPr>
          <w:p w14:paraId="79A86321"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53,5</w:t>
            </w:r>
          </w:p>
        </w:tc>
        <w:tc>
          <w:tcPr>
            <w:tcW w:w="578" w:type="pct"/>
            <w:tcBorders>
              <w:top w:val="nil"/>
              <w:bottom w:val="nil"/>
            </w:tcBorders>
            <w:shd w:val="clear" w:color="auto" w:fill="E7E6E6" w:themeFill="background2"/>
            <w:noWrap/>
            <w:hideMark/>
          </w:tcPr>
          <w:p w14:paraId="4BEFEC1D"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53,4</w:t>
            </w:r>
          </w:p>
        </w:tc>
      </w:tr>
      <w:tr w:rsidR="00F24B7F" w:rsidRPr="00F27A03" w14:paraId="74A145BB" w14:textId="77777777" w:rsidTr="00ED5386">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51AAB2D3"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shd w:val="clear" w:color="auto" w:fill="auto"/>
            <w:noWrap/>
            <w:hideMark/>
          </w:tcPr>
          <w:p w14:paraId="1C9B1D40"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58,8</w:t>
            </w:r>
          </w:p>
        </w:tc>
        <w:tc>
          <w:tcPr>
            <w:tcW w:w="578" w:type="pct"/>
            <w:tcBorders>
              <w:top w:val="nil"/>
              <w:left w:val="nil"/>
              <w:bottom w:val="nil"/>
              <w:right w:val="nil"/>
            </w:tcBorders>
            <w:shd w:val="clear" w:color="auto" w:fill="auto"/>
            <w:noWrap/>
            <w:hideMark/>
          </w:tcPr>
          <w:p w14:paraId="05BDD681"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59,9</w:t>
            </w:r>
          </w:p>
        </w:tc>
        <w:tc>
          <w:tcPr>
            <w:tcW w:w="578" w:type="pct"/>
            <w:tcBorders>
              <w:top w:val="nil"/>
              <w:left w:val="nil"/>
              <w:bottom w:val="nil"/>
              <w:right w:val="nil"/>
            </w:tcBorders>
            <w:shd w:val="clear" w:color="auto" w:fill="auto"/>
            <w:noWrap/>
            <w:hideMark/>
          </w:tcPr>
          <w:p w14:paraId="5EDAB375"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59,7</w:t>
            </w:r>
          </w:p>
        </w:tc>
        <w:tc>
          <w:tcPr>
            <w:tcW w:w="578" w:type="pct"/>
            <w:tcBorders>
              <w:top w:val="nil"/>
              <w:left w:val="nil"/>
              <w:bottom w:val="nil"/>
              <w:right w:val="nil"/>
            </w:tcBorders>
            <w:shd w:val="clear" w:color="auto" w:fill="auto"/>
            <w:noWrap/>
            <w:hideMark/>
          </w:tcPr>
          <w:p w14:paraId="072369DF"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58,0</w:t>
            </w:r>
          </w:p>
        </w:tc>
      </w:tr>
      <w:tr w:rsidR="00F24B7F" w:rsidRPr="00F27A03" w14:paraId="2ECA93F5" w14:textId="77777777" w:rsidTr="0084261B">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69FD2033"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Каматни шок (сценарио 1) </w:t>
            </w:r>
          </w:p>
        </w:tc>
        <w:tc>
          <w:tcPr>
            <w:tcW w:w="578" w:type="pct"/>
            <w:tcBorders>
              <w:top w:val="nil"/>
              <w:bottom w:val="nil"/>
            </w:tcBorders>
            <w:shd w:val="clear" w:color="auto" w:fill="E7E6E6" w:themeFill="background2"/>
            <w:noWrap/>
            <w:hideMark/>
          </w:tcPr>
          <w:p w14:paraId="2EC93BBD"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53,7</w:t>
            </w:r>
          </w:p>
        </w:tc>
        <w:tc>
          <w:tcPr>
            <w:tcW w:w="578" w:type="pct"/>
            <w:tcBorders>
              <w:top w:val="nil"/>
              <w:bottom w:val="nil"/>
            </w:tcBorders>
            <w:shd w:val="clear" w:color="auto" w:fill="E7E6E6" w:themeFill="background2"/>
            <w:noWrap/>
            <w:hideMark/>
          </w:tcPr>
          <w:p w14:paraId="79059B1F"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54,6</w:t>
            </w:r>
          </w:p>
        </w:tc>
        <w:tc>
          <w:tcPr>
            <w:tcW w:w="578" w:type="pct"/>
            <w:tcBorders>
              <w:top w:val="nil"/>
              <w:bottom w:val="nil"/>
            </w:tcBorders>
            <w:shd w:val="clear" w:color="auto" w:fill="E7E6E6" w:themeFill="background2"/>
            <w:noWrap/>
            <w:hideMark/>
          </w:tcPr>
          <w:p w14:paraId="671CEFD1"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54,4</w:t>
            </w:r>
          </w:p>
        </w:tc>
        <w:tc>
          <w:tcPr>
            <w:tcW w:w="578" w:type="pct"/>
            <w:tcBorders>
              <w:top w:val="nil"/>
              <w:bottom w:val="nil"/>
            </w:tcBorders>
            <w:shd w:val="clear" w:color="auto" w:fill="E7E6E6" w:themeFill="background2"/>
            <w:noWrap/>
            <w:hideMark/>
          </w:tcPr>
          <w:p w14:paraId="5C2912FE"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54,3</w:t>
            </w:r>
          </w:p>
        </w:tc>
      </w:tr>
      <w:tr w:rsidR="00F24B7F" w:rsidRPr="00F27A03" w14:paraId="0073F0BA" w14:textId="77777777" w:rsidTr="0084261B">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2C9AF73F"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shd w:val="clear" w:color="auto" w:fill="auto"/>
            <w:noWrap/>
            <w:hideMark/>
          </w:tcPr>
          <w:p w14:paraId="500BEC2D"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54,1</w:t>
            </w:r>
          </w:p>
        </w:tc>
        <w:tc>
          <w:tcPr>
            <w:tcW w:w="578" w:type="pct"/>
            <w:tcBorders>
              <w:top w:val="nil"/>
              <w:left w:val="nil"/>
              <w:bottom w:val="nil"/>
              <w:right w:val="nil"/>
            </w:tcBorders>
            <w:shd w:val="clear" w:color="auto" w:fill="auto"/>
            <w:noWrap/>
            <w:hideMark/>
          </w:tcPr>
          <w:p w14:paraId="74704E57"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55,0</w:t>
            </w:r>
          </w:p>
        </w:tc>
        <w:tc>
          <w:tcPr>
            <w:tcW w:w="578" w:type="pct"/>
            <w:tcBorders>
              <w:top w:val="nil"/>
              <w:left w:val="nil"/>
              <w:bottom w:val="nil"/>
              <w:right w:val="nil"/>
            </w:tcBorders>
            <w:shd w:val="clear" w:color="auto" w:fill="auto"/>
            <w:noWrap/>
            <w:hideMark/>
          </w:tcPr>
          <w:p w14:paraId="137A5133"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54,8</w:t>
            </w:r>
          </w:p>
        </w:tc>
        <w:tc>
          <w:tcPr>
            <w:tcW w:w="578" w:type="pct"/>
            <w:tcBorders>
              <w:top w:val="nil"/>
              <w:left w:val="nil"/>
              <w:bottom w:val="nil"/>
              <w:right w:val="nil"/>
            </w:tcBorders>
            <w:shd w:val="clear" w:color="auto" w:fill="auto"/>
            <w:noWrap/>
            <w:hideMark/>
          </w:tcPr>
          <w:p w14:paraId="5689D317"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55,0</w:t>
            </w:r>
          </w:p>
        </w:tc>
      </w:tr>
      <w:tr w:rsidR="00F24B7F" w:rsidRPr="00F27A03" w14:paraId="3DABAE79" w14:textId="77777777" w:rsidTr="0084261B">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7AE6BB1A"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Комбиновани шок (15% УСД и каматни шок1) </w:t>
            </w:r>
          </w:p>
        </w:tc>
        <w:tc>
          <w:tcPr>
            <w:tcW w:w="578" w:type="pct"/>
            <w:tcBorders>
              <w:top w:val="nil"/>
              <w:bottom w:val="single" w:sz="4" w:space="0" w:color="002060"/>
            </w:tcBorders>
            <w:shd w:val="clear" w:color="auto" w:fill="E7E6E6" w:themeFill="background2"/>
            <w:noWrap/>
            <w:hideMark/>
          </w:tcPr>
          <w:p w14:paraId="00A4C2BF"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55,3</w:t>
            </w:r>
          </w:p>
        </w:tc>
        <w:tc>
          <w:tcPr>
            <w:tcW w:w="578" w:type="pct"/>
            <w:tcBorders>
              <w:top w:val="nil"/>
              <w:bottom w:val="single" w:sz="4" w:space="0" w:color="002060"/>
            </w:tcBorders>
            <w:shd w:val="clear" w:color="auto" w:fill="E7E6E6" w:themeFill="background2"/>
            <w:noWrap/>
            <w:hideMark/>
          </w:tcPr>
          <w:p w14:paraId="4BCFC06D"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57,3</w:t>
            </w:r>
          </w:p>
        </w:tc>
        <w:tc>
          <w:tcPr>
            <w:tcW w:w="578" w:type="pct"/>
            <w:tcBorders>
              <w:top w:val="nil"/>
              <w:bottom w:val="single" w:sz="4" w:space="0" w:color="002060"/>
            </w:tcBorders>
            <w:shd w:val="clear" w:color="auto" w:fill="E7E6E6" w:themeFill="background2"/>
            <w:noWrap/>
            <w:hideMark/>
          </w:tcPr>
          <w:p w14:paraId="7C15E16C"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55,5</w:t>
            </w:r>
          </w:p>
        </w:tc>
        <w:tc>
          <w:tcPr>
            <w:tcW w:w="578" w:type="pct"/>
            <w:tcBorders>
              <w:top w:val="nil"/>
              <w:bottom w:val="single" w:sz="4" w:space="0" w:color="002060"/>
            </w:tcBorders>
            <w:shd w:val="clear" w:color="auto" w:fill="E7E6E6" w:themeFill="background2"/>
            <w:noWrap/>
            <w:hideMark/>
          </w:tcPr>
          <w:p w14:paraId="6E75F101"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55,4</w:t>
            </w:r>
          </w:p>
        </w:tc>
      </w:tr>
      <w:tr w:rsidR="00F24B7F" w:rsidRPr="00F27A03" w14:paraId="274E3A37" w14:textId="77777777" w:rsidTr="0084261B">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7E511C37"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Максимални ризик </w:t>
            </w:r>
          </w:p>
        </w:tc>
        <w:tc>
          <w:tcPr>
            <w:tcW w:w="578" w:type="pct"/>
            <w:tcBorders>
              <w:top w:val="single" w:sz="4" w:space="0" w:color="002060"/>
              <w:left w:val="nil"/>
              <w:bottom w:val="single" w:sz="4" w:space="0" w:color="002060"/>
              <w:right w:val="nil"/>
            </w:tcBorders>
            <w:shd w:val="clear" w:color="auto" w:fill="auto"/>
            <w:noWrap/>
            <w:hideMark/>
          </w:tcPr>
          <w:p w14:paraId="08B45608" w14:textId="77777777" w:rsidR="00F24B7F" w:rsidRPr="00F27A03" w:rsidRDefault="00F24B7F" w:rsidP="0084261B">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5,8</w:t>
            </w:r>
          </w:p>
        </w:tc>
        <w:tc>
          <w:tcPr>
            <w:tcW w:w="578" w:type="pct"/>
            <w:tcBorders>
              <w:top w:val="single" w:sz="4" w:space="0" w:color="002060"/>
              <w:left w:val="nil"/>
              <w:bottom w:val="single" w:sz="4" w:space="0" w:color="002060"/>
              <w:right w:val="nil"/>
            </w:tcBorders>
            <w:shd w:val="clear" w:color="auto" w:fill="auto"/>
            <w:noWrap/>
            <w:hideMark/>
          </w:tcPr>
          <w:p w14:paraId="095521B0" w14:textId="77777777" w:rsidR="00F24B7F" w:rsidRPr="00F27A03" w:rsidRDefault="00F24B7F" w:rsidP="0084261B">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6,2</w:t>
            </w:r>
          </w:p>
        </w:tc>
        <w:tc>
          <w:tcPr>
            <w:tcW w:w="578" w:type="pct"/>
            <w:tcBorders>
              <w:top w:val="single" w:sz="4" w:space="0" w:color="002060"/>
              <w:left w:val="nil"/>
              <w:bottom w:val="single" w:sz="4" w:space="0" w:color="002060"/>
              <w:right w:val="nil"/>
            </w:tcBorders>
            <w:shd w:val="clear" w:color="auto" w:fill="auto"/>
            <w:noWrap/>
            <w:hideMark/>
          </w:tcPr>
          <w:p w14:paraId="21FA19EE" w14:textId="77777777" w:rsidR="00F24B7F" w:rsidRPr="00F27A03" w:rsidRDefault="00F24B7F" w:rsidP="0084261B">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6,1</w:t>
            </w:r>
          </w:p>
        </w:tc>
        <w:tc>
          <w:tcPr>
            <w:tcW w:w="578" w:type="pct"/>
            <w:tcBorders>
              <w:top w:val="single" w:sz="4" w:space="0" w:color="002060"/>
              <w:left w:val="nil"/>
              <w:bottom w:val="single" w:sz="4" w:space="0" w:color="002060"/>
              <w:right w:val="nil"/>
            </w:tcBorders>
            <w:shd w:val="clear" w:color="auto" w:fill="auto"/>
            <w:noWrap/>
            <w:hideMark/>
          </w:tcPr>
          <w:p w14:paraId="12C193C2" w14:textId="77777777" w:rsidR="00F24B7F" w:rsidRPr="00F27A03" w:rsidRDefault="00F24B7F" w:rsidP="0084261B">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4,5</w:t>
            </w:r>
          </w:p>
        </w:tc>
      </w:tr>
    </w:tbl>
    <w:p w14:paraId="747A0DE7" w14:textId="77777777" w:rsidR="0062301D" w:rsidRPr="00F27A03" w:rsidRDefault="0062301D" w:rsidP="00ED5386">
      <w:pPr>
        <w:spacing w:line="256" w:lineRule="auto"/>
        <w:jc w:val="center"/>
        <w:rPr>
          <w:rFonts w:ascii="Calibri" w:eastAsia="Calibri" w:hAnsi="Calibri" w:cs="Times New Roman"/>
          <w:b/>
          <w:color w:val="002060"/>
          <w:lang w:val="sr-Cyrl-CS"/>
        </w:rPr>
      </w:pPr>
    </w:p>
    <w:p w14:paraId="76213319" w14:textId="76CCB2BA" w:rsidR="00F24B7F" w:rsidRPr="00F27A03" w:rsidRDefault="00F24B7F" w:rsidP="00ED5386">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lastRenderedPageBreak/>
        <w:t>Табела 2</w:t>
      </w:r>
      <w:r w:rsidR="00EB3946" w:rsidRPr="00F27A03">
        <w:rPr>
          <w:rFonts w:ascii="Calibri" w:eastAsia="Calibri" w:hAnsi="Calibri" w:cs="Times New Roman"/>
          <w:b/>
          <w:color w:val="002060"/>
          <w:lang w:val="sr-Cyrl-CS"/>
        </w:rPr>
        <w:t>7</w:t>
      </w:r>
      <w:r w:rsidRPr="00F27A03">
        <w:rPr>
          <w:rFonts w:ascii="Calibri" w:eastAsia="Calibri" w:hAnsi="Calibri" w:cs="Times New Roman"/>
          <w:b/>
          <w:color w:val="002060"/>
          <w:lang w:val="sr-Cyrl-CS"/>
        </w:rPr>
        <w:t>. Однос плаћања по основу камата и БДП на крају 2025.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F24B7F" w:rsidRPr="00F27A03" w14:paraId="3BEB797A" w14:textId="77777777" w:rsidTr="00ED5386">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single" w:sz="8" w:space="0" w:color="FFFFFF" w:themeColor="background1"/>
            </w:tcBorders>
            <w:noWrap/>
            <w:hideMark/>
          </w:tcPr>
          <w:p w14:paraId="72B23067" w14:textId="77777777" w:rsidR="00F24B7F" w:rsidRPr="00F27A03" w:rsidRDefault="00F24B7F" w:rsidP="00ED5386">
            <w:pPr>
              <w:rPr>
                <w:rFonts w:ascii="Calibri" w:hAnsi="Calibri" w:cs="Calibri"/>
                <w:color w:val="002060"/>
                <w:sz w:val="18"/>
                <w:szCs w:val="18"/>
                <w:lang w:val="sr-Cyrl-CS"/>
              </w:rPr>
            </w:pPr>
            <w:r w:rsidRPr="00F27A03">
              <w:rPr>
                <w:rFonts w:ascii="Calibri" w:hAnsi="Calibri" w:cs="Calibri"/>
                <w:color w:val="002060"/>
                <w:sz w:val="18"/>
                <w:szCs w:val="18"/>
                <w:lang w:val="sr-Cyrl-CS"/>
              </w:rPr>
              <w:t>Сценарији</w:t>
            </w:r>
          </w:p>
        </w:tc>
        <w:tc>
          <w:tcPr>
            <w:tcW w:w="578" w:type="pct"/>
            <w:tcBorders>
              <w:top w:val="single" w:sz="4" w:space="0" w:color="002060"/>
              <w:bottom w:val="single" w:sz="4" w:space="0" w:color="002060"/>
            </w:tcBorders>
            <w:noWrap/>
            <w:hideMark/>
          </w:tcPr>
          <w:p w14:paraId="38F7D608" w14:textId="77777777" w:rsidR="00F24B7F" w:rsidRPr="00F27A03" w:rsidRDefault="00F24B7F" w:rsidP="00ED5386">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C1</w:t>
            </w:r>
          </w:p>
        </w:tc>
        <w:tc>
          <w:tcPr>
            <w:tcW w:w="578" w:type="pct"/>
            <w:tcBorders>
              <w:top w:val="single" w:sz="4" w:space="0" w:color="002060"/>
              <w:bottom w:val="single" w:sz="4" w:space="0" w:color="002060"/>
            </w:tcBorders>
            <w:noWrap/>
            <w:hideMark/>
          </w:tcPr>
          <w:p w14:paraId="16DAB911" w14:textId="77777777" w:rsidR="00F24B7F" w:rsidRPr="00F27A03" w:rsidRDefault="00F24B7F" w:rsidP="00ED5386">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C2</w:t>
            </w:r>
          </w:p>
        </w:tc>
        <w:tc>
          <w:tcPr>
            <w:tcW w:w="578" w:type="pct"/>
            <w:tcBorders>
              <w:top w:val="single" w:sz="4" w:space="0" w:color="002060"/>
              <w:bottom w:val="single" w:sz="4" w:space="0" w:color="002060"/>
            </w:tcBorders>
            <w:noWrap/>
            <w:hideMark/>
          </w:tcPr>
          <w:p w14:paraId="5FFA7194" w14:textId="77777777" w:rsidR="00F24B7F" w:rsidRPr="00F27A03" w:rsidRDefault="00F24B7F" w:rsidP="00ED5386">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C3</w:t>
            </w:r>
          </w:p>
        </w:tc>
        <w:tc>
          <w:tcPr>
            <w:tcW w:w="578" w:type="pct"/>
            <w:tcBorders>
              <w:top w:val="single" w:sz="4" w:space="0" w:color="002060"/>
              <w:bottom w:val="single" w:sz="4" w:space="0" w:color="002060"/>
            </w:tcBorders>
            <w:noWrap/>
            <w:hideMark/>
          </w:tcPr>
          <w:p w14:paraId="25E421A5" w14:textId="77777777" w:rsidR="00F24B7F" w:rsidRPr="00F27A03" w:rsidRDefault="00F24B7F" w:rsidP="00ED5386">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C4</w:t>
            </w:r>
          </w:p>
        </w:tc>
      </w:tr>
      <w:tr w:rsidR="00F24B7F" w:rsidRPr="00F27A03" w14:paraId="7D293BBD" w14:textId="77777777" w:rsidTr="0084261B">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single" w:sz="8" w:space="0" w:color="FFFFFF" w:themeColor="background1"/>
              <w:bottom w:val="nil"/>
            </w:tcBorders>
            <w:shd w:val="clear" w:color="auto" w:fill="E7E6E6" w:themeFill="background2"/>
            <w:noWrap/>
            <w:hideMark/>
          </w:tcPr>
          <w:p w14:paraId="53A0228C"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Основни сценарио</w:t>
            </w:r>
          </w:p>
        </w:tc>
        <w:tc>
          <w:tcPr>
            <w:tcW w:w="578" w:type="pct"/>
            <w:tcBorders>
              <w:top w:val="nil"/>
              <w:bottom w:val="nil"/>
            </w:tcBorders>
            <w:shd w:val="clear" w:color="auto" w:fill="E7E6E6" w:themeFill="background2"/>
            <w:noWrap/>
            <w:hideMark/>
          </w:tcPr>
          <w:p w14:paraId="415A3DE9"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1,7</w:t>
            </w:r>
          </w:p>
        </w:tc>
        <w:tc>
          <w:tcPr>
            <w:tcW w:w="578" w:type="pct"/>
            <w:tcBorders>
              <w:top w:val="nil"/>
              <w:bottom w:val="nil"/>
            </w:tcBorders>
            <w:shd w:val="clear" w:color="auto" w:fill="E7E6E6" w:themeFill="background2"/>
            <w:noWrap/>
            <w:hideMark/>
          </w:tcPr>
          <w:p w14:paraId="3E05E072"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2,2</w:t>
            </w:r>
          </w:p>
        </w:tc>
        <w:tc>
          <w:tcPr>
            <w:tcW w:w="578" w:type="pct"/>
            <w:tcBorders>
              <w:top w:val="nil"/>
              <w:bottom w:val="nil"/>
            </w:tcBorders>
            <w:shd w:val="clear" w:color="auto" w:fill="E7E6E6" w:themeFill="background2"/>
            <w:noWrap/>
            <w:hideMark/>
          </w:tcPr>
          <w:p w14:paraId="0280563A"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2,1</w:t>
            </w:r>
          </w:p>
        </w:tc>
        <w:tc>
          <w:tcPr>
            <w:tcW w:w="578" w:type="pct"/>
            <w:tcBorders>
              <w:top w:val="nil"/>
              <w:bottom w:val="nil"/>
            </w:tcBorders>
            <w:shd w:val="clear" w:color="auto" w:fill="E7E6E6" w:themeFill="background2"/>
            <w:noWrap/>
            <w:hideMark/>
          </w:tcPr>
          <w:p w14:paraId="10789643"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2,0</w:t>
            </w:r>
          </w:p>
        </w:tc>
      </w:tr>
      <w:tr w:rsidR="00F24B7F" w:rsidRPr="00F27A03" w14:paraId="5C962BC7" w14:textId="77777777" w:rsidTr="00ED5386">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31E5C9BB"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shd w:val="clear" w:color="auto" w:fill="auto"/>
            <w:noWrap/>
            <w:hideMark/>
          </w:tcPr>
          <w:p w14:paraId="5778DF60"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1,9</w:t>
            </w:r>
          </w:p>
        </w:tc>
        <w:tc>
          <w:tcPr>
            <w:tcW w:w="578" w:type="pct"/>
            <w:tcBorders>
              <w:top w:val="nil"/>
              <w:left w:val="nil"/>
              <w:bottom w:val="nil"/>
              <w:right w:val="nil"/>
            </w:tcBorders>
            <w:shd w:val="clear" w:color="auto" w:fill="auto"/>
            <w:noWrap/>
            <w:hideMark/>
          </w:tcPr>
          <w:p w14:paraId="531E5AEA"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2,4</w:t>
            </w:r>
          </w:p>
        </w:tc>
        <w:tc>
          <w:tcPr>
            <w:tcW w:w="578" w:type="pct"/>
            <w:tcBorders>
              <w:top w:val="nil"/>
              <w:left w:val="nil"/>
              <w:bottom w:val="nil"/>
              <w:right w:val="nil"/>
            </w:tcBorders>
            <w:shd w:val="clear" w:color="auto" w:fill="auto"/>
            <w:noWrap/>
            <w:hideMark/>
          </w:tcPr>
          <w:p w14:paraId="4E929235"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2,3</w:t>
            </w:r>
          </w:p>
        </w:tc>
        <w:tc>
          <w:tcPr>
            <w:tcW w:w="578" w:type="pct"/>
            <w:tcBorders>
              <w:top w:val="nil"/>
              <w:left w:val="nil"/>
              <w:bottom w:val="nil"/>
              <w:right w:val="nil"/>
            </w:tcBorders>
            <w:shd w:val="clear" w:color="auto" w:fill="auto"/>
            <w:noWrap/>
            <w:hideMark/>
          </w:tcPr>
          <w:p w14:paraId="67FFD4DE"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2,2</w:t>
            </w:r>
          </w:p>
        </w:tc>
      </w:tr>
      <w:tr w:rsidR="00F24B7F" w:rsidRPr="00F27A03" w14:paraId="5780099B" w14:textId="77777777" w:rsidTr="0084261B">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081A570D"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Каматни шок (сценарио 1) </w:t>
            </w:r>
          </w:p>
        </w:tc>
        <w:tc>
          <w:tcPr>
            <w:tcW w:w="578" w:type="pct"/>
            <w:tcBorders>
              <w:top w:val="nil"/>
              <w:bottom w:val="nil"/>
            </w:tcBorders>
            <w:shd w:val="clear" w:color="auto" w:fill="E7E6E6" w:themeFill="background2"/>
            <w:noWrap/>
            <w:hideMark/>
          </w:tcPr>
          <w:p w14:paraId="758A3475"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2,1</w:t>
            </w:r>
          </w:p>
        </w:tc>
        <w:tc>
          <w:tcPr>
            <w:tcW w:w="578" w:type="pct"/>
            <w:tcBorders>
              <w:top w:val="nil"/>
              <w:bottom w:val="nil"/>
            </w:tcBorders>
            <w:shd w:val="clear" w:color="auto" w:fill="E7E6E6" w:themeFill="background2"/>
            <w:noWrap/>
            <w:hideMark/>
          </w:tcPr>
          <w:p w14:paraId="520B692F"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2,7</w:t>
            </w:r>
          </w:p>
        </w:tc>
        <w:tc>
          <w:tcPr>
            <w:tcW w:w="578" w:type="pct"/>
            <w:tcBorders>
              <w:top w:val="nil"/>
              <w:bottom w:val="nil"/>
            </w:tcBorders>
            <w:shd w:val="clear" w:color="auto" w:fill="E7E6E6" w:themeFill="background2"/>
            <w:noWrap/>
            <w:hideMark/>
          </w:tcPr>
          <w:p w14:paraId="1ACF1382"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2,6</w:t>
            </w:r>
          </w:p>
        </w:tc>
        <w:tc>
          <w:tcPr>
            <w:tcW w:w="578" w:type="pct"/>
            <w:tcBorders>
              <w:top w:val="nil"/>
              <w:bottom w:val="nil"/>
            </w:tcBorders>
            <w:shd w:val="clear" w:color="auto" w:fill="E7E6E6" w:themeFill="background2"/>
            <w:noWrap/>
            <w:hideMark/>
          </w:tcPr>
          <w:p w14:paraId="152C1721"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2,5</w:t>
            </w:r>
          </w:p>
        </w:tc>
      </w:tr>
      <w:tr w:rsidR="00F24B7F" w:rsidRPr="00F27A03" w14:paraId="716A56B5" w14:textId="77777777" w:rsidTr="0084261B">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65FD571F"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shd w:val="clear" w:color="auto" w:fill="auto"/>
            <w:noWrap/>
            <w:hideMark/>
          </w:tcPr>
          <w:p w14:paraId="43043BF8"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2,4</w:t>
            </w:r>
          </w:p>
        </w:tc>
        <w:tc>
          <w:tcPr>
            <w:tcW w:w="578" w:type="pct"/>
            <w:tcBorders>
              <w:top w:val="nil"/>
              <w:left w:val="nil"/>
              <w:bottom w:val="nil"/>
              <w:right w:val="nil"/>
            </w:tcBorders>
            <w:shd w:val="clear" w:color="auto" w:fill="auto"/>
            <w:noWrap/>
            <w:hideMark/>
          </w:tcPr>
          <w:p w14:paraId="147D6EAA"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2,9</w:t>
            </w:r>
          </w:p>
        </w:tc>
        <w:tc>
          <w:tcPr>
            <w:tcW w:w="578" w:type="pct"/>
            <w:tcBorders>
              <w:top w:val="nil"/>
              <w:left w:val="nil"/>
              <w:bottom w:val="nil"/>
              <w:right w:val="nil"/>
            </w:tcBorders>
            <w:shd w:val="clear" w:color="auto" w:fill="auto"/>
            <w:noWrap/>
            <w:hideMark/>
          </w:tcPr>
          <w:p w14:paraId="2B0B33DF"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2,8</w:t>
            </w:r>
          </w:p>
        </w:tc>
        <w:tc>
          <w:tcPr>
            <w:tcW w:w="578" w:type="pct"/>
            <w:tcBorders>
              <w:top w:val="nil"/>
              <w:left w:val="nil"/>
              <w:bottom w:val="nil"/>
              <w:right w:val="nil"/>
            </w:tcBorders>
            <w:shd w:val="clear" w:color="auto" w:fill="auto"/>
            <w:noWrap/>
            <w:hideMark/>
          </w:tcPr>
          <w:p w14:paraId="67D1A9C2"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3,0</w:t>
            </w:r>
          </w:p>
        </w:tc>
      </w:tr>
      <w:tr w:rsidR="00F24B7F" w:rsidRPr="00F27A03" w14:paraId="17738304" w14:textId="77777777" w:rsidTr="0084261B">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178D58CA"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Комбиновани шок (15% USD и каматни шок сценарио 1) </w:t>
            </w:r>
          </w:p>
        </w:tc>
        <w:tc>
          <w:tcPr>
            <w:tcW w:w="578" w:type="pct"/>
            <w:tcBorders>
              <w:top w:val="nil"/>
              <w:bottom w:val="single" w:sz="4" w:space="0" w:color="002060"/>
            </w:tcBorders>
            <w:shd w:val="clear" w:color="auto" w:fill="E7E6E6" w:themeFill="background2"/>
            <w:noWrap/>
            <w:hideMark/>
          </w:tcPr>
          <w:p w14:paraId="2493FAC0"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2,2</w:t>
            </w:r>
          </w:p>
        </w:tc>
        <w:tc>
          <w:tcPr>
            <w:tcW w:w="578" w:type="pct"/>
            <w:tcBorders>
              <w:top w:val="nil"/>
              <w:bottom w:val="single" w:sz="4" w:space="0" w:color="002060"/>
            </w:tcBorders>
            <w:shd w:val="clear" w:color="auto" w:fill="E7E6E6" w:themeFill="background2"/>
            <w:noWrap/>
            <w:hideMark/>
          </w:tcPr>
          <w:p w14:paraId="5C076885"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2,9</w:t>
            </w:r>
          </w:p>
        </w:tc>
        <w:tc>
          <w:tcPr>
            <w:tcW w:w="578" w:type="pct"/>
            <w:tcBorders>
              <w:top w:val="nil"/>
              <w:bottom w:val="single" w:sz="4" w:space="0" w:color="002060"/>
            </w:tcBorders>
            <w:shd w:val="clear" w:color="auto" w:fill="E7E6E6" w:themeFill="background2"/>
            <w:noWrap/>
            <w:hideMark/>
          </w:tcPr>
          <w:p w14:paraId="2341AF2E"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2,6</w:t>
            </w:r>
          </w:p>
        </w:tc>
        <w:tc>
          <w:tcPr>
            <w:tcW w:w="578" w:type="pct"/>
            <w:tcBorders>
              <w:top w:val="nil"/>
              <w:bottom w:val="single" w:sz="4" w:space="0" w:color="002060"/>
            </w:tcBorders>
            <w:shd w:val="clear" w:color="auto" w:fill="E7E6E6" w:themeFill="background2"/>
            <w:noWrap/>
            <w:hideMark/>
          </w:tcPr>
          <w:p w14:paraId="29EA2AAA"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2,6</w:t>
            </w:r>
          </w:p>
        </w:tc>
      </w:tr>
      <w:tr w:rsidR="00F24B7F" w:rsidRPr="00F27A03" w14:paraId="480BCDE2" w14:textId="77777777" w:rsidTr="0084261B">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45760054"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 Максимални ризик </w:t>
            </w:r>
          </w:p>
        </w:tc>
        <w:tc>
          <w:tcPr>
            <w:tcW w:w="578" w:type="pct"/>
            <w:tcBorders>
              <w:top w:val="single" w:sz="4" w:space="0" w:color="002060"/>
              <w:left w:val="nil"/>
              <w:bottom w:val="single" w:sz="4" w:space="0" w:color="002060"/>
              <w:right w:val="nil"/>
            </w:tcBorders>
            <w:shd w:val="clear" w:color="auto" w:fill="auto"/>
            <w:noWrap/>
            <w:hideMark/>
          </w:tcPr>
          <w:p w14:paraId="5AF7621E"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0,7</w:t>
            </w:r>
          </w:p>
        </w:tc>
        <w:tc>
          <w:tcPr>
            <w:tcW w:w="578" w:type="pct"/>
            <w:tcBorders>
              <w:top w:val="single" w:sz="4" w:space="0" w:color="002060"/>
              <w:left w:val="nil"/>
              <w:bottom w:val="single" w:sz="4" w:space="0" w:color="002060"/>
              <w:right w:val="nil"/>
            </w:tcBorders>
            <w:shd w:val="clear" w:color="auto" w:fill="auto"/>
            <w:noWrap/>
            <w:hideMark/>
          </w:tcPr>
          <w:p w14:paraId="5F7BFD4D"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0,8</w:t>
            </w:r>
          </w:p>
        </w:tc>
        <w:tc>
          <w:tcPr>
            <w:tcW w:w="578" w:type="pct"/>
            <w:tcBorders>
              <w:top w:val="single" w:sz="4" w:space="0" w:color="002060"/>
              <w:left w:val="nil"/>
              <w:bottom w:val="single" w:sz="4" w:space="0" w:color="002060"/>
              <w:right w:val="nil"/>
            </w:tcBorders>
            <w:shd w:val="clear" w:color="auto" w:fill="auto"/>
            <w:noWrap/>
            <w:hideMark/>
          </w:tcPr>
          <w:p w14:paraId="32B15C19"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0,8</w:t>
            </w:r>
          </w:p>
        </w:tc>
        <w:tc>
          <w:tcPr>
            <w:tcW w:w="578" w:type="pct"/>
            <w:tcBorders>
              <w:top w:val="single" w:sz="4" w:space="0" w:color="002060"/>
              <w:left w:val="nil"/>
              <w:bottom w:val="single" w:sz="4" w:space="0" w:color="002060"/>
              <w:right w:val="nil"/>
            </w:tcBorders>
            <w:shd w:val="clear" w:color="auto" w:fill="auto"/>
            <w:noWrap/>
            <w:hideMark/>
          </w:tcPr>
          <w:p w14:paraId="5926FEDA"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1,0</w:t>
            </w:r>
          </w:p>
        </w:tc>
      </w:tr>
    </w:tbl>
    <w:p w14:paraId="07E62508" w14:textId="77777777" w:rsidR="00F24B7F" w:rsidRPr="00F27A03" w:rsidRDefault="00F24B7F" w:rsidP="00ED5386">
      <w:pPr>
        <w:spacing w:after="0" w:line="276" w:lineRule="auto"/>
        <w:jc w:val="left"/>
        <w:rPr>
          <w:rFonts w:ascii="Calibri" w:eastAsia="Calibri" w:hAnsi="Calibri" w:cs="Calibri"/>
          <w:bCs/>
          <w:szCs w:val="72"/>
          <w:lang w:val="sr-Cyrl-CS"/>
        </w:rPr>
      </w:pPr>
    </w:p>
    <w:p w14:paraId="232753CA" w14:textId="77777777" w:rsidR="00F24B7F" w:rsidRPr="00F27A03" w:rsidRDefault="00F24B7F" w:rsidP="00BE5A76">
      <w:pPr>
        <w:rPr>
          <w:lang w:val="sr-Cyrl-CS"/>
        </w:rPr>
      </w:pPr>
      <w:r w:rsidRPr="00F27A03">
        <w:rPr>
          <w:lang w:val="sr-Cyrl-CS"/>
        </w:rPr>
        <w:t>Наредна табела приказује кретања основних параметара јавног дуга по основу све четири разматране стратегије, што осликава горе поменуте карактеристике сваке стратегије:</w:t>
      </w:r>
    </w:p>
    <w:p w14:paraId="36C6227B" w14:textId="6EC21766" w:rsidR="00F24B7F" w:rsidRPr="00F27A03" w:rsidRDefault="00F24B7F" w:rsidP="00ED5386">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t>Табела 2</w:t>
      </w:r>
      <w:r w:rsidR="00EB3946" w:rsidRPr="00F27A03">
        <w:rPr>
          <w:rFonts w:ascii="Calibri" w:eastAsia="Calibri" w:hAnsi="Calibri" w:cs="Times New Roman"/>
          <w:b/>
          <w:color w:val="002060"/>
          <w:lang w:val="sr-Cyrl-CS"/>
        </w:rPr>
        <w:t>8</w:t>
      </w:r>
      <w:r w:rsidRPr="00F27A03">
        <w:rPr>
          <w:rFonts w:ascii="Calibri" w:eastAsia="Calibri" w:hAnsi="Calibri" w:cs="Times New Roman"/>
          <w:b/>
          <w:color w:val="002060"/>
          <w:lang w:val="sr-Cyrl-CS"/>
        </w:rPr>
        <w:t>. Индикатори ризика за алтернативне стратегије на крају 2025. године</w:t>
      </w:r>
    </w:p>
    <w:tbl>
      <w:tblPr>
        <w:tblStyle w:val="LightShading-Accent1222"/>
        <w:tblW w:w="5000" w:type="pct"/>
        <w:tblInd w:w="0" w:type="dxa"/>
        <w:tblLook w:val="04A0" w:firstRow="1" w:lastRow="0" w:firstColumn="1" w:lastColumn="0" w:noHBand="0" w:noVBand="1"/>
      </w:tblPr>
      <w:tblGrid>
        <w:gridCol w:w="2950"/>
        <w:gridCol w:w="3664"/>
        <w:gridCol w:w="685"/>
        <w:gridCol w:w="687"/>
        <w:gridCol w:w="685"/>
        <w:gridCol w:w="689"/>
      </w:tblGrid>
      <w:tr w:rsidR="00F24B7F" w:rsidRPr="00F27A03" w14:paraId="0063473A" w14:textId="77777777" w:rsidTr="00ED5386">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576" w:type="pct"/>
            <w:tcBorders>
              <w:top w:val="single" w:sz="4" w:space="0" w:color="002060"/>
              <w:bottom w:val="nil"/>
            </w:tcBorders>
            <w:noWrap/>
            <w:hideMark/>
          </w:tcPr>
          <w:p w14:paraId="6A25A811" w14:textId="77777777" w:rsidR="00F24B7F" w:rsidRPr="00F27A03" w:rsidRDefault="00F24B7F" w:rsidP="00ED5386">
            <w:pPr>
              <w:spacing w:line="256" w:lineRule="auto"/>
              <w:rPr>
                <w:rFonts w:ascii="Calibri" w:hAnsi="Calibri"/>
                <w:color w:val="002060"/>
                <w:lang w:val="sr-Cyrl-CS"/>
              </w:rPr>
            </w:pPr>
          </w:p>
        </w:tc>
        <w:tc>
          <w:tcPr>
            <w:tcW w:w="1957" w:type="pct"/>
            <w:tcBorders>
              <w:top w:val="single" w:sz="4" w:space="0" w:color="002060"/>
              <w:bottom w:val="single" w:sz="4" w:space="0" w:color="auto"/>
            </w:tcBorders>
          </w:tcPr>
          <w:p w14:paraId="41AD76C8" w14:textId="77777777" w:rsidR="00F24B7F" w:rsidRPr="00F27A03" w:rsidRDefault="00F24B7F" w:rsidP="00ED5386">
            <w:pP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p>
        </w:tc>
        <w:tc>
          <w:tcPr>
            <w:tcW w:w="1467" w:type="pct"/>
            <w:gridSpan w:val="4"/>
            <w:tcBorders>
              <w:top w:val="single" w:sz="4" w:space="0" w:color="002060"/>
              <w:bottom w:val="single" w:sz="4" w:space="0" w:color="auto"/>
            </w:tcBorders>
            <w:noWrap/>
            <w:hideMark/>
          </w:tcPr>
          <w:p w14:paraId="36B2B1FF" w14:textId="77777777" w:rsidR="00F24B7F" w:rsidRPr="00F27A03" w:rsidRDefault="00F24B7F" w:rsidP="00ED538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C1</w:t>
            </w:r>
            <w:r w:rsidRPr="00F27A03">
              <w:rPr>
                <w:rFonts w:ascii="Calibri" w:hAnsi="Calibri" w:cs="Calibri"/>
                <w:color w:val="002060"/>
                <w:sz w:val="18"/>
                <w:szCs w:val="18"/>
                <w:lang w:val="sr-Cyrl-CS"/>
              </w:rPr>
              <w:tab/>
              <w:t>C2</w:t>
            </w:r>
            <w:r w:rsidRPr="00F27A03">
              <w:rPr>
                <w:rFonts w:ascii="Calibri" w:hAnsi="Calibri" w:cs="Calibri"/>
                <w:color w:val="002060"/>
                <w:sz w:val="18"/>
                <w:szCs w:val="18"/>
                <w:lang w:val="sr-Cyrl-CS"/>
              </w:rPr>
              <w:tab/>
              <w:t>C3</w:t>
            </w:r>
            <w:r w:rsidRPr="00F27A03">
              <w:rPr>
                <w:rFonts w:ascii="Calibri" w:hAnsi="Calibri" w:cs="Calibri"/>
                <w:color w:val="002060"/>
                <w:sz w:val="18"/>
                <w:szCs w:val="18"/>
                <w:lang w:val="sr-Cyrl-CS"/>
              </w:rPr>
              <w:tab/>
              <w:t>C4</w:t>
            </w:r>
          </w:p>
        </w:tc>
      </w:tr>
      <w:tr w:rsidR="00F24B7F" w:rsidRPr="00F27A03" w14:paraId="3661671A" w14:textId="77777777" w:rsidTr="00ED5386">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576" w:type="pct"/>
            <w:tcBorders>
              <w:top w:val="nil"/>
              <w:bottom w:val="nil"/>
            </w:tcBorders>
            <w:shd w:val="clear" w:color="auto" w:fill="E7E6E6" w:themeFill="background2"/>
            <w:noWrap/>
            <w:hideMark/>
          </w:tcPr>
          <w:p w14:paraId="7BB02966"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Номинални дуг (% БДП)</w:t>
            </w:r>
          </w:p>
        </w:tc>
        <w:tc>
          <w:tcPr>
            <w:tcW w:w="1957" w:type="pct"/>
            <w:tcBorders>
              <w:top w:val="single" w:sz="4" w:space="0" w:color="auto"/>
              <w:bottom w:val="nil"/>
            </w:tcBorders>
            <w:shd w:val="clear" w:color="auto" w:fill="E7E6E6" w:themeFill="background2"/>
            <w:noWrap/>
            <w:hideMark/>
          </w:tcPr>
          <w:p w14:paraId="30312A24" w14:textId="77777777" w:rsidR="00F24B7F" w:rsidRPr="00F27A03" w:rsidRDefault="00F24B7F" w:rsidP="00ED5386">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 </w:t>
            </w:r>
          </w:p>
        </w:tc>
        <w:tc>
          <w:tcPr>
            <w:tcW w:w="366" w:type="pct"/>
            <w:tcBorders>
              <w:top w:val="single" w:sz="4" w:space="0" w:color="auto"/>
              <w:bottom w:val="nil"/>
            </w:tcBorders>
            <w:shd w:val="clear" w:color="auto" w:fill="E7E6E6" w:themeFill="background2"/>
            <w:noWrap/>
            <w:hideMark/>
          </w:tcPr>
          <w:p w14:paraId="692A6125"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53,0</w:t>
            </w:r>
          </w:p>
        </w:tc>
        <w:tc>
          <w:tcPr>
            <w:tcW w:w="367" w:type="pct"/>
            <w:tcBorders>
              <w:top w:val="single" w:sz="4" w:space="0" w:color="auto"/>
              <w:bottom w:val="nil"/>
            </w:tcBorders>
            <w:shd w:val="clear" w:color="auto" w:fill="E7E6E6" w:themeFill="background2"/>
            <w:noWrap/>
            <w:hideMark/>
          </w:tcPr>
          <w:p w14:paraId="19DDBFE1"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53,7</w:t>
            </w:r>
          </w:p>
        </w:tc>
        <w:tc>
          <w:tcPr>
            <w:tcW w:w="366" w:type="pct"/>
            <w:tcBorders>
              <w:top w:val="single" w:sz="4" w:space="0" w:color="auto"/>
              <w:bottom w:val="nil"/>
            </w:tcBorders>
            <w:shd w:val="clear" w:color="auto" w:fill="E7E6E6" w:themeFill="background2"/>
            <w:noWrap/>
            <w:hideMark/>
          </w:tcPr>
          <w:p w14:paraId="6B16E2BE"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53,5</w:t>
            </w:r>
          </w:p>
        </w:tc>
        <w:tc>
          <w:tcPr>
            <w:tcW w:w="368" w:type="pct"/>
            <w:tcBorders>
              <w:top w:val="single" w:sz="4" w:space="0" w:color="auto"/>
              <w:bottom w:val="nil"/>
            </w:tcBorders>
            <w:shd w:val="clear" w:color="auto" w:fill="E7E6E6" w:themeFill="background2"/>
            <w:noWrap/>
            <w:hideMark/>
          </w:tcPr>
          <w:p w14:paraId="68058237"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53,4</w:t>
            </w:r>
          </w:p>
        </w:tc>
      </w:tr>
      <w:tr w:rsidR="00F24B7F" w:rsidRPr="00F27A03" w14:paraId="72EDD19E" w14:textId="77777777" w:rsidTr="0084261B">
        <w:trPr>
          <w:trHeight w:val="262"/>
        </w:trPr>
        <w:tc>
          <w:tcPr>
            <w:cnfStyle w:val="001000000000" w:firstRow="0" w:lastRow="0" w:firstColumn="1" w:lastColumn="0" w:oddVBand="0" w:evenVBand="0" w:oddHBand="0" w:evenHBand="0" w:firstRowFirstColumn="0" w:firstRowLastColumn="0" w:lastRowFirstColumn="0" w:lastRowLastColumn="0"/>
            <w:tcW w:w="3533" w:type="pct"/>
            <w:gridSpan w:val="2"/>
            <w:tcBorders>
              <w:top w:val="nil"/>
              <w:left w:val="nil"/>
              <w:bottom w:val="nil"/>
              <w:right w:val="nil"/>
            </w:tcBorders>
            <w:noWrap/>
            <w:hideMark/>
          </w:tcPr>
          <w:p w14:paraId="51BD123B"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Примењена каматна стопа (%)</w:t>
            </w:r>
          </w:p>
        </w:tc>
        <w:tc>
          <w:tcPr>
            <w:tcW w:w="366" w:type="pct"/>
            <w:tcBorders>
              <w:top w:val="nil"/>
              <w:left w:val="nil"/>
              <w:bottom w:val="nil"/>
              <w:right w:val="nil"/>
            </w:tcBorders>
            <w:noWrap/>
            <w:hideMark/>
          </w:tcPr>
          <w:p w14:paraId="5D714DB4"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3,5</w:t>
            </w:r>
          </w:p>
        </w:tc>
        <w:tc>
          <w:tcPr>
            <w:tcW w:w="367" w:type="pct"/>
            <w:tcBorders>
              <w:top w:val="nil"/>
              <w:left w:val="nil"/>
              <w:bottom w:val="nil"/>
              <w:right w:val="nil"/>
            </w:tcBorders>
            <w:noWrap/>
            <w:hideMark/>
          </w:tcPr>
          <w:p w14:paraId="5EBEDE49"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4,4</w:t>
            </w:r>
          </w:p>
        </w:tc>
        <w:tc>
          <w:tcPr>
            <w:tcW w:w="366" w:type="pct"/>
            <w:tcBorders>
              <w:top w:val="nil"/>
              <w:left w:val="nil"/>
              <w:bottom w:val="nil"/>
              <w:right w:val="nil"/>
            </w:tcBorders>
            <w:noWrap/>
            <w:hideMark/>
          </w:tcPr>
          <w:p w14:paraId="5B6285F0"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4,2</w:t>
            </w:r>
          </w:p>
        </w:tc>
        <w:tc>
          <w:tcPr>
            <w:tcW w:w="368" w:type="pct"/>
            <w:tcBorders>
              <w:top w:val="nil"/>
              <w:left w:val="nil"/>
              <w:bottom w:val="nil"/>
              <w:right w:val="nil"/>
            </w:tcBorders>
            <w:noWrap/>
            <w:hideMark/>
          </w:tcPr>
          <w:p w14:paraId="6DB925D8"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4,2</w:t>
            </w:r>
          </w:p>
        </w:tc>
      </w:tr>
      <w:tr w:rsidR="00F24B7F" w:rsidRPr="00F27A03" w14:paraId="2333436B" w14:textId="77777777" w:rsidTr="0084261B">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576" w:type="pct"/>
            <w:vMerge w:val="restart"/>
            <w:tcBorders>
              <w:top w:val="nil"/>
              <w:bottom w:val="nil"/>
            </w:tcBorders>
            <w:shd w:val="clear" w:color="auto" w:fill="E7E6E6" w:themeFill="background2"/>
            <w:noWrap/>
            <w:hideMark/>
          </w:tcPr>
          <w:p w14:paraId="288F87DF"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Ризик</w:t>
            </w:r>
          </w:p>
          <w:p w14:paraId="255C3807"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рефинансирања</w:t>
            </w:r>
          </w:p>
        </w:tc>
        <w:tc>
          <w:tcPr>
            <w:tcW w:w="1957" w:type="pct"/>
            <w:tcBorders>
              <w:top w:val="nil"/>
              <w:bottom w:val="nil"/>
            </w:tcBorders>
            <w:shd w:val="clear" w:color="auto" w:fill="E7E6E6" w:themeFill="background2"/>
            <w:noWrap/>
            <w:hideMark/>
          </w:tcPr>
          <w:p w14:paraId="5DDE18FE" w14:textId="77777777" w:rsidR="00F24B7F" w:rsidRPr="00F27A03" w:rsidRDefault="00F24B7F" w:rsidP="00ED5386">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ATM</w:t>
            </w:r>
            <w:r w:rsidRPr="00F27A03">
              <w:rPr>
                <w:rFonts w:ascii="Calibri" w:hAnsi="Calibri" w:cs="Calibri"/>
                <w:color w:val="002060"/>
                <w:sz w:val="18"/>
                <w:szCs w:val="18"/>
                <w:vertAlign w:val="superscript"/>
                <w:lang w:val="sr-Cyrl-CS"/>
              </w:rPr>
              <w:footnoteReference w:id="14"/>
            </w:r>
            <w:r w:rsidRPr="00F27A03">
              <w:rPr>
                <w:rFonts w:ascii="Calibri" w:hAnsi="Calibri" w:cs="Calibri"/>
                <w:color w:val="002060"/>
                <w:sz w:val="18"/>
                <w:szCs w:val="18"/>
                <w:lang w:val="sr-Cyrl-CS"/>
              </w:rPr>
              <w:t xml:space="preserve"> спољни портфолио (у годинама)</w:t>
            </w:r>
          </w:p>
        </w:tc>
        <w:tc>
          <w:tcPr>
            <w:tcW w:w="366" w:type="pct"/>
            <w:tcBorders>
              <w:top w:val="nil"/>
              <w:bottom w:val="nil"/>
            </w:tcBorders>
            <w:shd w:val="clear" w:color="auto" w:fill="E7E6E6" w:themeFill="background2"/>
            <w:noWrap/>
            <w:hideMark/>
          </w:tcPr>
          <w:p w14:paraId="2C71A7CF"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8,3</w:t>
            </w:r>
          </w:p>
        </w:tc>
        <w:tc>
          <w:tcPr>
            <w:tcW w:w="367" w:type="pct"/>
            <w:tcBorders>
              <w:top w:val="nil"/>
              <w:bottom w:val="nil"/>
            </w:tcBorders>
            <w:shd w:val="clear" w:color="auto" w:fill="E7E6E6" w:themeFill="background2"/>
            <w:noWrap/>
            <w:hideMark/>
          </w:tcPr>
          <w:p w14:paraId="1F3F7A61"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10,0</w:t>
            </w:r>
          </w:p>
        </w:tc>
        <w:tc>
          <w:tcPr>
            <w:tcW w:w="366" w:type="pct"/>
            <w:tcBorders>
              <w:top w:val="nil"/>
              <w:bottom w:val="nil"/>
            </w:tcBorders>
            <w:shd w:val="clear" w:color="auto" w:fill="E7E6E6" w:themeFill="background2"/>
            <w:noWrap/>
            <w:hideMark/>
          </w:tcPr>
          <w:p w14:paraId="6146AE55"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10,3</w:t>
            </w:r>
          </w:p>
        </w:tc>
        <w:tc>
          <w:tcPr>
            <w:tcW w:w="368" w:type="pct"/>
            <w:tcBorders>
              <w:top w:val="nil"/>
              <w:bottom w:val="nil"/>
            </w:tcBorders>
            <w:shd w:val="clear" w:color="auto" w:fill="E7E6E6" w:themeFill="background2"/>
            <w:noWrap/>
            <w:hideMark/>
          </w:tcPr>
          <w:p w14:paraId="6F9ADD93"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8,4</w:t>
            </w:r>
          </w:p>
        </w:tc>
      </w:tr>
      <w:tr w:rsidR="00F24B7F" w:rsidRPr="00F27A03" w14:paraId="7AB5D5B8" w14:textId="77777777" w:rsidTr="0084261B">
        <w:trPr>
          <w:trHeight w:val="262"/>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nil"/>
              <w:bottom w:val="nil"/>
              <w:right w:val="nil"/>
            </w:tcBorders>
            <w:vAlign w:val="center"/>
            <w:hideMark/>
          </w:tcPr>
          <w:p w14:paraId="00AE32D2" w14:textId="77777777" w:rsidR="00F24B7F" w:rsidRPr="00F27A03" w:rsidRDefault="00F24B7F" w:rsidP="00ED5386">
            <w:pPr>
              <w:jc w:val="left"/>
              <w:rPr>
                <w:rFonts w:ascii="Calibri" w:hAnsi="Calibri" w:cs="Calibri"/>
                <w:color w:val="002060"/>
                <w:sz w:val="18"/>
                <w:szCs w:val="18"/>
                <w:lang w:val="sr-Cyrl-CS"/>
              </w:rPr>
            </w:pPr>
          </w:p>
        </w:tc>
        <w:tc>
          <w:tcPr>
            <w:tcW w:w="1957" w:type="pct"/>
            <w:tcBorders>
              <w:top w:val="nil"/>
              <w:left w:val="nil"/>
              <w:bottom w:val="nil"/>
              <w:right w:val="nil"/>
            </w:tcBorders>
            <w:noWrap/>
            <w:hideMark/>
          </w:tcPr>
          <w:p w14:paraId="35E058B0" w14:textId="77777777" w:rsidR="00F24B7F" w:rsidRPr="00F27A03" w:rsidRDefault="00F24B7F" w:rsidP="00ED5386">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F27A03">
              <w:rPr>
                <w:rFonts w:ascii="Calibri" w:hAnsi="Calibri" w:cs="Calibri"/>
                <w:bCs/>
                <w:color w:val="002060"/>
                <w:sz w:val="18"/>
                <w:szCs w:val="18"/>
                <w:lang w:val="sr-Cyrl-CS"/>
              </w:rPr>
              <w:t>ATM домаћи портфолио (у годинама)</w:t>
            </w:r>
          </w:p>
        </w:tc>
        <w:tc>
          <w:tcPr>
            <w:tcW w:w="366" w:type="pct"/>
            <w:tcBorders>
              <w:top w:val="nil"/>
              <w:left w:val="nil"/>
              <w:bottom w:val="nil"/>
              <w:right w:val="nil"/>
            </w:tcBorders>
            <w:noWrap/>
            <w:hideMark/>
          </w:tcPr>
          <w:p w14:paraId="7AB72CD4"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3,6</w:t>
            </w:r>
          </w:p>
        </w:tc>
        <w:tc>
          <w:tcPr>
            <w:tcW w:w="367" w:type="pct"/>
            <w:tcBorders>
              <w:top w:val="nil"/>
              <w:left w:val="nil"/>
              <w:bottom w:val="nil"/>
              <w:right w:val="nil"/>
            </w:tcBorders>
            <w:noWrap/>
            <w:hideMark/>
          </w:tcPr>
          <w:p w14:paraId="603FC4F6"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3,7</w:t>
            </w:r>
          </w:p>
        </w:tc>
        <w:tc>
          <w:tcPr>
            <w:tcW w:w="366" w:type="pct"/>
            <w:tcBorders>
              <w:top w:val="nil"/>
              <w:left w:val="nil"/>
              <w:bottom w:val="nil"/>
              <w:right w:val="nil"/>
            </w:tcBorders>
            <w:noWrap/>
            <w:hideMark/>
          </w:tcPr>
          <w:p w14:paraId="09740CA1"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3,7</w:t>
            </w:r>
          </w:p>
        </w:tc>
        <w:tc>
          <w:tcPr>
            <w:tcW w:w="368" w:type="pct"/>
            <w:tcBorders>
              <w:top w:val="nil"/>
              <w:left w:val="nil"/>
              <w:bottom w:val="nil"/>
              <w:right w:val="nil"/>
            </w:tcBorders>
            <w:noWrap/>
            <w:hideMark/>
          </w:tcPr>
          <w:p w14:paraId="4415283F"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4,9</w:t>
            </w:r>
          </w:p>
        </w:tc>
      </w:tr>
      <w:tr w:rsidR="00F24B7F" w:rsidRPr="00F27A03" w14:paraId="1859F11F" w14:textId="77777777" w:rsidTr="0084261B">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0" w:type="auto"/>
            <w:vMerge/>
            <w:tcBorders>
              <w:top w:val="nil"/>
              <w:bottom w:val="single" w:sz="4" w:space="0" w:color="002060"/>
            </w:tcBorders>
            <w:vAlign w:val="center"/>
            <w:hideMark/>
          </w:tcPr>
          <w:p w14:paraId="2CD4F612" w14:textId="77777777" w:rsidR="00F24B7F" w:rsidRPr="00F27A03" w:rsidRDefault="00F24B7F" w:rsidP="00ED5386">
            <w:pPr>
              <w:jc w:val="left"/>
              <w:rPr>
                <w:rFonts w:ascii="Calibri" w:hAnsi="Calibri" w:cs="Calibri"/>
                <w:color w:val="002060"/>
                <w:sz w:val="18"/>
                <w:szCs w:val="18"/>
                <w:lang w:val="sr-Cyrl-CS"/>
              </w:rPr>
            </w:pPr>
          </w:p>
        </w:tc>
        <w:tc>
          <w:tcPr>
            <w:tcW w:w="1957" w:type="pct"/>
            <w:tcBorders>
              <w:top w:val="nil"/>
              <w:bottom w:val="single" w:sz="4" w:space="0" w:color="002060"/>
            </w:tcBorders>
            <w:shd w:val="clear" w:color="auto" w:fill="E7E6E6" w:themeFill="background2"/>
            <w:noWrap/>
            <w:hideMark/>
          </w:tcPr>
          <w:p w14:paraId="00F0DEB2" w14:textId="77777777" w:rsidR="00F24B7F" w:rsidRPr="00F27A03" w:rsidRDefault="00F24B7F" w:rsidP="00ED5386">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ATM укупан портфолио (у годинама)</w:t>
            </w:r>
          </w:p>
        </w:tc>
        <w:tc>
          <w:tcPr>
            <w:tcW w:w="366" w:type="pct"/>
            <w:tcBorders>
              <w:top w:val="nil"/>
              <w:bottom w:val="single" w:sz="4" w:space="0" w:color="002060"/>
            </w:tcBorders>
            <w:shd w:val="clear" w:color="auto" w:fill="E7E6E6" w:themeFill="background2"/>
            <w:noWrap/>
            <w:hideMark/>
          </w:tcPr>
          <w:p w14:paraId="339BF116"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7,3</w:t>
            </w:r>
          </w:p>
        </w:tc>
        <w:tc>
          <w:tcPr>
            <w:tcW w:w="367" w:type="pct"/>
            <w:tcBorders>
              <w:top w:val="nil"/>
              <w:bottom w:val="single" w:sz="4" w:space="0" w:color="002060"/>
            </w:tcBorders>
            <w:shd w:val="clear" w:color="auto" w:fill="E7E6E6" w:themeFill="background2"/>
            <w:noWrap/>
            <w:hideMark/>
          </w:tcPr>
          <w:p w14:paraId="007CA919"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9,5</w:t>
            </w:r>
          </w:p>
        </w:tc>
        <w:tc>
          <w:tcPr>
            <w:tcW w:w="366" w:type="pct"/>
            <w:tcBorders>
              <w:top w:val="nil"/>
              <w:bottom w:val="single" w:sz="4" w:space="0" w:color="002060"/>
            </w:tcBorders>
            <w:shd w:val="clear" w:color="auto" w:fill="E7E6E6" w:themeFill="background2"/>
            <w:noWrap/>
            <w:hideMark/>
          </w:tcPr>
          <w:p w14:paraId="496FC35D"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9,8</w:t>
            </w:r>
          </w:p>
        </w:tc>
        <w:tc>
          <w:tcPr>
            <w:tcW w:w="368" w:type="pct"/>
            <w:tcBorders>
              <w:top w:val="nil"/>
              <w:bottom w:val="single" w:sz="4" w:space="0" w:color="002060"/>
            </w:tcBorders>
            <w:shd w:val="clear" w:color="auto" w:fill="E7E6E6" w:themeFill="background2"/>
            <w:noWrap/>
            <w:hideMark/>
          </w:tcPr>
          <w:p w14:paraId="5FA6AD79"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6,4</w:t>
            </w:r>
          </w:p>
        </w:tc>
      </w:tr>
      <w:tr w:rsidR="00F24B7F" w:rsidRPr="00F27A03" w14:paraId="791EEB12" w14:textId="77777777" w:rsidTr="0084261B">
        <w:trPr>
          <w:trHeight w:val="262"/>
        </w:trPr>
        <w:tc>
          <w:tcPr>
            <w:tcW w:w="1576" w:type="pct"/>
            <w:vMerge w:val="restart"/>
            <w:tcBorders>
              <w:top w:val="single" w:sz="4" w:space="0" w:color="002060"/>
              <w:left w:val="nil"/>
              <w:bottom w:val="nil"/>
              <w:right w:val="nil"/>
            </w:tcBorders>
            <w:noWrap/>
            <w:hideMark/>
          </w:tcPr>
          <w:p w14:paraId="4D83F6E5" w14:textId="77777777" w:rsidR="00F24B7F" w:rsidRPr="00F27A03" w:rsidRDefault="00F24B7F" w:rsidP="00ED5386">
            <w:pPr>
              <w:spacing w:line="240" w:lineRule="auto"/>
              <w:cnfStyle w:val="001000000000" w:firstRow="0" w:lastRow="0" w:firstColumn="1"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Ризик каматних стопа</w:t>
            </w:r>
          </w:p>
        </w:tc>
        <w:tc>
          <w:tcPr>
            <w:tcW w:w="1957" w:type="pct"/>
            <w:tcBorders>
              <w:top w:val="single" w:sz="4" w:space="0" w:color="002060"/>
              <w:left w:val="nil"/>
              <w:bottom w:val="nil"/>
              <w:right w:val="nil"/>
            </w:tcBorders>
            <w:noWrap/>
            <w:hideMark/>
          </w:tcPr>
          <w:p w14:paraId="5AA397B7"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АТR</w:t>
            </w:r>
            <w:r w:rsidRPr="00F27A03">
              <w:rPr>
                <w:rFonts w:ascii="Calibri" w:hAnsi="Calibri" w:cs="Calibri"/>
                <w:bCs/>
                <w:color w:val="002060"/>
                <w:sz w:val="18"/>
                <w:szCs w:val="18"/>
                <w:vertAlign w:val="superscript"/>
                <w:lang w:val="sr-Cyrl-CS"/>
              </w:rPr>
              <w:footnoteReference w:id="15"/>
            </w:r>
            <w:r w:rsidRPr="00F27A03">
              <w:rPr>
                <w:rFonts w:ascii="Calibri" w:hAnsi="Calibri" w:cs="Calibri"/>
                <w:bCs/>
                <w:color w:val="002060"/>
                <w:sz w:val="18"/>
                <w:szCs w:val="18"/>
                <w:lang w:val="sr-Cyrl-CS"/>
              </w:rPr>
              <w:t xml:space="preserve"> (у годинама)</w:t>
            </w:r>
          </w:p>
        </w:tc>
        <w:tc>
          <w:tcPr>
            <w:tcW w:w="366" w:type="pct"/>
            <w:tcBorders>
              <w:top w:val="single" w:sz="4" w:space="0" w:color="002060"/>
              <w:left w:val="nil"/>
              <w:bottom w:val="nil"/>
              <w:right w:val="nil"/>
            </w:tcBorders>
            <w:noWrap/>
            <w:hideMark/>
          </w:tcPr>
          <w:p w14:paraId="5100303B" w14:textId="77777777" w:rsidR="00F24B7F" w:rsidRPr="00F27A03" w:rsidRDefault="00F24B7F" w:rsidP="00ED5386">
            <w:pPr>
              <w:spacing w:line="240" w:lineRule="auto"/>
              <w:jc w:val="right"/>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5,0</w:t>
            </w:r>
          </w:p>
        </w:tc>
        <w:tc>
          <w:tcPr>
            <w:tcW w:w="367" w:type="pct"/>
            <w:tcBorders>
              <w:top w:val="single" w:sz="4" w:space="0" w:color="002060"/>
              <w:left w:val="nil"/>
              <w:bottom w:val="nil"/>
              <w:right w:val="nil"/>
            </w:tcBorders>
            <w:noWrap/>
            <w:hideMark/>
          </w:tcPr>
          <w:p w14:paraId="0F471EBA" w14:textId="77777777" w:rsidR="00F24B7F" w:rsidRPr="00F27A03" w:rsidRDefault="00F24B7F" w:rsidP="00ED5386">
            <w:pPr>
              <w:spacing w:line="240" w:lineRule="auto"/>
              <w:jc w:val="right"/>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7,8</w:t>
            </w:r>
          </w:p>
        </w:tc>
        <w:tc>
          <w:tcPr>
            <w:tcW w:w="366" w:type="pct"/>
            <w:tcBorders>
              <w:top w:val="single" w:sz="4" w:space="0" w:color="002060"/>
              <w:left w:val="nil"/>
              <w:bottom w:val="nil"/>
              <w:right w:val="nil"/>
            </w:tcBorders>
            <w:noWrap/>
            <w:hideMark/>
          </w:tcPr>
          <w:p w14:paraId="36729080" w14:textId="77777777" w:rsidR="00F24B7F" w:rsidRPr="00F27A03" w:rsidRDefault="00F24B7F" w:rsidP="00ED5386">
            <w:pPr>
              <w:spacing w:line="240" w:lineRule="auto"/>
              <w:jc w:val="right"/>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8,1</w:t>
            </w:r>
          </w:p>
        </w:tc>
        <w:tc>
          <w:tcPr>
            <w:tcW w:w="368" w:type="pct"/>
            <w:tcBorders>
              <w:top w:val="single" w:sz="4" w:space="0" w:color="002060"/>
              <w:left w:val="nil"/>
              <w:bottom w:val="nil"/>
              <w:right w:val="nil"/>
            </w:tcBorders>
            <w:noWrap/>
            <w:hideMark/>
          </w:tcPr>
          <w:p w14:paraId="641E4A8D" w14:textId="77777777" w:rsidR="00F24B7F" w:rsidRPr="00F27A03" w:rsidRDefault="00F24B7F" w:rsidP="00ED5386">
            <w:pPr>
              <w:spacing w:line="240" w:lineRule="auto"/>
              <w:jc w:val="right"/>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4,7</w:t>
            </w:r>
          </w:p>
        </w:tc>
      </w:tr>
      <w:tr w:rsidR="00F24B7F" w:rsidRPr="00F27A03" w14:paraId="0489D340" w14:textId="77777777" w:rsidTr="00ED5386">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02060"/>
              <w:bottom w:val="nil"/>
            </w:tcBorders>
            <w:vAlign w:val="center"/>
            <w:hideMark/>
          </w:tcPr>
          <w:p w14:paraId="322D084D" w14:textId="77777777" w:rsidR="00F24B7F" w:rsidRPr="00F27A03" w:rsidRDefault="00F24B7F" w:rsidP="00ED5386">
            <w:pPr>
              <w:jc w:val="left"/>
              <w:rPr>
                <w:rFonts w:ascii="Calibri" w:hAnsi="Calibri" w:cs="Calibri"/>
                <w:color w:val="002060"/>
                <w:sz w:val="18"/>
                <w:szCs w:val="18"/>
                <w:lang w:val="sr-Cyrl-CS"/>
              </w:rPr>
            </w:pPr>
          </w:p>
        </w:tc>
        <w:tc>
          <w:tcPr>
            <w:tcW w:w="1957" w:type="pct"/>
            <w:tcBorders>
              <w:top w:val="nil"/>
              <w:bottom w:val="nil"/>
            </w:tcBorders>
            <w:shd w:val="clear" w:color="auto" w:fill="E7E6E6" w:themeFill="background2"/>
            <w:noWrap/>
            <w:hideMark/>
          </w:tcPr>
          <w:p w14:paraId="04A44812" w14:textId="77777777" w:rsidR="00F24B7F" w:rsidRPr="00F27A03" w:rsidRDefault="00F24B7F" w:rsidP="00ED5386">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Рефиксирање (% укупног дуга)</w:t>
            </w:r>
          </w:p>
        </w:tc>
        <w:tc>
          <w:tcPr>
            <w:tcW w:w="366" w:type="pct"/>
            <w:tcBorders>
              <w:top w:val="nil"/>
              <w:bottom w:val="nil"/>
            </w:tcBorders>
            <w:shd w:val="clear" w:color="auto" w:fill="E7E6E6" w:themeFill="background2"/>
            <w:noWrap/>
            <w:hideMark/>
          </w:tcPr>
          <w:p w14:paraId="2D6D82B4"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30,9</w:t>
            </w:r>
          </w:p>
        </w:tc>
        <w:tc>
          <w:tcPr>
            <w:tcW w:w="367" w:type="pct"/>
            <w:tcBorders>
              <w:top w:val="nil"/>
              <w:bottom w:val="nil"/>
            </w:tcBorders>
            <w:shd w:val="clear" w:color="auto" w:fill="E7E6E6" w:themeFill="background2"/>
            <w:noWrap/>
            <w:hideMark/>
          </w:tcPr>
          <w:p w14:paraId="5D3BF4A7"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15,2</w:t>
            </w:r>
          </w:p>
        </w:tc>
        <w:tc>
          <w:tcPr>
            <w:tcW w:w="366" w:type="pct"/>
            <w:tcBorders>
              <w:top w:val="nil"/>
              <w:bottom w:val="nil"/>
            </w:tcBorders>
            <w:shd w:val="clear" w:color="auto" w:fill="E7E6E6" w:themeFill="background2"/>
            <w:noWrap/>
            <w:hideMark/>
          </w:tcPr>
          <w:p w14:paraId="60258C86"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15,3</w:t>
            </w:r>
          </w:p>
        </w:tc>
        <w:tc>
          <w:tcPr>
            <w:tcW w:w="368" w:type="pct"/>
            <w:tcBorders>
              <w:top w:val="nil"/>
              <w:bottom w:val="nil"/>
            </w:tcBorders>
            <w:shd w:val="clear" w:color="auto" w:fill="E7E6E6" w:themeFill="background2"/>
            <w:noWrap/>
            <w:hideMark/>
          </w:tcPr>
          <w:p w14:paraId="1B8CD310"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18,9</w:t>
            </w:r>
          </w:p>
        </w:tc>
      </w:tr>
      <w:tr w:rsidR="00F24B7F" w:rsidRPr="00F27A03" w14:paraId="6C5DFF39" w14:textId="77777777" w:rsidTr="0084261B">
        <w:trPr>
          <w:trHeight w:val="262"/>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02060"/>
              <w:left w:val="nil"/>
              <w:bottom w:val="nil"/>
              <w:right w:val="nil"/>
            </w:tcBorders>
            <w:vAlign w:val="center"/>
            <w:hideMark/>
          </w:tcPr>
          <w:p w14:paraId="3679E7D6" w14:textId="77777777" w:rsidR="00F24B7F" w:rsidRPr="00F27A03" w:rsidRDefault="00F24B7F" w:rsidP="00ED5386">
            <w:pPr>
              <w:jc w:val="left"/>
              <w:rPr>
                <w:rFonts w:ascii="Calibri" w:hAnsi="Calibri" w:cs="Calibri"/>
                <w:color w:val="002060"/>
                <w:sz w:val="18"/>
                <w:szCs w:val="18"/>
                <w:lang w:val="sr-Cyrl-CS"/>
              </w:rPr>
            </w:pPr>
          </w:p>
        </w:tc>
        <w:tc>
          <w:tcPr>
            <w:tcW w:w="1957" w:type="pct"/>
            <w:tcBorders>
              <w:top w:val="nil"/>
              <w:left w:val="nil"/>
              <w:bottom w:val="nil"/>
              <w:right w:val="nil"/>
            </w:tcBorders>
            <w:noWrap/>
            <w:hideMark/>
          </w:tcPr>
          <w:p w14:paraId="7DBFCF4F" w14:textId="77777777" w:rsidR="00F24B7F" w:rsidRPr="00F27A03" w:rsidRDefault="00F24B7F" w:rsidP="00ED5386">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F27A03">
              <w:rPr>
                <w:rFonts w:ascii="Calibri" w:hAnsi="Calibri" w:cs="Calibri"/>
                <w:bCs/>
                <w:color w:val="002060"/>
                <w:sz w:val="18"/>
                <w:szCs w:val="18"/>
                <w:lang w:val="sr-Cyrl-CS"/>
              </w:rPr>
              <w:t>Дуг по фиксним стопама (% укупног дуга)</w:t>
            </w:r>
          </w:p>
        </w:tc>
        <w:tc>
          <w:tcPr>
            <w:tcW w:w="366" w:type="pct"/>
            <w:tcBorders>
              <w:top w:val="nil"/>
              <w:left w:val="nil"/>
              <w:bottom w:val="nil"/>
              <w:right w:val="nil"/>
            </w:tcBorders>
            <w:noWrap/>
            <w:hideMark/>
          </w:tcPr>
          <w:p w14:paraId="42811058"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77,6</w:t>
            </w:r>
          </w:p>
        </w:tc>
        <w:tc>
          <w:tcPr>
            <w:tcW w:w="367" w:type="pct"/>
            <w:tcBorders>
              <w:top w:val="nil"/>
              <w:left w:val="nil"/>
              <w:bottom w:val="nil"/>
              <w:right w:val="nil"/>
            </w:tcBorders>
            <w:noWrap/>
            <w:hideMark/>
          </w:tcPr>
          <w:p w14:paraId="6C5CE98A"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90,1</w:t>
            </w:r>
          </w:p>
        </w:tc>
        <w:tc>
          <w:tcPr>
            <w:tcW w:w="366" w:type="pct"/>
            <w:tcBorders>
              <w:top w:val="nil"/>
              <w:left w:val="nil"/>
              <w:bottom w:val="nil"/>
              <w:right w:val="nil"/>
            </w:tcBorders>
            <w:noWrap/>
            <w:hideMark/>
          </w:tcPr>
          <w:p w14:paraId="437850B6"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90,0</w:t>
            </w:r>
          </w:p>
        </w:tc>
        <w:tc>
          <w:tcPr>
            <w:tcW w:w="368" w:type="pct"/>
            <w:tcBorders>
              <w:top w:val="nil"/>
              <w:left w:val="nil"/>
              <w:bottom w:val="nil"/>
              <w:right w:val="nil"/>
            </w:tcBorders>
            <w:noWrap/>
            <w:hideMark/>
          </w:tcPr>
          <w:p w14:paraId="79BD4070" w14:textId="77777777" w:rsidR="00F24B7F" w:rsidRPr="00F27A03" w:rsidRDefault="00F24B7F" w:rsidP="00ED5386">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90,0</w:t>
            </w:r>
          </w:p>
        </w:tc>
      </w:tr>
      <w:tr w:rsidR="00F24B7F" w:rsidRPr="00F27A03" w14:paraId="2AB29B7C" w14:textId="77777777" w:rsidTr="0084261B">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576" w:type="pct"/>
            <w:tcBorders>
              <w:top w:val="nil"/>
              <w:bottom w:val="single" w:sz="4" w:space="0" w:color="002060"/>
            </w:tcBorders>
            <w:shd w:val="clear" w:color="auto" w:fill="E7E6E6" w:themeFill="background2"/>
            <w:noWrap/>
            <w:hideMark/>
          </w:tcPr>
          <w:p w14:paraId="6D151555" w14:textId="77777777" w:rsidR="00F24B7F" w:rsidRPr="00F27A03" w:rsidRDefault="00F24B7F" w:rsidP="00ED5386">
            <w:pPr>
              <w:spacing w:line="240" w:lineRule="auto"/>
              <w:rPr>
                <w:rFonts w:ascii="Calibri" w:hAnsi="Calibri" w:cs="Calibri"/>
                <w:color w:val="002060"/>
                <w:sz w:val="18"/>
                <w:szCs w:val="18"/>
                <w:lang w:val="sr-Cyrl-CS"/>
              </w:rPr>
            </w:pPr>
            <w:r w:rsidRPr="00F27A03">
              <w:rPr>
                <w:rFonts w:ascii="Calibri" w:hAnsi="Calibri" w:cs="Calibri"/>
                <w:color w:val="002060"/>
                <w:sz w:val="18"/>
                <w:szCs w:val="18"/>
                <w:lang w:val="sr-Cyrl-CS"/>
              </w:rPr>
              <w:t>Ризик девизног курса</w:t>
            </w:r>
          </w:p>
        </w:tc>
        <w:tc>
          <w:tcPr>
            <w:tcW w:w="1957" w:type="pct"/>
            <w:tcBorders>
              <w:top w:val="nil"/>
              <w:bottom w:val="single" w:sz="4" w:space="0" w:color="002060"/>
            </w:tcBorders>
            <w:shd w:val="clear" w:color="auto" w:fill="E7E6E6" w:themeFill="background2"/>
            <w:noWrap/>
            <w:hideMark/>
          </w:tcPr>
          <w:p w14:paraId="5CE03FCF" w14:textId="77777777" w:rsidR="00F24B7F" w:rsidRPr="00F27A03" w:rsidRDefault="00F24B7F" w:rsidP="00ED5386">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27A03">
              <w:rPr>
                <w:rFonts w:ascii="Calibri" w:hAnsi="Calibri" w:cs="Calibri"/>
                <w:color w:val="002060"/>
                <w:sz w:val="18"/>
                <w:szCs w:val="18"/>
                <w:lang w:val="sr-Cyrl-CS"/>
              </w:rPr>
              <w:t>Ино-валутни дуг (% укупног дуга)</w:t>
            </w:r>
          </w:p>
        </w:tc>
        <w:tc>
          <w:tcPr>
            <w:tcW w:w="366" w:type="pct"/>
            <w:tcBorders>
              <w:top w:val="nil"/>
              <w:bottom w:val="single" w:sz="4" w:space="0" w:color="002060"/>
            </w:tcBorders>
            <w:shd w:val="clear" w:color="auto" w:fill="E7E6E6" w:themeFill="background2"/>
            <w:noWrap/>
            <w:hideMark/>
          </w:tcPr>
          <w:p w14:paraId="21FCD1A0"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81,4</w:t>
            </w:r>
          </w:p>
        </w:tc>
        <w:tc>
          <w:tcPr>
            <w:tcW w:w="367" w:type="pct"/>
            <w:tcBorders>
              <w:top w:val="nil"/>
              <w:bottom w:val="single" w:sz="4" w:space="0" w:color="002060"/>
            </w:tcBorders>
            <w:shd w:val="clear" w:color="auto" w:fill="E7E6E6" w:themeFill="background2"/>
            <w:noWrap/>
            <w:hideMark/>
          </w:tcPr>
          <w:p w14:paraId="7B02B067"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91,6</w:t>
            </w:r>
          </w:p>
        </w:tc>
        <w:tc>
          <w:tcPr>
            <w:tcW w:w="366" w:type="pct"/>
            <w:tcBorders>
              <w:top w:val="nil"/>
              <w:bottom w:val="single" w:sz="4" w:space="0" w:color="002060"/>
            </w:tcBorders>
            <w:shd w:val="clear" w:color="auto" w:fill="E7E6E6" w:themeFill="background2"/>
            <w:noWrap/>
            <w:hideMark/>
          </w:tcPr>
          <w:p w14:paraId="313651FC"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91,6</w:t>
            </w:r>
          </w:p>
        </w:tc>
        <w:tc>
          <w:tcPr>
            <w:tcW w:w="368" w:type="pct"/>
            <w:tcBorders>
              <w:top w:val="nil"/>
              <w:bottom w:val="single" w:sz="4" w:space="0" w:color="002060"/>
            </w:tcBorders>
            <w:shd w:val="clear" w:color="auto" w:fill="E7E6E6" w:themeFill="background2"/>
            <w:noWrap/>
            <w:hideMark/>
          </w:tcPr>
          <w:p w14:paraId="0BF4000D" w14:textId="77777777" w:rsidR="00F24B7F" w:rsidRPr="00F27A03" w:rsidRDefault="00F24B7F" w:rsidP="00ED5386">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27A03">
              <w:rPr>
                <w:rFonts w:ascii="Calibri" w:hAnsi="Calibri" w:cs="Calibri"/>
                <w:b/>
                <w:bCs/>
                <w:color w:val="002060"/>
                <w:sz w:val="18"/>
                <w:szCs w:val="18"/>
                <w:lang w:val="sr-Cyrl-CS"/>
              </w:rPr>
              <w:t>42,7</w:t>
            </w:r>
          </w:p>
        </w:tc>
      </w:tr>
    </w:tbl>
    <w:p w14:paraId="2103B6B2" w14:textId="77777777" w:rsidR="00F24B7F" w:rsidRPr="00F27A03" w:rsidRDefault="00F24B7F" w:rsidP="00BE5A76">
      <w:pPr>
        <w:spacing w:after="80" w:line="257" w:lineRule="auto"/>
        <w:jc w:val="left"/>
        <w:rPr>
          <w:rFonts w:ascii="Cambria" w:eastAsia="Calibri" w:hAnsi="Cambria" w:cs="Times New Roman"/>
          <w:b/>
          <w:i/>
          <w:lang w:val="sr-Cyrl-CS"/>
        </w:rPr>
        <w:sectPr w:rsidR="00F24B7F" w:rsidRPr="00F27A03">
          <w:type w:val="continuous"/>
          <w:pgSz w:w="12240" w:h="15840"/>
          <w:pgMar w:top="1440" w:right="1440" w:bottom="1440" w:left="1440" w:header="720" w:footer="720" w:gutter="0"/>
          <w:cols w:space="720"/>
          <w15:footnoteColumns w:val="1"/>
        </w:sectPr>
      </w:pPr>
    </w:p>
    <w:p w14:paraId="26848B8E" w14:textId="77777777" w:rsidR="00F24B7F" w:rsidRPr="00F27A03" w:rsidRDefault="00F24B7F" w:rsidP="00C91F83">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Стрес-тест анализа</w:t>
      </w:r>
    </w:p>
    <w:p w14:paraId="45EA859A" w14:textId="77777777" w:rsidR="00F24B7F" w:rsidRPr="00F27A03" w:rsidRDefault="00F24B7F" w:rsidP="00C91F83">
      <w:pPr>
        <w:rPr>
          <w:rFonts w:ascii="Calibri" w:eastAsia="Calibri" w:hAnsi="Calibri" w:cs="Calibri"/>
          <w:bCs/>
          <w:spacing w:val="-4"/>
          <w:szCs w:val="72"/>
          <w:lang w:val="sr-Cyrl-CS"/>
        </w:rPr>
      </w:pPr>
      <w:r w:rsidRPr="00F27A03">
        <w:rPr>
          <w:rFonts w:ascii="Calibri" w:eastAsia="Calibri" w:hAnsi="Calibri" w:cs="Calibri"/>
          <w:bCs/>
          <w:spacing w:val="-4"/>
          <w:szCs w:val="72"/>
          <w:lang w:val="sr-Cyrl-CS"/>
        </w:rPr>
        <w:t>Фискално правило, дефинисано Законом о буџетском систему, прописује обавезу да јавни дуг општег нивоа државе не може бити већи од 45% БДП. У случају да износ дуга пређе тај ниво, Влада је дужна да донесе програм за смањење јавног дуга у односу на БДП, тј. за враћање дуга у законски оквир.</w:t>
      </w:r>
    </w:p>
    <w:p w14:paraId="51143591" w14:textId="7F7DF962"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 xml:space="preserve">На крају 2021. године стање дуга централног нивоа власти достигло је 56,5% БДП, а опште државе 57,1% БДП. Рацио јавни дуг/БДП централног нивоа власти на крају септембра 2022. године износио је 53,7% БДП, а опште државе 54,2% БДП. До краја 2022. године се очекује благи раст рација на ниво од око 56,1% БДП на централном нивоу, односно 56,9% БДП на нивоу опште државе, пре свега услед реализације великих инфраструктурних пројеката који се финансирају из пројектних зајмова и </w:t>
      </w:r>
      <w:r w:rsidRPr="00F27A03">
        <w:rPr>
          <w:rFonts w:ascii="Calibri" w:eastAsia="Calibri" w:hAnsi="Calibri" w:cs="Calibri"/>
          <w:bCs/>
          <w:szCs w:val="72"/>
          <w:lang w:val="sr-Cyrl-CS"/>
        </w:rPr>
        <w:t xml:space="preserve">обезбеђивања средстава потребних за сервисирање обавеза у 2023. години. Због високог учешћа дуга деноминованог у страној валути (74,6%), евидентно је да ће девизни ризик детерминисати понашање рација јавни дуг/БДП у </w:t>
      </w:r>
      <w:r w:rsidRPr="00F27A03">
        <w:rPr>
          <w:rFonts w:ascii="Calibri" w:eastAsia="Calibri" w:hAnsi="Calibri" w:cs="Calibri"/>
          <w:bCs/>
          <w:spacing w:val="-2"/>
          <w:szCs w:val="72"/>
          <w:lang w:val="sr-Cyrl-CS"/>
        </w:rPr>
        <w:t xml:space="preserve">наредном периоду и битно условљавати успех мера фискалне политике </w:t>
      </w:r>
      <w:r w:rsidR="00CE1189" w:rsidRPr="00F27A03">
        <w:rPr>
          <w:rFonts w:ascii="Calibri" w:eastAsia="Calibri" w:hAnsi="Calibri" w:cs="Calibri"/>
          <w:bCs/>
          <w:spacing w:val="-2"/>
          <w:szCs w:val="72"/>
          <w:lang w:val="sr-Cyrl-CS"/>
        </w:rPr>
        <w:t xml:space="preserve">усмерених </w:t>
      </w:r>
      <w:r w:rsidRPr="00F27A03">
        <w:rPr>
          <w:rFonts w:ascii="Calibri" w:eastAsia="Calibri" w:hAnsi="Calibri" w:cs="Calibri"/>
          <w:bCs/>
          <w:spacing w:val="-2"/>
          <w:szCs w:val="72"/>
          <w:lang w:val="sr-Cyrl-CS"/>
        </w:rPr>
        <w:t>на консолидациј</w:t>
      </w:r>
      <w:r w:rsidR="00CE1189" w:rsidRPr="00F27A03">
        <w:rPr>
          <w:rFonts w:ascii="Calibri" w:eastAsia="Calibri" w:hAnsi="Calibri" w:cs="Calibri"/>
          <w:bCs/>
          <w:spacing w:val="-2"/>
          <w:szCs w:val="72"/>
          <w:lang w:val="sr-Cyrl-CS"/>
        </w:rPr>
        <w:t>у</w:t>
      </w:r>
      <w:r w:rsidRPr="00F27A03">
        <w:rPr>
          <w:rFonts w:ascii="Calibri" w:eastAsia="Calibri" w:hAnsi="Calibri" w:cs="Calibri"/>
          <w:bCs/>
          <w:spacing w:val="-2"/>
          <w:szCs w:val="72"/>
          <w:lang w:val="sr-Cyrl-CS"/>
        </w:rPr>
        <w:t xml:space="preserve"> јавних финансија и смањењу учешћа јавног дуга у БДП.</w:t>
      </w:r>
    </w:p>
    <w:p w14:paraId="0F57E69A"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На основу планираног макроекономског оквира, а у случају изостанка утицаја могућих ризика, јавни дуг централног нивоа власти би на крају 2025. године требало да буде на нивоу од 53,0% БДП.</w:t>
      </w:r>
    </w:p>
    <w:p w14:paraId="3A365D24"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Основни фактори који утичу на стабилизацију рација јавни дуг/БДП су раст БДП, позитивни примарни резултат, курс динара према ино-валутама и висина каматних стопа.</w:t>
      </w:r>
    </w:p>
    <w:p w14:paraId="529FF496" w14:textId="77777777" w:rsidR="00F24B7F" w:rsidRPr="00F27A03" w:rsidRDefault="00F24B7F" w:rsidP="00C91F83">
      <w:pPr>
        <w:spacing w:line="256" w:lineRule="auto"/>
        <w:jc w:val="center"/>
        <w:rPr>
          <w:rFonts w:ascii="Calibri" w:eastAsia="Calibri" w:hAnsi="Calibri" w:cs="Times New Roman"/>
          <w:b/>
          <w:color w:val="002060"/>
          <w:lang w:val="sr-Cyrl-CS"/>
        </w:rPr>
        <w:sectPr w:rsidR="00F24B7F" w:rsidRPr="00F27A03" w:rsidSect="00C91F83">
          <w:type w:val="continuous"/>
          <w:pgSz w:w="12240" w:h="15840" w:code="1"/>
          <w:pgMar w:top="1418" w:right="1418" w:bottom="1418" w:left="1418" w:header="720" w:footer="720" w:gutter="0"/>
          <w:cols w:num="2" w:space="720"/>
          <w:docGrid w:linePitch="272"/>
        </w:sectPr>
      </w:pPr>
    </w:p>
    <w:p w14:paraId="3D5BD60B" w14:textId="77777777" w:rsidR="0062301D" w:rsidRPr="00F27A03" w:rsidRDefault="0062301D" w:rsidP="0062301D">
      <w:pPr>
        <w:rPr>
          <w:lang w:val="sr-Cyrl-CS"/>
        </w:rPr>
      </w:pPr>
    </w:p>
    <w:p w14:paraId="5D76F568" w14:textId="4599992E"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lastRenderedPageBreak/>
        <w:t xml:space="preserve">Табела </w:t>
      </w:r>
      <w:r w:rsidR="00EB3946" w:rsidRPr="00F27A03">
        <w:rPr>
          <w:rFonts w:ascii="Calibri" w:eastAsia="Calibri" w:hAnsi="Calibri" w:cs="Times New Roman"/>
          <w:b/>
          <w:color w:val="002060"/>
          <w:lang w:val="sr-Cyrl-CS"/>
        </w:rPr>
        <w:t>29</w:t>
      </w:r>
      <w:r w:rsidRPr="00F27A03">
        <w:rPr>
          <w:rFonts w:ascii="Calibri" w:eastAsia="Calibri" w:hAnsi="Calibri" w:cs="Times New Roman"/>
          <w:b/>
          <w:color w:val="002060"/>
          <w:lang w:val="sr-Cyrl-CS"/>
        </w:rPr>
        <w:t xml:space="preserve">. Доприноси основних макроекономских варијабли на промену рација </w:t>
      </w:r>
      <w:r w:rsidRPr="00F27A03">
        <w:rPr>
          <w:rFonts w:ascii="Calibri" w:eastAsia="Calibri" w:hAnsi="Calibri" w:cs="Times New Roman"/>
          <w:b/>
          <w:color w:val="002060"/>
          <w:lang w:val="sr-Cyrl-CS"/>
        </w:rPr>
        <w:br w:type="textWrapping" w:clear="all"/>
        <w:t>јавни дуг (централног нивоа државе) – БДП, у %</w:t>
      </w:r>
    </w:p>
    <w:tbl>
      <w:tblPr>
        <w:tblStyle w:val="LightShading-Accent1222"/>
        <w:tblW w:w="5000" w:type="pct"/>
        <w:tblInd w:w="0" w:type="dxa"/>
        <w:tblLook w:val="0420" w:firstRow="1" w:lastRow="0" w:firstColumn="0" w:lastColumn="0" w:noHBand="0" w:noVBand="1"/>
      </w:tblPr>
      <w:tblGrid>
        <w:gridCol w:w="3843"/>
        <w:gridCol w:w="926"/>
        <w:gridCol w:w="927"/>
        <w:gridCol w:w="927"/>
        <w:gridCol w:w="927"/>
        <w:gridCol w:w="927"/>
        <w:gridCol w:w="927"/>
      </w:tblGrid>
      <w:tr w:rsidR="00F24B7F" w:rsidRPr="00F27A03" w14:paraId="701111CE" w14:textId="77777777" w:rsidTr="00FF2460">
        <w:trPr>
          <w:cnfStyle w:val="100000000000" w:firstRow="1" w:lastRow="0" w:firstColumn="0" w:lastColumn="0" w:oddVBand="0" w:evenVBand="0" w:oddHBand="0" w:evenHBand="0" w:firstRowFirstColumn="0" w:firstRowLastColumn="0" w:lastRowFirstColumn="0" w:lastRowLastColumn="0"/>
          <w:trHeight w:val="265"/>
        </w:trPr>
        <w:tc>
          <w:tcPr>
            <w:tcW w:w="2043" w:type="pct"/>
            <w:tcBorders>
              <w:top w:val="single" w:sz="4" w:space="0" w:color="002060"/>
              <w:bottom w:val="single" w:sz="8" w:space="0" w:color="FFFFFF" w:themeColor="background1"/>
            </w:tcBorders>
            <w:noWrap/>
            <w:hideMark/>
          </w:tcPr>
          <w:p w14:paraId="37B18B98" w14:textId="77777777" w:rsidR="00F24B7F" w:rsidRPr="00F27A03" w:rsidRDefault="00F24B7F" w:rsidP="00C91F83">
            <w:pPr>
              <w:jc w:val="center"/>
              <w:rPr>
                <w:rFonts w:ascii="Calibri" w:hAnsi="Calibri" w:cs="Calibri"/>
                <w:color w:val="002060"/>
                <w:sz w:val="18"/>
                <w:szCs w:val="18"/>
                <w:lang w:val="sr-Cyrl-CS"/>
              </w:rPr>
            </w:pPr>
            <w:r w:rsidRPr="00F27A03">
              <w:rPr>
                <w:rFonts w:ascii="Calibri" w:hAnsi="Calibri" w:cs="Calibri"/>
                <w:color w:val="002060"/>
                <w:sz w:val="18"/>
                <w:szCs w:val="18"/>
                <w:lang w:val="sr-Cyrl-CS"/>
              </w:rPr>
              <w:t> </w:t>
            </w:r>
          </w:p>
        </w:tc>
        <w:tc>
          <w:tcPr>
            <w:tcW w:w="492" w:type="pct"/>
            <w:tcBorders>
              <w:top w:val="single" w:sz="4" w:space="0" w:color="002060"/>
              <w:bottom w:val="single" w:sz="4" w:space="0" w:color="002060"/>
            </w:tcBorders>
            <w:hideMark/>
          </w:tcPr>
          <w:p w14:paraId="314526E1" w14:textId="77777777" w:rsidR="00F24B7F" w:rsidRPr="00F27A03" w:rsidRDefault="00F24B7F" w:rsidP="00C91F83">
            <w:pPr>
              <w:jc w:val="center"/>
              <w:rPr>
                <w:rFonts w:ascii="Calibri" w:hAnsi="Calibri" w:cs="Calibri"/>
                <w:color w:val="002060"/>
                <w:sz w:val="18"/>
                <w:szCs w:val="18"/>
                <w:lang w:val="sr-Cyrl-CS"/>
              </w:rPr>
            </w:pPr>
            <w:r w:rsidRPr="00F27A03">
              <w:rPr>
                <w:rFonts w:ascii="Calibri" w:hAnsi="Calibri" w:cs="Calibri"/>
                <w:color w:val="002060"/>
                <w:sz w:val="18"/>
                <w:szCs w:val="18"/>
                <w:lang w:val="sr-Cyrl-CS"/>
              </w:rPr>
              <w:t xml:space="preserve">2020 </w:t>
            </w:r>
          </w:p>
        </w:tc>
        <w:tc>
          <w:tcPr>
            <w:tcW w:w="493" w:type="pct"/>
            <w:tcBorders>
              <w:top w:val="single" w:sz="4" w:space="0" w:color="002060"/>
              <w:bottom w:val="single" w:sz="4" w:space="0" w:color="002060"/>
            </w:tcBorders>
            <w:hideMark/>
          </w:tcPr>
          <w:p w14:paraId="44F1455A" w14:textId="77777777" w:rsidR="00F24B7F" w:rsidRPr="00F27A03" w:rsidRDefault="00F24B7F" w:rsidP="00C91F83">
            <w:pPr>
              <w:jc w:val="center"/>
              <w:rPr>
                <w:rFonts w:ascii="Calibri" w:hAnsi="Calibri" w:cs="Calibri"/>
                <w:color w:val="002060"/>
                <w:sz w:val="18"/>
                <w:szCs w:val="18"/>
                <w:lang w:val="sr-Cyrl-CS"/>
              </w:rPr>
            </w:pPr>
            <w:r w:rsidRPr="00F27A03">
              <w:rPr>
                <w:rFonts w:ascii="Calibri" w:hAnsi="Calibri" w:cs="Calibri"/>
                <w:color w:val="002060"/>
                <w:sz w:val="18"/>
                <w:szCs w:val="18"/>
                <w:lang w:val="sr-Cyrl-CS"/>
              </w:rPr>
              <w:t>2021</w:t>
            </w:r>
          </w:p>
        </w:tc>
        <w:tc>
          <w:tcPr>
            <w:tcW w:w="493" w:type="pct"/>
            <w:tcBorders>
              <w:top w:val="single" w:sz="4" w:space="0" w:color="002060"/>
              <w:bottom w:val="single" w:sz="4" w:space="0" w:color="002060"/>
            </w:tcBorders>
            <w:noWrap/>
            <w:hideMark/>
          </w:tcPr>
          <w:p w14:paraId="76FE6FB3" w14:textId="77777777" w:rsidR="00F24B7F" w:rsidRPr="00F27A03" w:rsidRDefault="00F24B7F" w:rsidP="00C91F83">
            <w:pPr>
              <w:jc w:val="center"/>
              <w:rPr>
                <w:rFonts w:ascii="Calibri" w:hAnsi="Calibri" w:cs="Calibri"/>
                <w:color w:val="002060"/>
                <w:sz w:val="18"/>
                <w:szCs w:val="18"/>
                <w:lang w:val="sr-Cyrl-CS"/>
              </w:rPr>
            </w:pPr>
            <w:r w:rsidRPr="00F27A03">
              <w:rPr>
                <w:rFonts w:ascii="Calibri" w:hAnsi="Calibri" w:cs="Calibri"/>
                <w:color w:val="002060"/>
                <w:sz w:val="18"/>
                <w:szCs w:val="18"/>
                <w:lang w:val="sr-Cyrl-CS"/>
              </w:rPr>
              <w:t>2022 п</w:t>
            </w:r>
          </w:p>
        </w:tc>
        <w:tc>
          <w:tcPr>
            <w:tcW w:w="493" w:type="pct"/>
            <w:tcBorders>
              <w:top w:val="single" w:sz="4" w:space="0" w:color="002060"/>
              <w:bottom w:val="single" w:sz="4" w:space="0" w:color="002060"/>
            </w:tcBorders>
            <w:noWrap/>
            <w:hideMark/>
          </w:tcPr>
          <w:p w14:paraId="1A101659" w14:textId="77777777" w:rsidR="00F24B7F" w:rsidRPr="00F27A03" w:rsidRDefault="00F24B7F" w:rsidP="00C91F83">
            <w:pPr>
              <w:jc w:val="center"/>
              <w:rPr>
                <w:rFonts w:ascii="Calibri" w:hAnsi="Calibri" w:cs="Calibri"/>
                <w:color w:val="002060"/>
                <w:sz w:val="18"/>
                <w:szCs w:val="18"/>
                <w:lang w:val="sr-Cyrl-CS"/>
              </w:rPr>
            </w:pPr>
            <w:r w:rsidRPr="00F27A03">
              <w:rPr>
                <w:rFonts w:ascii="Calibri" w:hAnsi="Calibri" w:cs="Calibri"/>
                <w:color w:val="002060"/>
                <w:sz w:val="18"/>
                <w:szCs w:val="18"/>
                <w:lang w:val="sr-Cyrl-CS"/>
              </w:rPr>
              <w:t>2023 п</w:t>
            </w:r>
          </w:p>
        </w:tc>
        <w:tc>
          <w:tcPr>
            <w:tcW w:w="493" w:type="pct"/>
            <w:tcBorders>
              <w:top w:val="single" w:sz="4" w:space="0" w:color="002060"/>
              <w:bottom w:val="single" w:sz="4" w:space="0" w:color="002060"/>
            </w:tcBorders>
            <w:noWrap/>
            <w:hideMark/>
          </w:tcPr>
          <w:p w14:paraId="76361298" w14:textId="77777777" w:rsidR="00F24B7F" w:rsidRPr="00F27A03" w:rsidRDefault="00F24B7F" w:rsidP="00C91F83">
            <w:pPr>
              <w:jc w:val="center"/>
              <w:rPr>
                <w:rFonts w:ascii="Calibri" w:hAnsi="Calibri" w:cs="Calibri"/>
                <w:color w:val="002060"/>
                <w:sz w:val="18"/>
                <w:szCs w:val="18"/>
                <w:lang w:val="sr-Cyrl-CS"/>
              </w:rPr>
            </w:pPr>
            <w:r w:rsidRPr="00F27A03">
              <w:rPr>
                <w:rFonts w:ascii="Calibri" w:hAnsi="Calibri" w:cs="Calibri"/>
                <w:color w:val="002060"/>
                <w:sz w:val="18"/>
                <w:szCs w:val="18"/>
                <w:lang w:val="sr-Cyrl-CS"/>
              </w:rPr>
              <w:t>2024 п</w:t>
            </w:r>
          </w:p>
        </w:tc>
        <w:tc>
          <w:tcPr>
            <w:tcW w:w="493" w:type="pct"/>
            <w:tcBorders>
              <w:top w:val="single" w:sz="4" w:space="0" w:color="002060"/>
              <w:bottom w:val="single" w:sz="4" w:space="0" w:color="002060"/>
            </w:tcBorders>
            <w:noWrap/>
            <w:hideMark/>
          </w:tcPr>
          <w:p w14:paraId="13744F40" w14:textId="77777777" w:rsidR="00F24B7F" w:rsidRPr="00F27A03" w:rsidRDefault="00F24B7F" w:rsidP="00C91F83">
            <w:pPr>
              <w:jc w:val="center"/>
              <w:rPr>
                <w:rFonts w:ascii="Calibri" w:hAnsi="Calibri" w:cs="Calibri"/>
                <w:color w:val="002060"/>
                <w:sz w:val="18"/>
                <w:szCs w:val="18"/>
                <w:lang w:val="sr-Cyrl-CS"/>
              </w:rPr>
            </w:pPr>
            <w:r w:rsidRPr="00F27A03">
              <w:rPr>
                <w:rFonts w:ascii="Calibri" w:hAnsi="Calibri" w:cs="Calibri"/>
                <w:color w:val="002060"/>
                <w:sz w:val="18"/>
                <w:szCs w:val="18"/>
                <w:lang w:val="sr-Cyrl-CS"/>
              </w:rPr>
              <w:t>2025 п</w:t>
            </w:r>
          </w:p>
        </w:tc>
      </w:tr>
      <w:tr w:rsidR="00F24B7F" w:rsidRPr="00F27A03" w14:paraId="71E35886" w14:textId="77777777" w:rsidTr="00FF2460">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single" w:sz="8" w:space="0" w:color="FFFFFF" w:themeColor="background1"/>
              <w:bottom w:val="nil"/>
            </w:tcBorders>
            <w:shd w:val="clear" w:color="auto" w:fill="E7E6E6" w:themeFill="background2"/>
            <w:noWrap/>
            <w:hideMark/>
          </w:tcPr>
          <w:p w14:paraId="59E4F795"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Дуг централне државе/БДП</w:t>
            </w:r>
          </w:p>
        </w:tc>
        <w:tc>
          <w:tcPr>
            <w:tcW w:w="492" w:type="pct"/>
            <w:tcBorders>
              <w:top w:val="single" w:sz="4" w:space="0" w:color="002060"/>
              <w:bottom w:val="nil"/>
            </w:tcBorders>
            <w:shd w:val="clear" w:color="auto" w:fill="E7E6E6" w:themeFill="background2"/>
            <w:hideMark/>
          </w:tcPr>
          <w:p w14:paraId="3FFAF0C3"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57,0</w:t>
            </w:r>
          </w:p>
        </w:tc>
        <w:tc>
          <w:tcPr>
            <w:tcW w:w="493" w:type="pct"/>
            <w:tcBorders>
              <w:top w:val="single" w:sz="4" w:space="0" w:color="002060"/>
              <w:bottom w:val="nil"/>
            </w:tcBorders>
            <w:shd w:val="clear" w:color="auto" w:fill="E7E6E6" w:themeFill="background2"/>
            <w:hideMark/>
          </w:tcPr>
          <w:p w14:paraId="18F33652"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56,5</w:t>
            </w:r>
          </w:p>
        </w:tc>
        <w:tc>
          <w:tcPr>
            <w:tcW w:w="493" w:type="pct"/>
            <w:tcBorders>
              <w:top w:val="single" w:sz="4" w:space="0" w:color="002060"/>
              <w:bottom w:val="nil"/>
            </w:tcBorders>
            <w:shd w:val="clear" w:color="auto" w:fill="E7E6E6" w:themeFill="background2"/>
            <w:noWrap/>
            <w:hideMark/>
          </w:tcPr>
          <w:p w14:paraId="45779439"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56,1</w:t>
            </w:r>
          </w:p>
        </w:tc>
        <w:tc>
          <w:tcPr>
            <w:tcW w:w="493" w:type="pct"/>
            <w:tcBorders>
              <w:top w:val="single" w:sz="4" w:space="0" w:color="002060"/>
              <w:bottom w:val="nil"/>
            </w:tcBorders>
            <w:shd w:val="clear" w:color="auto" w:fill="E7E6E6" w:themeFill="background2"/>
            <w:noWrap/>
            <w:hideMark/>
          </w:tcPr>
          <w:p w14:paraId="177E1D89"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55,1</w:t>
            </w:r>
          </w:p>
        </w:tc>
        <w:tc>
          <w:tcPr>
            <w:tcW w:w="493" w:type="pct"/>
            <w:tcBorders>
              <w:top w:val="single" w:sz="4" w:space="0" w:color="002060"/>
              <w:bottom w:val="nil"/>
            </w:tcBorders>
            <w:shd w:val="clear" w:color="auto" w:fill="E7E6E6" w:themeFill="background2"/>
            <w:noWrap/>
            <w:hideMark/>
          </w:tcPr>
          <w:p w14:paraId="5C3FC78A"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54,1</w:t>
            </w:r>
          </w:p>
        </w:tc>
        <w:tc>
          <w:tcPr>
            <w:tcW w:w="493" w:type="pct"/>
            <w:tcBorders>
              <w:top w:val="single" w:sz="4" w:space="0" w:color="002060"/>
              <w:bottom w:val="nil"/>
            </w:tcBorders>
            <w:shd w:val="clear" w:color="auto" w:fill="E7E6E6" w:themeFill="background2"/>
            <w:noWrap/>
            <w:hideMark/>
          </w:tcPr>
          <w:p w14:paraId="15D6F0DF"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53,0</w:t>
            </w:r>
          </w:p>
        </w:tc>
      </w:tr>
      <w:tr w:rsidR="00F24B7F" w:rsidRPr="00F27A03" w14:paraId="089A3227" w14:textId="77777777" w:rsidTr="00FF2460">
        <w:trPr>
          <w:trHeight w:val="265"/>
        </w:trPr>
        <w:tc>
          <w:tcPr>
            <w:tcW w:w="2043" w:type="pct"/>
            <w:tcBorders>
              <w:top w:val="nil"/>
              <w:left w:val="nil"/>
              <w:bottom w:val="nil"/>
              <w:right w:val="nil"/>
            </w:tcBorders>
            <w:noWrap/>
            <w:hideMark/>
          </w:tcPr>
          <w:p w14:paraId="39C811C1"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Промена у односу на претходну год. у % БДП</w:t>
            </w:r>
          </w:p>
        </w:tc>
        <w:tc>
          <w:tcPr>
            <w:tcW w:w="492" w:type="pct"/>
            <w:tcBorders>
              <w:top w:val="nil"/>
              <w:left w:val="nil"/>
              <w:bottom w:val="nil"/>
              <w:right w:val="nil"/>
            </w:tcBorders>
            <w:hideMark/>
          </w:tcPr>
          <w:p w14:paraId="4B5DE35E"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5,1</w:t>
            </w:r>
          </w:p>
        </w:tc>
        <w:tc>
          <w:tcPr>
            <w:tcW w:w="493" w:type="pct"/>
            <w:tcBorders>
              <w:top w:val="nil"/>
              <w:left w:val="nil"/>
              <w:bottom w:val="nil"/>
              <w:right w:val="nil"/>
            </w:tcBorders>
            <w:hideMark/>
          </w:tcPr>
          <w:p w14:paraId="6BE86736"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-0,5</w:t>
            </w:r>
          </w:p>
        </w:tc>
        <w:tc>
          <w:tcPr>
            <w:tcW w:w="493" w:type="pct"/>
            <w:tcBorders>
              <w:top w:val="nil"/>
              <w:left w:val="nil"/>
              <w:bottom w:val="nil"/>
              <w:right w:val="nil"/>
            </w:tcBorders>
            <w:noWrap/>
            <w:hideMark/>
          </w:tcPr>
          <w:p w14:paraId="4DCC6932"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-0,4</w:t>
            </w:r>
          </w:p>
        </w:tc>
        <w:tc>
          <w:tcPr>
            <w:tcW w:w="493" w:type="pct"/>
            <w:tcBorders>
              <w:top w:val="nil"/>
              <w:left w:val="nil"/>
              <w:bottom w:val="nil"/>
              <w:right w:val="nil"/>
            </w:tcBorders>
            <w:noWrap/>
            <w:hideMark/>
          </w:tcPr>
          <w:p w14:paraId="35EC7044"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-1,0</w:t>
            </w:r>
          </w:p>
        </w:tc>
        <w:tc>
          <w:tcPr>
            <w:tcW w:w="493" w:type="pct"/>
            <w:tcBorders>
              <w:top w:val="nil"/>
              <w:left w:val="nil"/>
              <w:bottom w:val="nil"/>
              <w:right w:val="nil"/>
            </w:tcBorders>
            <w:noWrap/>
            <w:hideMark/>
          </w:tcPr>
          <w:p w14:paraId="4A9BB705"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-1,0</w:t>
            </w:r>
          </w:p>
        </w:tc>
        <w:tc>
          <w:tcPr>
            <w:tcW w:w="493" w:type="pct"/>
            <w:tcBorders>
              <w:top w:val="nil"/>
              <w:left w:val="nil"/>
              <w:bottom w:val="nil"/>
              <w:right w:val="nil"/>
            </w:tcBorders>
            <w:noWrap/>
            <w:hideMark/>
          </w:tcPr>
          <w:p w14:paraId="52C91E3F"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-1,1</w:t>
            </w:r>
          </w:p>
        </w:tc>
      </w:tr>
      <w:tr w:rsidR="00F24B7F" w:rsidRPr="00F27A03" w14:paraId="35AF67A3" w14:textId="77777777" w:rsidTr="00FF2460">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nil"/>
              <w:bottom w:val="nil"/>
            </w:tcBorders>
            <w:shd w:val="clear" w:color="auto" w:fill="E7E6E6" w:themeFill="background2"/>
            <w:noWrap/>
            <w:hideMark/>
          </w:tcPr>
          <w:p w14:paraId="1E82BECA"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Допринос примарног фискалног резултата</w:t>
            </w:r>
          </w:p>
        </w:tc>
        <w:tc>
          <w:tcPr>
            <w:tcW w:w="492" w:type="pct"/>
            <w:tcBorders>
              <w:top w:val="nil"/>
              <w:bottom w:val="nil"/>
            </w:tcBorders>
            <w:shd w:val="clear" w:color="auto" w:fill="E7E6E6" w:themeFill="background2"/>
            <w:hideMark/>
          </w:tcPr>
          <w:p w14:paraId="18DDFCD7"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6,4</w:t>
            </w:r>
          </w:p>
        </w:tc>
        <w:tc>
          <w:tcPr>
            <w:tcW w:w="493" w:type="pct"/>
            <w:tcBorders>
              <w:top w:val="nil"/>
              <w:bottom w:val="nil"/>
            </w:tcBorders>
            <w:shd w:val="clear" w:color="auto" w:fill="E7E6E6" w:themeFill="background2"/>
            <w:hideMark/>
          </w:tcPr>
          <w:p w14:paraId="17397317"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2,9</w:t>
            </w:r>
          </w:p>
        </w:tc>
        <w:tc>
          <w:tcPr>
            <w:tcW w:w="493" w:type="pct"/>
            <w:tcBorders>
              <w:top w:val="nil"/>
              <w:bottom w:val="nil"/>
            </w:tcBorders>
            <w:shd w:val="clear" w:color="auto" w:fill="E7E6E6" w:themeFill="background2"/>
            <w:noWrap/>
            <w:hideMark/>
          </w:tcPr>
          <w:p w14:paraId="1200E890"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2,3</w:t>
            </w:r>
          </w:p>
        </w:tc>
        <w:tc>
          <w:tcPr>
            <w:tcW w:w="493" w:type="pct"/>
            <w:tcBorders>
              <w:top w:val="nil"/>
              <w:bottom w:val="nil"/>
            </w:tcBorders>
            <w:shd w:val="clear" w:color="auto" w:fill="E7E6E6" w:themeFill="background2"/>
            <w:noWrap/>
            <w:hideMark/>
          </w:tcPr>
          <w:p w14:paraId="47E6A06C"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1,2</w:t>
            </w:r>
          </w:p>
        </w:tc>
        <w:tc>
          <w:tcPr>
            <w:tcW w:w="493" w:type="pct"/>
            <w:tcBorders>
              <w:top w:val="nil"/>
              <w:bottom w:val="nil"/>
            </w:tcBorders>
            <w:shd w:val="clear" w:color="auto" w:fill="E7E6E6" w:themeFill="background2"/>
            <w:noWrap/>
            <w:hideMark/>
          </w:tcPr>
          <w:p w14:paraId="75A52D57"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0,1</w:t>
            </w:r>
          </w:p>
        </w:tc>
        <w:tc>
          <w:tcPr>
            <w:tcW w:w="493" w:type="pct"/>
            <w:tcBorders>
              <w:top w:val="nil"/>
              <w:bottom w:val="nil"/>
            </w:tcBorders>
            <w:shd w:val="clear" w:color="auto" w:fill="E7E6E6" w:themeFill="background2"/>
            <w:noWrap/>
            <w:hideMark/>
          </w:tcPr>
          <w:p w14:paraId="5CC96834"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-0,5</w:t>
            </w:r>
          </w:p>
        </w:tc>
      </w:tr>
      <w:tr w:rsidR="00F24B7F" w:rsidRPr="00F27A03" w14:paraId="31BE33FB" w14:textId="77777777" w:rsidTr="00FF2460">
        <w:trPr>
          <w:trHeight w:val="265"/>
        </w:trPr>
        <w:tc>
          <w:tcPr>
            <w:tcW w:w="2043" w:type="pct"/>
            <w:tcBorders>
              <w:top w:val="nil"/>
              <w:left w:val="nil"/>
              <w:bottom w:val="nil"/>
              <w:right w:val="nil"/>
            </w:tcBorders>
            <w:noWrap/>
            <w:hideMark/>
          </w:tcPr>
          <w:p w14:paraId="25279C67"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Допринос камата</w:t>
            </w:r>
          </w:p>
        </w:tc>
        <w:tc>
          <w:tcPr>
            <w:tcW w:w="492" w:type="pct"/>
            <w:tcBorders>
              <w:top w:val="nil"/>
              <w:left w:val="nil"/>
              <w:bottom w:val="nil"/>
              <w:right w:val="nil"/>
            </w:tcBorders>
            <w:hideMark/>
          </w:tcPr>
          <w:p w14:paraId="7BA7DA21"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2,0</w:t>
            </w:r>
          </w:p>
        </w:tc>
        <w:tc>
          <w:tcPr>
            <w:tcW w:w="493" w:type="pct"/>
            <w:tcBorders>
              <w:top w:val="nil"/>
              <w:left w:val="nil"/>
              <w:bottom w:val="nil"/>
              <w:right w:val="nil"/>
            </w:tcBorders>
            <w:hideMark/>
          </w:tcPr>
          <w:p w14:paraId="71682576"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1,7</w:t>
            </w:r>
          </w:p>
        </w:tc>
        <w:tc>
          <w:tcPr>
            <w:tcW w:w="493" w:type="pct"/>
            <w:tcBorders>
              <w:top w:val="nil"/>
              <w:left w:val="nil"/>
              <w:bottom w:val="nil"/>
              <w:right w:val="nil"/>
            </w:tcBorders>
            <w:noWrap/>
            <w:hideMark/>
          </w:tcPr>
          <w:p w14:paraId="43721B46"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1,6</w:t>
            </w:r>
          </w:p>
        </w:tc>
        <w:tc>
          <w:tcPr>
            <w:tcW w:w="493" w:type="pct"/>
            <w:tcBorders>
              <w:top w:val="nil"/>
              <w:left w:val="nil"/>
              <w:bottom w:val="nil"/>
              <w:right w:val="nil"/>
            </w:tcBorders>
            <w:noWrap/>
            <w:hideMark/>
          </w:tcPr>
          <w:p w14:paraId="0B8D2C91"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1,8</w:t>
            </w:r>
          </w:p>
        </w:tc>
        <w:tc>
          <w:tcPr>
            <w:tcW w:w="493" w:type="pct"/>
            <w:tcBorders>
              <w:top w:val="nil"/>
              <w:left w:val="nil"/>
              <w:bottom w:val="nil"/>
              <w:right w:val="nil"/>
            </w:tcBorders>
            <w:noWrap/>
            <w:hideMark/>
          </w:tcPr>
          <w:p w14:paraId="41F36BE0"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2,0</w:t>
            </w:r>
          </w:p>
        </w:tc>
        <w:tc>
          <w:tcPr>
            <w:tcW w:w="493" w:type="pct"/>
            <w:tcBorders>
              <w:top w:val="nil"/>
              <w:left w:val="nil"/>
              <w:bottom w:val="nil"/>
              <w:right w:val="nil"/>
            </w:tcBorders>
            <w:noWrap/>
            <w:hideMark/>
          </w:tcPr>
          <w:p w14:paraId="327E48DE"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1,9</w:t>
            </w:r>
          </w:p>
        </w:tc>
      </w:tr>
      <w:tr w:rsidR="00F24B7F" w:rsidRPr="00F27A03" w14:paraId="5DA0A7DE" w14:textId="77777777" w:rsidTr="00FF2460">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nil"/>
              <w:bottom w:val="nil"/>
            </w:tcBorders>
            <w:shd w:val="clear" w:color="auto" w:fill="E7E6E6" w:themeFill="background2"/>
            <w:hideMark/>
          </w:tcPr>
          <w:p w14:paraId="68DCFB06"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Допринос раста номиналног БДП</w:t>
            </w:r>
          </w:p>
        </w:tc>
        <w:tc>
          <w:tcPr>
            <w:tcW w:w="492" w:type="pct"/>
            <w:tcBorders>
              <w:top w:val="nil"/>
              <w:bottom w:val="nil"/>
            </w:tcBorders>
            <w:shd w:val="clear" w:color="auto" w:fill="E7E6E6" w:themeFill="background2"/>
            <w:hideMark/>
          </w:tcPr>
          <w:p w14:paraId="00970307"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-0,8</w:t>
            </w:r>
          </w:p>
        </w:tc>
        <w:tc>
          <w:tcPr>
            <w:tcW w:w="493" w:type="pct"/>
            <w:tcBorders>
              <w:top w:val="nil"/>
              <w:bottom w:val="nil"/>
            </w:tcBorders>
            <w:shd w:val="clear" w:color="auto" w:fill="E7E6E6" w:themeFill="background2"/>
            <w:hideMark/>
          </w:tcPr>
          <w:p w14:paraId="3C5BE1F5"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-7,0</w:t>
            </w:r>
          </w:p>
        </w:tc>
        <w:tc>
          <w:tcPr>
            <w:tcW w:w="493" w:type="pct"/>
            <w:tcBorders>
              <w:top w:val="nil"/>
              <w:bottom w:val="nil"/>
            </w:tcBorders>
            <w:shd w:val="clear" w:color="auto" w:fill="E7E6E6" w:themeFill="background2"/>
            <w:noWrap/>
            <w:hideMark/>
          </w:tcPr>
          <w:p w14:paraId="2BF8599C"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-6,5</w:t>
            </w:r>
          </w:p>
        </w:tc>
        <w:tc>
          <w:tcPr>
            <w:tcW w:w="493" w:type="pct"/>
            <w:tcBorders>
              <w:top w:val="nil"/>
              <w:bottom w:val="nil"/>
            </w:tcBorders>
            <w:shd w:val="clear" w:color="auto" w:fill="E7E6E6" w:themeFill="background2"/>
            <w:noWrap/>
            <w:hideMark/>
          </w:tcPr>
          <w:p w14:paraId="7192804C"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-6,6</w:t>
            </w:r>
          </w:p>
        </w:tc>
        <w:tc>
          <w:tcPr>
            <w:tcW w:w="493" w:type="pct"/>
            <w:tcBorders>
              <w:top w:val="nil"/>
              <w:bottom w:val="nil"/>
            </w:tcBorders>
            <w:shd w:val="clear" w:color="auto" w:fill="E7E6E6" w:themeFill="background2"/>
            <w:noWrap/>
            <w:hideMark/>
          </w:tcPr>
          <w:p w14:paraId="1C50E084"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-4,7</w:t>
            </w:r>
          </w:p>
        </w:tc>
        <w:tc>
          <w:tcPr>
            <w:tcW w:w="493" w:type="pct"/>
            <w:tcBorders>
              <w:top w:val="nil"/>
              <w:bottom w:val="nil"/>
            </w:tcBorders>
            <w:shd w:val="clear" w:color="auto" w:fill="E7E6E6" w:themeFill="background2"/>
            <w:noWrap/>
            <w:hideMark/>
          </w:tcPr>
          <w:p w14:paraId="65C1F9FF"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-4,2</w:t>
            </w:r>
          </w:p>
        </w:tc>
      </w:tr>
      <w:tr w:rsidR="00F24B7F" w:rsidRPr="00F27A03" w14:paraId="1C97AB6E" w14:textId="77777777" w:rsidTr="00FF2460">
        <w:trPr>
          <w:trHeight w:val="265"/>
        </w:trPr>
        <w:tc>
          <w:tcPr>
            <w:tcW w:w="2043" w:type="pct"/>
            <w:tcBorders>
              <w:top w:val="nil"/>
              <w:left w:val="nil"/>
              <w:bottom w:val="single" w:sz="4" w:space="0" w:color="002060"/>
              <w:right w:val="nil"/>
            </w:tcBorders>
            <w:hideMark/>
          </w:tcPr>
          <w:p w14:paraId="7754CFA1" w14:textId="77777777" w:rsidR="00F24B7F" w:rsidRPr="00F27A03" w:rsidRDefault="00F24B7F" w:rsidP="00ED5386">
            <w:pPr>
              <w:spacing w:line="240" w:lineRule="auto"/>
              <w:rPr>
                <w:rFonts w:ascii="Calibri" w:hAnsi="Calibri" w:cs="Calibri"/>
                <w:bCs/>
                <w:color w:val="002060"/>
                <w:sz w:val="18"/>
                <w:szCs w:val="18"/>
                <w:lang w:val="sr-Cyrl-CS"/>
              </w:rPr>
            </w:pPr>
            <w:r w:rsidRPr="00F27A03">
              <w:rPr>
                <w:rFonts w:ascii="Calibri" w:hAnsi="Calibri" w:cs="Calibri"/>
                <w:bCs/>
                <w:color w:val="002060"/>
                <w:sz w:val="18"/>
                <w:szCs w:val="18"/>
                <w:lang w:val="sr-Cyrl-CS"/>
              </w:rPr>
              <w:t>Допринос осталих фактора</w:t>
            </w:r>
          </w:p>
        </w:tc>
        <w:tc>
          <w:tcPr>
            <w:tcW w:w="492" w:type="pct"/>
            <w:tcBorders>
              <w:top w:val="nil"/>
              <w:left w:val="nil"/>
              <w:bottom w:val="single" w:sz="4" w:space="0" w:color="002060"/>
              <w:right w:val="nil"/>
            </w:tcBorders>
            <w:hideMark/>
          </w:tcPr>
          <w:p w14:paraId="0BAE477B"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-2,5</w:t>
            </w:r>
          </w:p>
        </w:tc>
        <w:tc>
          <w:tcPr>
            <w:tcW w:w="493" w:type="pct"/>
            <w:tcBorders>
              <w:top w:val="nil"/>
              <w:left w:val="nil"/>
              <w:bottom w:val="single" w:sz="4" w:space="0" w:color="002060"/>
              <w:right w:val="nil"/>
            </w:tcBorders>
            <w:hideMark/>
          </w:tcPr>
          <w:p w14:paraId="37F8F40E"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1,9</w:t>
            </w:r>
          </w:p>
        </w:tc>
        <w:tc>
          <w:tcPr>
            <w:tcW w:w="493" w:type="pct"/>
            <w:tcBorders>
              <w:top w:val="nil"/>
              <w:left w:val="nil"/>
              <w:bottom w:val="single" w:sz="4" w:space="0" w:color="002060"/>
              <w:right w:val="nil"/>
            </w:tcBorders>
            <w:noWrap/>
            <w:hideMark/>
          </w:tcPr>
          <w:p w14:paraId="64B783AB"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2,1</w:t>
            </w:r>
          </w:p>
        </w:tc>
        <w:tc>
          <w:tcPr>
            <w:tcW w:w="493" w:type="pct"/>
            <w:tcBorders>
              <w:top w:val="nil"/>
              <w:left w:val="nil"/>
              <w:bottom w:val="single" w:sz="4" w:space="0" w:color="002060"/>
              <w:right w:val="nil"/>
            </w:tcBorders>
            <w:noWrap/>
            <w:hideMark/>
          </w:tcPr>
          <w:p w14:paraId="6F431501"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2,6</w:t>
            </w:r>
          </w:p>
        </w:tc>
        <w:tc>
          <w:tcPr>
            <w:tcW w:w="493" w:type="pct"/>
            <w:tcBorders>
              <w:top w:val="nil"/>
              <w:left w:val="nil"/>
              <w:bottom w:val="single" w:sz="4" w:space="0" w:color="002060"/>
              <w:right w:val="nil"/>
            </w:tcBorders>
            <w:noWrap/>
            <w:hideMark/>
          </w:tcPr>
          <w:p w14:paraId="7B89B80D"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1,5</w:t>
            </w:r>
          </w:p>
        </w:tc>
        <w:tc>
          <w:tcPr>
            <w:tcW w:w="493" w:type="pct"/>
            <w:tcBorders>
              <w:top w:val="nil"/>
              <w:left w:val="nil"/>
              <w:bottom w:val="single" w:sz="4" w:space="0" w:color="002060"/>
              <w:right w:val="nil"/>
            </w:tcBorders>
            <w:noWrap/>
            <w:hideMark/>
          </w:tcPr>
          <w:p w14:paraId="6D66D21E" w14:textId="77777777" w:rsidR="00F24B7F" w:rsidRPr="00F27A03" w:rsidRDefault="00F24B7F" w:rsidP="00ED5386">
            <w:pPr>
              <w:spacing w:line="240" w:lineRule="auto"/>
              <w:jc w:val="center"/>
              <w:rPr>
                <w:rFonts w:ascii="Calibri" w:hAnsi="Calibri" w:cs="Calibri"/>
                <w:bCs/>
                <w:color w:val="002060"/>
                <w:sz w:val="18"/>
                <w:szCs w:val="18"/>
                <w:lang w:val="sr-Cyrl-CS"/>
              </w:rPr>
            </w:pPr>
            <w:r w:rsidRPr="00F27A03">
              <w:rPr>
                <w:rFonts w:ascii="Calibri" w:hAnsi="Calibri" w:cs="Calibri"/>
                <w:bCs/>
                <w:color w:val="002060"/>
                <w:sz w:val="18"/>
                <w:szCs w:val="18"/>
                <w:lang w:val="sr-Cyrl-CS"/>
              </w:rPr>
              <w:t>1,7</w:t>
            </w:r>
          </w:p>
        </w:tc>
      </w:tr>
    </w:tbl>
    <w:p w14:paraId="01986F69" w14:textId="77777777" w:rsidR="00F24B7F" w:rsidRPr="00F27A03" w:rsidRDefault="00F24B7F" w:rsidP="00C91F83">
      <w:pPr>
        <w:spacing w:line="256" w:lineRule="auto"/>
        <w:jc w:val="center"/>
        <w:rPr>
          <w:rFonts w:ascii="Calibri" w:eastAsia="Calibri" w:hAnsi="Calibri" w:cs="Times New Roman"/>
          <w:b/>
          <w:color w:val="002060"/>
          <w:lang w:val="sr-Cyrl-CS"/>
        </w:rPr>
        <w:sectPr w:rsidR="00F24B7F" w:rsidRPr="00F27A03" w:rsidSect="00C91F83">
          <w:type w:val="continuous"/>
          <w:pgSz w:w="12240" w:h="15840" w:code="1"/>
          <w:pgMar w:top="1418" w:right="1418" w:bottom="1418" w:left="1418" w:header="720" w:footer="720" w:gutter="0"/>
          <w:cols w:space="720"/>
          <w:docGrid w:linePitch="272"/>
        </w:sectPr>
      </w:pPr>
    </w:p>
    <w:p w14:paraId="4FF6B775" w14:textId="77777777" w:rsidR="00F24B7F" w:rsidRPr="00F27A03" w:rsidRDefault="00F24B7F" w:rsidP="00C91F83">
      <w:pPr>
        <w:spacing w:line="256" w:lineRule="auto"/>
        <w:jc w:val="center"/>
        <w:rPr>
          <w:rFonts w:ascii="Calibri" w:eastAsia="Calibri" w:hAnsi="Calibri" w:cs="Times New Roman"/>
          <w:b/>
          <w:color w:val="002060"/>
          <w:lang w:val="sr-Cyrl-CS"/>
        </w:rPr>
      </w:pPr>
      <w:r w:rsidRPr="00F27A03">
        <w:rPr>
          <w:rFonts w:ascii="Calibri" w:eastAsia="Calibri" w:hAnsi="Calibri" w:cs="Times New Roman"/>
          <w:b/>
          <w:color w:val="002060"/>
          <w:lang w:val="sr-Cyrl-CS"/>
        </w:rPr>
        <w:t>Утицај промене курса динара према корпи валута из портфолија јавног дуга централног нивоа државе на промену рација јавни дуг – БДП</w:t>
      </w:r>
    </w:p>
    <w:p w14:paraId="46E8D2B4" w14:textId="77777777" w:rsidR="00F24B7F" w:rsidRPr="00F27A03" w:rsidRDefault="00F24B7F" w:rsidP="00C91F83">
      <w:pPr>
        <w:spacing w:line="256" w:lineRule="auto"/>
        <w:rPr>
          <w:rFonts w:ascii="Calibri" w:eastAsia="Calibri" w:hAnsi="Calibri" w:cs="Times New Roman"/>
          <w:b/>
          <w:lang w:val="sr-Cyrl-CS"/>
        </w:rPr>
      </w:pPr>
      <w:r w:rsidRPr="00F27A03">
        <w:rPr>
          <w:noProof/>
          <w:lang w:val="sr-Cyrl-RS" w:eastAsia="sr-Cyrl-RS"/>
        </w:rPr>
        <w:drawing>
          <wp:inline distT="0" distB="0" distL="0" distR="0" wp14:anchorId="1B5ECE3B" wp14:editId="1F1A7CDC">
            <wp:extent cx="2757170" cy="2971800"/>
            <wp:effectExtent l="0" t="0" r="508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6CE82877"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На графикону је представљено кретање рација јавног дуга централног нивоа државе и БДП у зависности од промене курса динара према одређеној корпи валута. Приказана је основна пројекција са алтернативним сценаријима у зависности од апрецијације, односно депрецијације курса динара у распону од 10% апрецијације до 10% депрецијације динара у односу на корпу валута. Применом наведених сценарија може се видети да би се рацио за 2025. годину кретао у распону од 49,0% до 56,9%, док би за основни сценарио био на нивоу од 53,0%.</w:t>
      </w:r>
    </w:p>
    <w:p w14:paraId="21655EB5" w14:textId="77777777" w:rsidR="00F24B7F" w:rsidRPr="00F27A03" w:rsidRDefault="00F24B7F" w:rsidP="00C91F83">
      <w:pPr>
        <w:rPr>
          <w:rFonts w:ascii="Calibri" w:eastAsia="Calibri" w:hAnsi="Calibri" w:cs="Calibri"/>
          <w:bCs/>
          <w:spacing w:val="-2"/>
          <w:szCs w:val="72"/>
          <w:lang w:val="sr-Cyrl-CS"/>
        </w:rPr>
      </w:pPr>
      <w:r w:rsidRPr="00F27A03">
        <w:rPr>
          <w:rFonts w:ascii="Calibri" w:eastAsia="Calibri" w:hAnsi="Calibri" w:cs="Calibri"/>
          <w:bCs/>
          <w:spacing w:val="-2"/>
          <w:szCs w:val="72"/>
          <w:lang w:val="sr-Cyrl-CS"/>
        </w:rPr>
        <w:t xml:space="preserve">Главни ризици за остварење Стратегије, поред горе наведених фактора који су квантификовани, су и стабилност макроекономске ситуације у Републици </w:t>
      </w:r>
      <w:r w:rsidRPr="00F27A03">
        <w:rPr>
          <w:rFonts w:ascii="Calibri" w:eastAsia="Calibri" w:hAnsi="Calibri" w:cs="Calibri"/>
          <w:bCs/>
          <w:spacing w:val="-2"/>
          <w:szCs w:val="72"/>
          <w:lang w:val="sr-Cyrl-CS"/>
        </w:rPr>
        <w:t>Србији, потребе за додатним задуживањем како би се регулисали дугови на другим нивоима власти, јавном сектору и финансијском сектору Републике Србије и активирање датих гаранција.</w:t>
      </w:r>
    </w:p>
    <w:p w14:paraId="48EF1ACC"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Важно је напоменути да смањењу јавног дуга у односу на БДП доприноси и адекватна контрола издавања гаранција и унапређење процеса приоритизације инвестиционих пројеката, који се финансирају из кредитних линија мултилатералних и билатералних кредитора.</w:t>
      </w:r>
    </w:p>
    <w:p w14:paraId="17E3E42C" w14:textId="77777777" w:rsidR="00F24B7F" w:rsidRPr="00F27A03" w:rsidRDefault="00F24B7F" w:rsidP="00C91F83">
      <w:pPr>
        <w:rPr>
          <w:rFonts w:ascii="Calibri" w:eastAsia="Calibri" w:hAnsi="Calibri" w:cs="Calibri"/>
          <w:bCs/>
          <w:szCs w:val="72"/>
          <w:lang w:val="sr-Cyrl-CS"/>
        </w:rPr>
      </w:pPr>
    </w:p>
    <w:p w14:paraId="1CB51A38" w14:textId="77777777" w:rsidR="00F24B7F" w:rsidRPr="00F27A03" w:rsidRDefault="00F24B7F" w:rsidP="00C91F83">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Дугорочни стратешки оквир за управљање јавним дугом</w:t>
      </w:r>
    </w:p>
    <w:p w14:paraId="6ABB8C97" w14:textId="77777777" w:rsidR="00F24B7F" w:rsidRPr="00F27A03" w:rsidRDefault="00F24B7F" w:rsidP="00C91F83">
      <w:pPr>
        <w:rPr>
          <w:rFonts w:ascii="Calibri" w:eastAsia="Calibri" w:hAnsi="Calibri" w:cs="Calibri"/>
          <w:bCs/>
          <w:szCs w:val="72"/>
          <w:lang w:val="sr-Cyrl-CS"/>
        </w:rPr>
      </w:pPr>
      <w:r w:rsidRPr="00F27A03">
        <w:rPr>
          <w:rFonts w:ascii="Calibri" w:eastAsia="Calibri" w:hAnsi="Calibri" w:cs="Calibri"/>
          <w:bCs/>
          <w:szCs w:val="72"/>
          <w:lang w:val="sr-Cyrl-CS"/>
        </w:rPr>
        <w:t>Основни стратешки циљеви којима је потребно тежити у наредном дугорочном периоду, како би се минимизирали ризици повећања задужености и трошкова сервисирања јавног дуга су:</w:t>
      </w:r>
    </w:p>
    <w:p w14:paraId="380D6A2D" w14:textId="77777777" w:rsidR="00F24B7F" w:rsidRPr="00F27A03" w:rsidRDefault="00F24B7F" w:rsidP="00DB0157">
      <w:pPr>
        <w:numPr>
          <w:ilvl w:val="0"/>
          <w:numId w:val="4"/>
        </w:numPr>
        <w:ind w:left="142" w:hanging="142"/>
        <w:contextualSpacing/>
        <w:rPr>
          <w:rFonts w:ascii="Calibri" w:eastAsia="Calibri" w:hAnsi="Calibri" w:cs="Calibri"/>
          <w:bCs/>
          <w:szCs w:val="72"/>
          <w:lang w:val="sr-Cyrl-CS"/>
        </w:rPr>
      </w:pPr>
      <w:r w:rsidRPr="00F27A03">
        <w:rPr>
          <w:rFonts w:ascii="Calibri" w:eastAsia="Calibri" w:hAnsi="Calibri" w:cs="Calibri"/>
          <w:bCs/>
          <w:szCs w:val="72"/>
          <w:lang w:val="sr-Cyrl-CS"/>
        </w:rPr>
        <w:t>да учешће дуга деноминованог у динарима износи најмање 30% укупног јавног дуга на средњи рок;</w:t>
      </w:r>
    </w:p>
    <w:p w14:paraId="75AF1AB5" w14:textId="77777777" w:rsidR="00F24B7F" w:rsidRPr="00F27A03" w:rsidRDefault="00F24B7F" w:rsidP="00DB0157">
      <w:pPr>
        <w:numPr>
          <w:ilvl w:val="0"/>
          <w:numId w:val="4"/>
        </w:numPr>
        <w:ind w:left="142" w:hanging="142"/>
        <w:contextualSpacing/>
        <w:rPr>
          <w:rFonts w:ascii="Calibri" w:eastAsia="Calibri" w:hAnsi="Calibri" w:cs="Calibri"/>
          <w:bCs/>
          <w:szCs w:val="72"/>
          <w:lang w:val="sr-Cyrl-CS"/>
        </w:rPr>
      </w:pPr>
      <w:r w:rsidRPr="00F27A03">
        <w:rPr>
          <w:rFonts w:ascii="Calibri" w:eastAsia="Calibri" w:hAnsi="Calibri" w:cs="Calibri"/>
          <w:bCs/>
          <w:szCs w:val="72"/>
          <w:lang w:val="sr-Cyrl-CS"/>
        </w:rPr>
        <w:t>да учешће дуга деноминованог у еврима у јавном дугу износи најмање 65% дуга у ино-валути, укључујући будућа задуживања и трансакције;</w:t>
      </w:r>
    </w:p>
    <w:p w14:paraId="59A09434" w14:textId="77777777" w:rsidR="00F24B7F" w:rsidRPr="00F27A03" w:rsidRDefault="00F24B7F" w:rsidP="00DB0157">
      <w:pPr>
        <w:numPr>
          <w:ilvl w:val="0"/>
          <w:numId w:val="4"/>
        </w:numPr>
        <w:ind w:left="142" w:hanging="142"/>
        <w:contextualSpacing/>
        <w:rPr>
          <w:rFonts w:ascii="Calibri" w:eastAsia="Calibri" w:hAnsi="Calibri" w:cs="Calibri"/>
          <w:bCs/>
          <w:szCs w:val="72"/>
          <w:lang w:val="sr-Cyrl-CS"/>
        </w:rPr>
      </w:pPr>
      <w:r w:rsidRPr="00F27A03">
        <w:rPr>
          <w:rFonts w:ascii="Calibri" w:eastAsia="Calibri" w:hAnsi="Calibri" w:cs="Calibri"/>
          <w:bCs/>
          <w:szCs w:val="72"/>
          <w:lang w:val="sr-Cyrl-CS"/>
        </w:rPr>
        <w:t>да учешће дуга са варијабилном каматном стопом износи испод 15% у средњорочном интервалу;</w:t>
      </w:r>
    </w:p>
    <w:p w14:paraId="006271E0" w14:textId="77777777" w:rsidR="00F24B7F" w:rsidRPr="00F27A03" w:rsidRDefault="00F24B7F" w:rsidP="00DB0157">
      <w:pPr>
        <w:numPr>
          <w:ilvl w:val="0"/>
          <w:numId w:val="4"/>
        </w:numPr>
        <w:ind w:left="142" w:hanging="142"/>
        <w:contextualSpacing/>
        <w:rPr>
          <w:rFonts w:ascii="Calibri" w:eastAsia="Calibri" w:hAnsi="Calibri" w:cs="Calibri"/>
          <w:bCs/>
          <w:szCs w:val="72"/>
          <w:lang w:val="sr-Cyrl-CS"/>
        </w:rPr>
      </w:pPr>
      <w:r w:rsidRPr="00F27A03">
        <w:rPr>
          <w:rFonts w:ascii="Calibri" w:eastAsia="Calibri" w:hAnsi="Calibri" w:cs="Calibri"/>
          <w:bCs/>
          <w:szCs w:val="72"/>
          <w:lang w:val="sr-Cyrl-CS"/>
        </w:rPr>
        <w:t>да просечно време до промене каматне стопе (АТR) буде одржавано на нивоу од минимум 5,0 година, у складу са горе наведеном мером постепеног смањивања учешћа дуга са варијабилним каматним стопама;</w:t>
      </w:r>
    </w:p>
    <w:p w14:paraId="5BB74FD4" w14:textId="77777777" w:rsidR="00F24B7F" w:rsidRPr="00F27A03" w:rsidRDefault="00F24B7F" w:rsidP="00DB0157">
      <w:pPr>
        <w:numPr>
          <w:ilvl w:val="0"/>
          <w:numId w:val="4"/>
        </w:numPr>
        <w:ind w:left="142" w:hanging="142"/>
        <w:contextualSpacing/>
        <w:rPr>
          <w:rFonts w:ascii="Calibri" w:eastAsia="Calibri" w:hAnsi="Calibri" w:cs="Calibri"/>
          <w:bCs/>
          <w:szCs w:val="72"/>
          <w:lang w:val="sr-Cyrl-CS"/>
        </w:rPr>
      </w:pPr>
      <w:r w:rsidRPr="00F27A03">
        <w:rPr>
          <w:rFonts w:ascii="Calibri" w:eastAsia="Calibri" w:hAnsi="Calibri" w:cs="Calibri"/>
          <w:bCs/>
          <w:szCs w:val="72"/>
          <w:lang w:val="sr-Cyrl-CS"/>
        </w:rPr>
        <w:t>да просечна пондерисана каматна стопа (WAIR) на јавни дуг у домаћој валути не прелази 6,00%;</w:t>
      </w:r>
    </w:p>
    <w:p w14:paraId="227E4D5D" w14:textId="77777777" w:rsidR="00F24B7F" w:rsidRPr="00F27A03" w:rsidRDefault="00F24B7F" w:rsidP="00DB0157">
      <w:pPr>
        <w:numPr>
          <w:ilvl w:val="0"/>
          <w:numId w:val="4"/>
        </w:numPr>
        <w:ind w:left="142" w:hanging="142"/>
        <w:contextualSpacing/>
        <w:rPr>
          <w:rFonts w:ascii="Calibri" w:eastAsia="Calibri" w:hAnsi="Calibri" w:cs="Calibri"/>
          <w:bCs/>
          <w:szCs w:val="72"/>
          <w:lang w:val="sr-Cyrl-CS"/>
        </w:rPr>
      </w:pPr>
      <w:r w:rsidRPr="00F27A03">
        <w:rPr>
          <w:rFonts w:ascii="Calibri" w:eastAsia="Calibri" w:hAnsi="Calibri" w:cs="Calibri"/>
          <w:bCs/>
          <w:szCs w:val="72"/>
          <w:lang w:val="sr-Cyrl-CS"/>
        </w:rPr>
        <w:lastRenderedPageBreak/>
        <w:t>да учешће краткорочног дуга (чије је доспеће до годину дана) износи до 15% укупног јавног дуга;</w:t>
      </w:r>
    </w:p>
    <w:p w14:paraId="626AA660" w14:textId="77777777" w:rsidR="00F24B7F" w:rsidRPr="00F27A03" w:rsidRDefault="00F24B7F" w:rsidP="00DB0157">
      <w:pPr>
        <w:numPr>
          <w:ilvl w:val="0"/>
          <w:numId w:val="4"/>
        </w:numPr>
        <w:ind w:left="142" w:hanging="142"/>
        <w:contextualSpacing/>
        <w:rPr>
          <w:rFonts w:ascii="Calibri" w:eastAsia="Calibri" w:hAnsi="Calibri" w:cs="Calibri"/>
          <w:bCs/>
          <w:szCs w:val="72"/>
          <w:lang w:val="sr-Cyrl-CS"/>
        </w:rPr>
      </w:pPr>
      <w:r w:rsidRPr="00F27A03">
        <w:rPr>
          <w:rFonts w:ascii="Calibri" w:eastAsia="Calibri" w:hAnsi="Calibri" w:cs="Calibri"/>
          <w:bCs/>
          <w:szCs w:val="72"/>
          <w:lang w:val="sr-Cyrl-CS"/>
        </w:rPr>
        <w:t>да просечно време до доспећа (АТМ) унутрашњег дуга буде на нивоу од најмање пет година на средњи рок;</w:t>
      </w:r>
    </w:p>
    <w:p w14:paraId="307D968E" w14:textId="77777777" w:rsidR="00F24B7F" w:rsidRPr="00F27A03" w:rsidRDefault="00F24B7F" w:rsidP="00DB0157">
      <w:pPr>
        <w:numPr>
          <w:ilvl w:val="0"/>
          <w:numId w:val="4"/>
        </w:numPr>
        <w:ind w:left="142" w:hanging="142"/>
        <w:rPr>
          <w:rFonts w:ascii="Calibri" w:eastAsia="Calibri" w:hAnsi="Calibri" w:cs="Calibri"/>
          <w:bCs/>
          <w:szCs w:val="72"/>
          <w:lang w:val="sr-Cyrl-CS"/>
        </w:rPr>
      </w:pPr>
      <w:r w:rsidRPr="00F27A03">
        <w:rPr>
          <w:rFonts w:ascii="Calibri" w:eastAsia="Calibri" w:hAnsi="Calibri" w:cs="Calibri"/>
          <w:bCs/>
          <w:szCs w:val="72"/>
          <w:lang w:val="sr-Cyrl-CS"/>
        </w:rPr>
        <w:t>да се просечно време до доспећа (АТМ) спољног дуга одржава на нивоу од 8,0 ± 0,5 година у истом временском хоризонту.</w:t>
      </w:r>
    </w:p>
    <w:p w14:paraId="38CDEC48" w14:textId="77777777" w:rsidR="00F24B7F" w:rsidRPr="00F27A03" w:rsidRDefault="00F24B7F" w:rsidP="00ED5386">
      <w:pPr>
        <w:spacing w:after="240" w:line="256" w:lineRule="auto"/>
        <w:jc w:val="center"/>
        <w:rPr>
          <w:rFonts w:ascii="Calibri" w:eastAsia="Calibri" w:hAnsi="Calibri" w:cs="Times New Roman"/>
          <w:b/>
          <w:color w:val="002060"/>
          <w:spacing w:val="-2"/>
          <w:lang w:val="sr-Cyrl-CS"/>
        </w:rPr>
      </w:pPr>
      <w:r w:rsidRPr="00F27A03">
        <w:rPr>
          <w:rFonts w:ascii="Calibri" w:eastAsia="Calibri" w:hAnsi="Calibri" w:cs="Times New Roman"/>
          <w:b/>
          <w:color w:val="002060"/>
          <w:spacing w:val="-2"/>
          <w:lang w:val="sr-Cyrl-CS"/>
        </w:rPr>
        <w:t xml:space="preserve">Кретање приноса до доспећа динарских </w:t>
      </w:r>
      <w:r w:rsidRPr="00F27A03">
        <w:rPr>
          <w:rFonts w:ascii="Calibri" w:eastAsia="Calibri" w:hAnsi="Calibri" w:cs="Calibri"/>
          <w:b/>
          <w:bCs/>
          <w:color w:val="002060"/>
          <w:spacing w:val="-2"/>
          <w:szCs w:val="72"/>
          <w:lang w:val="sr-Cyrl-CS"/>
        </w:rPr>
        <w:t>„</w:t>
      </w:r>
      <w:r w:rsidRPr="00F27A03">
        <w:rPr>
          <w:rFonts w:ascii="Calibri" w:eastAsia="Calibri" w:hAnsi="Calibri" w:cs="Times New Roman"/>
          <w:b/>
          <w:color w:val="002060"/>
          <w:spacing w:val="-2"/>
          <w:lang w:val="sr-Cyrl-CS"/>
        </w:rPr>
        <w:t>бенчмарк” емисија укључених у GBI-EM Global Diversified Index на секундарном трговању</w:t>
      </w:r>
    </w:p>
    <w:p w14:paraId="4EEE6936" w14:textId="77777777" w:rsidR="00F24B7F" w:rsidRPr="00F27A03" w:rsidRDefault="00F24B7F" w:rsidP="00ED5386">
      <w:pPr>
        <w:spacing w:after="240" w:line="256" w:lineRule="auto"/>
        <w:jc w:val="center"/>
        <w:rPr>
          <w:rFonts w:ascii="Calibri" w:eastAsia="Calibri" w:hAnsi="Calibri" w:cs="Times New Roman"/>
          <w:b/>
          <w:lang w:val="sr-Cyrl-CS"/>
        </w:rPr>
      </w:pPr>
      <w:r w:rsidRPr="00F27A03">
        <w:rPr>
          <w:rFonts w:ascii="Calibri" w:eastAsia="Calibri" w:hAnsi="Calibri" w:cs="Times New Roman"/>
          <w:b/>
          <w:noProof/>
          <w:lang w:val="sr-Cyrl-RS" w:eastAsia="sr-Cyrl-RS"/>
        </w:rPr>
        <w:drawing>
          <wp:inline distT="0" distB="0" distL="0" distR="0" wp14:anchorId="5634CC14" wp14:editId="4285F208">
            <wp:extent cx="2809401" cy="2286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enc.png"/>
                    <pic:cNvPicPr/>
                  </pic:nvPicPr>
                  <pic:blipFill>
                    <a:blip r:embed="rId181">
                      <a:extLst>
                        <a:ext uri="{28A0092B-C50C-407E-A947-70E740481C1C}">
                          <a14:useLocalDpi xmlns:a14="http://schemas.microsoft.com/office/drawing/2010/main" val="0"/>
                        </a:ext>
                      </a:extLst>
                    </a:blip>
                    <a:stretch>
                      <a:fillRect/>
                    </a:stretch>
                  </pic:blipFill>
                  <pic:spPr>
                    <a:xfrm>
                      <a:off x="0" y="0"/>
                      <a:ext cx="2872547" cy="2337381"/>
                    </a:xfrm>
                    <a:prstGeom prst="rect">
                      <a:avLst/>
                    </a:prstGeom>
                  </pic:spPr>
                </pic:pic>
              </a:graphicData>
            </a:graphic>
          </wp:inline>
        </w:drawing>
      </w:r>
    </w:p>
    <w:p w14:paraId="2B471B67" w14:textId="77777777" w:rsidR="00F24B7F" w:rsidRPr="00F27A03" w:rsidRDefault="00F24B7F" w:rsidP="00ED5386">
      <w:pPr>
        <w:spacing w:after="40" w:line="256" w:lineRule="auto"/>
        <w:rPr>
          <w:rFonts w:ascii="Calibri" w:eastAsia="Calibri" w:hAnsi="Calibri" w:cs="Times New Roman"/>
          <w:b/>
          <w:color w:val="002060"/>
          <w:spacing w:val="-2"/>
          <w:lang w:val="sr-Cyrl-CS"/>
        </w:rPr>
      </w:pPr>
      <w:r w:rsidRPr="00F27A03">
        <w:rPr>
          <w:rFonts w:ascii="Calibri" w:eastAsia="Calibri" w:hAnsi="Calibri" w:cs="Times New Roman"/>
          <w:b/>
          <w:bCs/>
          <w:color w:val="002060"/>
          <w:lang w:val="sr-Cyrl-CS"/>
        </w:rPr>
        <w:t xml:space="preserve">Просечно време до доспећа (АТМ) државних хартија од вредности емитованих на домаћем финансијском тржишту у периоду </w:t>
      </w:r>
      <w:r w:rsidRPr="00F27A03">
        <w:rPr>
          <w:rFonts w:ascii="Calibri" w:eastAsia="Calibri" w:hAnsi="Calibri" w:cs="Times New Roman"/>
          <w:b/>
          <w:bCs/>
          <w:color w:val="002060"/>
          <w:lang w:val="sr-Cyrl-CS"/>
        </w:rPr>
        <w:br w:type="textWrapping" w:clear="all"/>
        <w:t>01. јануар 2017.–</w:t>
      </w:r>
      <w:r w:rsidRPr="00F27A03">
        <w:rPr>
          <w:rFonts w:ascii="Calibri" w:eastAsia="Calibri" w:hAnsi="Calibri" w:cs="Times New Roman"/>
          <w:b/>
          <w:color w:val="002060"/>
          <w:spacing w:val="-2"/>
          <w:lang w:val="sr-Cyrl-CS"/>
        </w:rPr>
        <w:t>30. септембар 2022. године</w:t>
      </w:r>
    </w:p>
    <w:p w14:paraId="61F30FA3" w14:textId="77777777" w:rsidR="00F24B7F" w:rsidRPr="00F27A03" w:rsidRDefault="00F24B7F" w:rsidP="0062301D">
      <w:pPr>
        <w:rPr>
          <w:lang w:val="sr-Cyrl-CS"/>
        </w:rPr>
      </w:pPr>
      <w:r w:rsidRPr="00F27A03">
        <w:rPr>
          <w:noProof/>
          <w:lang w:val="sr-Cyrl-RS" w:eastAsia="sr-Cyrl-RS"/>
        </w:rPr>
        <w:drawing>
          <wp:inline distT="0" distB="0" distL="0" distR="0" wp14:anchorId="27A303C9" wp14:editId="33D4F88F">
            <wp:extent cx="2724150" cy="24955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TM.png"/>
                    <pic:cNvPicPr/>
                  </pic:nvPicPr>
                  <pic:blipFill>
                    <a:blip r:embed="rId182">
                      <a:extLst>
                        <a:ext uri="{28A0092B-C50C-407E-A947-70E740481C1C}">
                          <a14:useLocalDpi xmlns:a14="http://schemas.microsoft.com/office/drawing/2010/main" val="0"/>
                        </a:ext>
                      </a:extLst>
                    </a:blip>
                    <a:stretch>
                      <a:fillRect/>
                    </a:stretch>
                  </pic:blipFill>
                  <pic:spPr>
                    <a:xfrm>
                      <a:off x="0" y="0"/>
                      <a:ext cx="2724150" cy="2495550"/>
                    </a:xfrm>
                    <a:prstGeom prst="rect">
                      <a:avLst/>
                    </a:prstGeom>
                  </pic:spPr>
                </pic:pic>
              </a:graphicData>
            </a:graphic>
          </wp:inline>
        </w:drawing>
      </w:r>
    </w:p>
    <w:p w14:paraId="44ABDC85" w14:textId="77777777" w:rsidR="00F24B7F" w:rsidRPr="00F27A03" w:rsidRDefault="00F24B7F" w:rsidP="00ED5386">
      <w:pPr>
        <w:spacing w:line="256" w:lineRule="auto"/>
        <w:rPr>
          <w:rFonts w:ascii="Calibri" w:eastAsia="Calibri" w:hAnsi="Calibri" w:cs="Times New Roman"/>
          <w:b/>
          <w:color w:val="2F5496" w:themeColor="accent1" w:themeShade="BF"/>
          <w:sz w:val="22"/>
          <w:lang w:val="sr-Cyrl-CS"/>
        </w:rPr>
      </w:pPr>
      <w:r w:rsidRPr="00F27A03">
        <w:rPr>
          <w:rFonts w:ascii="Calibri" w:eastAsia="Calibri" w:hAnsi="Calibri" w:cs="Times New Roman"/>
          <w:b/>
          <w:color w:val="2F5496" w:themeColor="accent1" w:themeShade="BF"/>
          <w:sz w:val="22"/>
          <w:lang w:val="sr-Cyrl-CS"/>
        </w:rPr>
        <w:t>Мере за унапређење тржишта динарских хартија од вредности у периоду 2023–2025. године</w:t>
      </w:r>
    </w:p>
    <w:p w14:paraId="1037C145"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Тржиште државних хартија од вредности, у периоду од 2012. године до септембра 2022. године, карактерише испуњавање зацртаних стратешких циљева, првенствено у погледу инструмената финансирања, као и у развоју и одржавању стабилности диверсификоване базе инвеститора. Преласком са краткорочних извора финансирања који се везују за период до 2010. године, на средњорочне и дугорочне инструменте финансирања, уз константно смањење трошкова задуживања, утиче се на смањење ризика рефинансирања, као једног од примарних ризика у процесу управљања јавним дугом. На крају 2013. године учешће дугорочних динарских инструмената по оригиналној рочности од три и више година износило је 38,3% у стању динарских хартија од вредности, док је на крају септембра 2022. године износило 87,2%.</w:t>
      </w:r>
    </w:p>
    <w:p w14:paraId="45FE3D92"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Транспарентност у раду и извештавању, као и присутност на међународном тржишту капитала, утичу на информисаност, а тиме и на заинтересованост нерезидената да инвестирају капитал у дужничке инструменте, првенствено у државне динарске дугорочне хартије од вредности, чиме се остварује раст стабилне базе инвеститора. Услед успешне реализације „бенчмарк</w:t>
      </w:r>
      <w:r w:rsidRPr="00F27A03">
        <w:rPr>
          <w:rFonts w:eastAsia="MS PGothic" w:cstheme="minorHAnsi"/>
          <w:szCs w:val="20"/>
          <w:lang w:val="sr-Cyrl-CS" w:eastAsia="ja-JP"/>
        </w:rPr>
        <w:t>”</w:t>
      </w:r>
      <w:r w:rsidRPr="00F27A03">
        <w:rPr>
          <w:rFonts w:ascii="Calibri" w:eastAsia="Calibri" w:hAnsi="Calibri" w:cs="Calibri"/>
          <w:bCs/>
          <w:szCs w:val="72"/>
          <w:lang w:val="sr-Cyrl-CS"/>
        </w:rPr>
        <w:t xml:space="preserve"> емисија током 2014. и 2015. године, са истом праксом је настављено током 2016. године. У фебруару и јулу 2016. године емитоване су „бенчмарк</w:t>
      </w:r>
      <w:r w:rsidRPr="00F27A03">
        <w:rPr>
          <w:rFonts w:eastAsia="MS PGothic" w:cstheme="minorHAnsi"/>
          <w:szCs w:val="20"/>
          <w:lang w:val="sr-Cyrl-CS" w:eastAsia="ja-JP"/>
        </w:rPr>
        <w:t>”</w:t>
      </w:r>
      <w:r w:rsidRPr="00F27A03">
        <w:rPr>
          <w:rFonts w:ascii="Calibri" w:eastAsia="Calibri" w:hAnsi="Calibri" w:cs="Calibri"/>
          <w:bCs/>
          <w:szCs w:val="72"/>
          <w:lang w:val="sr-Cyrl-CS"/>
        </w:rPr>
        <w:t xml:space="preserve"> трогодишња и седмогодишња обвезница обима емисије по 110,0 млрд динара. У априлу 2017. године емитована је трогодишња „бенчмарк</w:t>
      </w:r>
      <w:r w:rsidRPr="00F27A03">
        <w:rPr>
          <w:rFonts w:eastAsia="MS PGothic" w:cstheme="minorHAnsi"/>
          <w:szCs w:val="20"/>
          <w:lang w:val="sr-Cyrl-CS" w:eastAsia="ja-JP"/>
        </w:rPr>
        <w:t>”</w:t>
      </w:r>
      <w:r w:rsidRPr="00F27A03">
        <w:rPr>
          <w:rFonts w:ascii="Calibri" w:eastAsia="Calibri" w:hAnsi="Calibri" w:cs="Calibri"/>
          <w:bCs/>
          <w:szCs w:val="72"/>
          <w:lang w:val="sr-Cyrl-CS"/>
        </w:rPr>
        <w:t xml:space="preserve"> обвезница обима емисије у износу од 110,0 млрд динара. У јануару и фебруару 2018. године емитоване су „бенчмарк</w:t>
      </w:r>
      <w:r w:rsidRPr="00F27A03">
        <w:rPr>
          <w:rFonts w:eastAsia="MS PGothic" w:cstheme="minorHAnsi"/>
          <w:szCs w:val="20"/>
          <w:lang w:val="sr-Cyrl-CS" w:eastAsia="ja-JP"/>
        </w:rPr>
        <w:t>”</w:t>
      </w:r>
      <w:r w:rsidRPr="00F27A03">
        <w:rPr>
          <w:rFonts w:ascii="Calibri" w:eastAsia="Calibri" w:hAnsi="Calibri" w:cs="Calibri"/>
          <w:bCs/>
          <w:szCs w:val="72"/>
          <w:lang w:val="sr-Cyrl-CS"/>
        </w:rPr>
        <w:t xml:space="preserve"> петогодишња и десетогодишња обвезница обима емисије по 110,0 млрд динара. У јануару 2019. године емитоване су „бенчмарк</w:t>
      </w:r>
      <w:r w:rsidRPr="00F27A03">
        <w:rPr>
          <w:rFonts w:eastAsia="MS PGothic" w:cstheme="minorHAnsi"/>
          <w:szCs w:val="20"/>
          <w:lang w:val="sr-Cyrl-CS" w:eastAsia="ja-JP"/>
        </w:rPr>
        <w:t>”</w:t>
      </w:r>
      <w:r w:rsidRPr="00F27A03">
        <w:rPr>
          <w:rFonts w:ascii="Calibri" w:eastAsia="Calibri" w:hAnsi="Calibri" w:cs="Calibri"/>
          <w:bCs/>
          <w:szCs w:val="72"/>
          <w:lang w:val="sr-Cyrl-CS"/>
        </w:rPr>
        <w:t xml:space="preserve"> трогодишња и седмогодишња обвезница обима емисије 100,0 и 150,0 млрд динара. </w:t>
      </w:r>
      <w:r w:rsidRPr="00F27A03">
        <w:rPr>
          <w:rFonts w:ascii="Calibri" w:eastAsia="Calibri" w:hAnsi="Calibri" w:cs="Calibri"/>
          <w:bCs/>
          <w:spacing w:val="-2"/>
          <w:szCs w:val="72"/>
          <w:lang w:val="sr-Cyrl-CS"/>
        </w:rPr>
        <w:t xml:space="preserve">У јануару и фебруару 2020. године по први пут су емитоване петоипогодишње и дванаестоипогодишње обвезнице са полугодишњим купоном. Изменама Уредбе о општим условима за емисију и продају државних </w:t>
      </w:r>
      <w:r w:rsidRPr="00F27A03">
        <w:rPr>
          <w:rFonts w:ascii="Calibri" w:eastAsia="Calibri" w:hAnsi="Calibri" w:cs="Calibri"/>
          <w:bCs/>
          <w:spacing w:val="-2"/>
          <w:szCs w:val="72"/>
          <w:lang w:val="sr-Cyrl-CS"/>
        </w:rPr>
        <w:lastRenderedPageBreak/>
        <w:t>хартија од вредности на примарном тржишту („Службени гласник РС”, бр. 100/14, 78/17, 66/18, 78/18 и 140/20), омогућено је повећање обима раније емитованих обвезница, па је код петоипогодишње и дванаестоипогодишње обвезнице, 2021. године повећан обим емисије за по 50 милијарди динара. Такође, повећање обима емисије, у износу од 10 милијарди динара, извршено је и код десетогодишње обвезнице првобитно емитоване 6. фебруара 2018. године.</w:t>
      </w:r>
    </w:p>
    <w:p w14:paraId="458CEB25" w14:textId="28F7565B"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Овим емисијама знатно је повећан обим секундарног трговања ови</w:t>
      </w:r>
      <w:r w:rsidR="00DE0838" w:rsidRPr="00F27A03">
        <w:rPr>
          <w:rFonts w:ascii="Calibri" w:eastAsia="Calibri" w:hAnsi="Calibri" w:cs="Calibri"/>
          <w:bCs/>
          <w:szCs w:val="72"/>
          <w:lang w:val="sr-Cyrl-CS"/>
        </w:rPr>
        <w:t>м</w:t>
      </w:r>
      <w:r w:rsidRPr="00F27A03">
        <w:rPr>
          <w:rFonts w:ascii="Calibri" w:eastAsia="Calibri" w:hAnsi="Calibri" w:cs="Calibri"/>
          <w:bCs/>
          <w:szCs w:val="72"/>
          <w:lang w:val="sr-Cyrl-CS"/>
        </w:rPr>
        <w:t xml:space="preserve"> инструмент</w:t>
      </w:r>
      <w:r w:rsidR="00DE0838" w:rsidRPr="00F27A03">
        <w:rPr>
          <w:rFonts w:ascii="Calibri" w:eastAsia="Calibri" w:hAnsi="Calibri" w:cs="Calibri"/>
          <w:bCs/>
          <w:szCs w:val="72"/>
          <w:lang w:val="sr-Cyrl-CS"/>
        </w:rPr>
        <w:t>им</w:t>
      </w:r>
      <w:r w:rsidRPr="00F27A03">
        <w:rPr>
          <w:rFonts w:ascii="Calibri" w:eastAsia="Calibri" w:hAnsi="Calibri" w:cs="Calibri"/>
          <w:bCs/>
          <w:szCs w:val="72"/>
          <w:lang w:val="sr-Cyrl-CS"/>
        </w:rPr>
        <w:t>а, што је допринело и паду извршних стопа приноса на реотварањима поменутих емисија. Учешће страних инвеститора у динарским хартијама од вредности, на крају септембра 2022. године износило је 14,7%.</w:t>
      </w:r>
    </w:p>
    <w:p w14:paraId="4A25D3DD"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 xml:space="preserve">30. јуна 2021. године три динарске бенчмарк обвезнице укључене су у J.P. Morgan индекс државних обвезница земаља у развоју (GBI-EM </w:t>
      </w:r>
      <w:r w:rsidRPr="00F27A03">
        <w:rPr>
          <w:rFonts w:ascii="Calibri" w:eastAsia="Calibri" w:hAnsi="Calibri" w:cs="Calibri"/>
          <w:bCs/>
          <w:i/>
          <w:szCs w:val="72"/>
          <w:lang w:val="sr-Cyrl-CS"/>
        </w:rPr>
        <w:t>Global Diversified Index</w:t>
      </w:r>
      <w:r w:rsidRPr="00F27A03">
        <w:rPr>
          <w:rFonts w:ascii="Calibri" w:eastAsia="Calibri" w:hAnsi="Calibri" w:cs="Calibri"/>
          <w:bCs/>
          <w:szCs w:val="72"/>
          <w:lang w:val="sr-Cyrl-CS"/>
        </w:rPr>
        <w:t>), са датумом доспећа 11. јануар 2026. године (RSMFRSD89592), 8. фебруар 2028. године (RSMFRSD55940) и 20. август 2032. године (RSMFRSD86176).</w:t>
      </w:r>
    </w:p>
    <w:p w14:paraId="283DB4EE" w14:textId="32F7E306"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У 2022. години од динарских хартија емитоване су једногодишње и двогодишње динарске обвезнице, док је десетогодишњим динарским обвезницама повећа</w:t>
      </w:r>
      <w:r w:rsidR="00C574D5" w:rsidRPr="00F27A03">
        <w:rPr>
          <w:rFonts w:ascii="Calibri" w:eastAsia="Calibri" w:hAnsi="Calibri" w:cs="Calibri"/>
          <w:bCs/>
          <w:szCs w:val="72"/>
          <w:lang w:val="sr-Cyrl-CS"/>
        </w:rPr>
        <w:t>н обим емисије за 25 млрд</w:t>
      </w:r>
      <w:r w:rsidR="005453D2" w:rsidRPr="00F27A03">
        <w:rPr>
          <w:rFonts w:ascii="Calibri" w:eastAsia="Calibri" w:hAnsi="Calibri" w:cs="Calibri"/>
          <w:bCs/>
          <w:szCs w:val="72"/>
          <w:lang w:val="sr-Cyrl-CS"/>
        </w:rPr>
        <w:t xml:space="preserve"> </w:t>
      </w:r>
      <w:r w:rsidR="00C574D5" w:rsidRPr="00F27A03">
        <w:rPr>
          <w:rFonts w:ascii="Calibri" w:eastAsia="Calibri" w:hAnsi="Calibri" w:cs="Calibri"/>
          <w:bCs/>
          <w:szCs w:val="72"/>
          <w:lang w:val="sr-Cyrl-CS"/>
        </w:rPr>
        <w:t>РСД</w:t>
      </w:r>
      <w:r w:rsidR="005453D2" w:rsidRPr="00F27A03">
        <w:rPr>
          <w:rFonts w:ascii="Calibri" w:eastAsia="Calibri" w:hAnsi="Calibri" w:cs="Calibri"/>
          <w:bCs/>
          <w:szCs w:val="72"/>
          <w:lang w:val="sr-Cyrl-CS"/>
        </w:rPr>
        <w:t>.</w:t>
      </w:r>
      <w:r w:rsidRPr="00F27A03">
        <w:rPr>
          <w:rFonts w:ascii="Calibri" w:eastAsia="Calibri" w:hAnsi="Calibri" w:cs="Calibri"/>
          <w:bCs/>
          <w:szCs w:val="72"/>
          <w:lang w:val="sr-Cyrl-CS"/>
        </w:rPr>
        <w:t xml:space="preserve"> Од евро деноминованих хартија емитоване су: двогодишње, двоипогодишње (са полугодишњим купонoм) и двадесетпетогодишње обвезнице.</w:t>
      </w:r>
    </w:p>
    <w:p w14:paraId="6252DAA9"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 xml:space="preserve">У периоду за који се доноси ова Стратегија очекује се унапређење ефикасности примарног тржишта путем приступа Euroclear платформи и кроз концепт примарних дилера, као механизма продаје државних хартија од вредности који директно, у дужем року, доприноси смањењу трошкова задуживања, као и смањењу ризика рефинансирања. Увођење система продаје државних хартија од вредности на домаћем финансијском тржишту преко примарних дилера, пружиће добру основу за унапређење тржишне ефикасности секундарног тржишта државних хартија од вредности. Развојем секундарног тржишта, временом ће се успоставити концепт тржишне ефикасности у процесу вредновања </w:t>
      </w:r>
      <w:r w:rsidRPr="00F27A03">
        <w:rPr>
          <w:rFonts w:ascii="Calibri" w:eastAsia="Calibri" w:hAnsi="Calibri" w:cs="Calibri"/>
          <w:bCs/>
          <w:szCs w:val="72"/>
          <w:lang w:val="sr-Cyrl-CS"/>
        </w:rPr>
        <w:t>државних хартија од вредности. Увођењем „бенчмарк</w:t>
      </w:r>
      <w:r w:rsidRPr="00F27A03">
        <w:rPr>
          <w:rFonts w:eastAsia="MS PGothic" w:cstheme="minorHAnsi"/>
          <w:szCs w:val="20"/>
          <w:lang w:val="sr-Cyrl-CS" w:eastAsia="ja-JP"/>
        </w:rPr>
        <w:t>”</w:t>
      </w:r>
      <w:r w:rsidRPr="00F27A03">
        <w:rPr>
          <w:rFonts w:ascii="Calibri" w:eastAsia="Calibri" w:hAnsi="Calibri" w:cs="Calibri"/>
          <w:bCs/>
          <w:szCs w:val="72"/>
          <w:lang w:val="sr-Cyrl-CS"/>
        </w:rPr>
        <w:t xml:space="preserve"> емисија обвезница остварен је позитиван ефекат на обим и континуитет секундарног трговања, као и на унапређење тржишне ефикасности у поступку продаје државних хартија на примарном тржишту.</w:t>
      </w:r>
    </w:p>
    <w:p w14:paraId="1F9B7B2F"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Као водеће факторе који утичу на криву приноса државних хартија од вредности потребно је издвојити фискални резултат, очекивану стопу инфлације и девизни курс. Као посебну групу фактора потребно је издвојити макроекономска кретања и очекивања, као и промене на међународном финансијском тржишту, које се рефлектују на премију ризика земље.</w:t>
      </w:r>
    </w:p>
    <w:p w14:paraId="2AD1823B"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На крају 2012. године просечна рочност динарских хартија од вредности износила је 394 дана (1,1 годину), на крају 2013. године 469 дана (1,3 године), на крају 2014. године 645 дана (1,8 годину), на крају 2015. године 749 дана (2,1 годину), на крају 2016. године 789 дана (2,2 године), на крају 2017. године 864 дана (2,4 године), на крају 2018. године 1.188 дана (3,3 године), на крају 2019. године 1.403 дана (3,8 година), на крају 2020. године 1.429 дана (3,9 година), на крају 2021. године 1.377 дана (3,8 године), а на крају септембра 2022. године 1.273 дана (3,5 године).</w:t>
      </w:r>
    </w:p>
    <w:p w14:paraId="427DE833" w14:textId="77777777" w:rsidR="00F24B7F" w:rsidRPr="00F27A03" w:rsidRDefault="00F24B7F" w:rsidP="00ED5386">
      <w:pPr>
        <w:rPr>
          <w:rFonts w:ascii="Calibri" w:eastAsia="Calibri" w:hAnsi="Calibri" w:cs="Calibri"/>
          <w:bCs/>
          <w:szCs w:val="72"/>
          <w:lang w:val="sr-Cyrl-CS"/>
        </w:rPr>
      </w:pPr>
      <w:r w:rsidRPr="00F27A03">
        <w:rPr>
          <w:rFonts w:ascii="Calibri" w:eastAsia="Calibri" w:hAnsi="Calibri" w:cs="Calibri"/>
          <w:bCs/>
          <w:szCs w:val="72"/>
          <w:lang w:val="sr-Cyrl-CS"/>
        </w:rPr>
        <w:t>Развој домаћег тржишта државних хартија од вредности од стране Републике Србије потпомогнут је следећим мерама:</w:t>
      </w:r>
    </w:p>
    <w:p w14:paraId="7341D367" w14:textId="77777777" w:rsidR="00F24B7F" w:rsidRPr="00F27A03" w:rsidRDefault="00F24B7F" w:rsidP="00ED5386">
      <w:pPr>
        <w:numPr>
          <w:ilvl w:val="0"/>
          <w:numId w:val="13"/>
        </w:numPr>
        <w:ind w:left="0" w:hanging="142"/>
        <w:rPr>
          <w:rFonts w:ascii="Calibri" w:eastAsia="Calibri" w:hAnsi="Calibri" w:cs="Calibri"/>
          <w:bCs/>
          <w:szCs w:val="72"/>
          <w:lang w:val="sr-Cyrl-CS"/>
        </w:rPr>
      </w:pPr>
      <w:r w:rsidRPr="00F27A03">
        <w:rPr>
          <w:rFonts w:ascii="Calibri" w:eastAsia="Calibri" w:hAnsi="Calibri" w:cs="Calibri"/>
          <w:bCs/>
          <w:szCs w:val="72"/>
          <w:lang w:val="sr-Cyrl-CS"/>
        </w:rPr>
        <w:t xml:space="preserve">Обвезнице Републике Србије укључене су у </w:t>
      </w:r>
      <w:r w:rsidRPr="00F27A03">
        <w:rPr>
          <w:rFonts w:ascii="Calibri" w:eastAsia="Calibri" w:hAnsi="Calibri" w:cs="Calibri"/>
          <w:bCs/>
          <w:iCs/>
          <w:szCs w:val="72"/>
          <w:lang w:val="sr-Cyrl-CS"/>
        </w:rPr>
        <w:t>Ј.P. Morgan</w:t>
      </w:r>
      <w:r w:rsidRPr="00F27A03">
        <w:rPr>
          <w:rFonts w:ascii="Calibri" w:eastAsia="Calibri" w:hAnsi="Calibri" w:cs="Calibri"/>
          <w:bCs/>
          <w:szCs w:val="72"/>
          <w:lang w:val="sr-Cyrl-CS"/>
        </w:rPr>
        <w:t xml:space="preserve"> глобални индекс</w:t>
      </w:r>
      <w:r w:rsidRPr="00F27A03">
        <w:rPr>
          <w:lang w:val="sr-Cyrl-CS"/>
        </w:rPr>
        <w:t xml:space="preserve"> </w:t>
      </w:r>
      <w:r w:rsidRPr="00F27A03">
        <w:rPr>
          <w:rFonts w:ascii="Calibri" w:eastAsia="Calibri" w:hAnsi="Calibri" w:cs="Calibri"/>
          <w:bCs/>
          <w:szCs w:val="72"/>
          <w:lang w:val="sr-Cyrl-CS"/>
        </w:rPr>
        <w:t>државних обвезница у локалним валутама земаља у развоју (</w:t>
      </w:r>
      <w:r w:rsidRPr="00F27A03">
        <w:rPr>
          <w:rFonts w:ascii="Calibri" w:eastAsia="Calibri" w:hAnsi="Calibri" w:cs="Calibri"/>
          <w:bCs/>
          <w:i/>
          <w:szCs w:val="72"/>
          <w:lang w:val="sr-Cyrl-CS"/>
        </w:rPr>
        <w:t>GBI-EM</w:t>
      </w:r>
      <w:r w:rsidRPr="00F27A03">
        <w:rPr>
          <w:rFonts w:ascii="Calibri" w:eastAsia="Calibri" w:hAnsi="Calibri" w:cs="Calibri"/>
          <w:bCs/>
          <w:szCs w:val="72"/>
          <w:lang w:val="sr-Cyrl-CS"/>
        </w:rPr>
        <w:t xml:space="preserve"> </w:t>
      </w:r>
      <w:r w:rsidRPr="00F27A03">
        <w:rPr>
          <w:rFonts w:ascii="Calibri" w:eastAsia="Calibri" w:hAnsi="Calibri" w:cs="Calibri"/>
          <w:bCs/>
          <w:i/>
          <w:iCs/>
          <w:szCs w:val="72"/>
          <w:lang w:val="sr-Cyrl-CS"/>
        </w:rPr>
        <w:t>Global Diversified Index</w:t>
      </w:r>
      <w:r w:rsidRPr="00F27A03">
        <w:rPr>
          <w:rFonts w:ascii="Calibri" w:eastAsia="Calibri" w:hAnsi="Calibri" w:cs="Calibri"/>
          <w:bCs/>
          <w:szCs w:val="72"/>
          <w:lang w:val="sr-Cyrl-CS"/>
        </w:rPr>
        <w:t>) што би требало значајно да повећа базу инвеститора и додатно поспеши секундарно трговање, што ће даље допринети смањењу трошкова задуживања путем емисија динарских државних хартија од вредности;</w:t>
      </w:r>
    </w:p>
    <w:p w14:paraId="3F57FF51" w14:textId="77777777" w:rsidR="00F24B7F" w:rsidRPr="00F27A03" w:rsidRDefault="00F24B7F" w:rsidP="00ED5386">
      <w:pPr>
        <w:numPr>
          <w:ilvl w:val="0"/>
          <w:numId w:val="13"/>
        </w:numPr>
        <w:ind w:left="0" w:hanging="142"/>
        <w:rPr>
          <w:rFonts w:ascii="Calibri" w:eastAsia="Calibri" w:hAnsi="Calibri" w:cs="Calibri"/>
          <w:bCs/>
          <w:szCs w:val="72"/>
          <w:lang w:val="sr-Cyrl-CS"/>
        </w:rPr>
      </w:pPr>
      <w:r w:rsidRPr="00F27A03">
        <w:rPr>
          <w:rFonts w:ascii="Calibri" w:eastAsia="Calibri" w:hAnsi="Calibri" w:cs="Calibri"/>
          <w:bCs/>
          <w:szCs w:val="72"/>
          <w:lang w:val="sr-Cyrl-CS"/>
        </w:rPr>
        <w:t>У циљу креирања што веће базе инвеститора и развоја секундарног тржишта хартија од вредности емитованих на домаћем тржишту, креиран је једнак порески третман домаћих и страних инвеститора крајем 2011. године, и у наредном периоду тежиће се уклањању свих евентуалних препрека за слободан проток капитала;</w:t>
      </w:r>
    </w:p>
    <w:p w14:paraId="2DEAABA8" w14:textId="77777777" w:rsidR="00F24B7F" w:rsidRPr="00F27A03" w:rsidRDefault="00F24B7F" w:rsidP="00ED5386">
      <w:pPr>
        <w:numPr>
          <w:ilvl w:val="0"/>
          <w:numId w:val="13"/>
        </w:numPr>
        <w:ind w:left="0" w:hanging="142"/>
        <w:rPr>
          <w:rFonts w:ascii="Calibri" w:eastAsia="Calibri" w:hAnsi="Calibri" w:cs="Calibri"/>
          <w:bCs/>
          <w:szCs w:val="72"/>
          <w:lang w:val="sr-Cyrl-CS"/>
        </w:rPr>
      </w:pPr>
      <w:r w:rsidRPr="00F27A03">
        <w:rPr>
          <w:rFonts w:ascii="Calibri" w:eastAsia="Calibri" w:hAnsi="Calibri" w:cs="Calibri"/>
          <w:bCs/>
          <w:szCs w:val="72"/>
          <w:lang w:val="sr-Cyrl-CS"/>
        </w:rPr>
        <w:lastRenderedPageBreak/>
        <w:t>Предузете су активности на омогућавању салдирања државних хартија од вредности на иностраном тржишту. Изменама и допунама Закона о јавном дугу из децембра 2019. године, омогућено је да клиринг и салдирање државних хартија од вредности емитованих на домаћем тржишту, поред Централног регистра врши и друго страно правно лице које обавља послове клиринга и салдирања.</w:t>
      </w:r>
    </w:p>
    <w:p w14:paraId="675FC5EA" w14:textId="57B19169" w:rsidR="00746584" w:rsidRPr="00F27A03" w:rsidRDefault="00F24B7F" w:rsidP="00746584">
      <w:pPr>
        <w:numPr>
          <w:ilvl w:val="0"/>
          <w:numId w:val="13"/>
        </w:numPr>
        <w:ind w:left="0" w:hanging="142"/>
        <w:rPr>
          <w:rFonts w:ascii="Calibri" w:eastAsia="Calibri" w:hAnsi="Calibri" w:cs="Calibri"/>
          <w:bCs/>
          <w:szCs w:val="72"/>
          <w:lang w:val="sr-Cyrl-CS"/>
        </w:rPr>
      </w:pPr>
      <w:r w:rsidRPr="00F27A03">
        <w:rPr>
          <w:rFonts w:ascii="Calibri" w:eastAsia="Calibri" w:hAnsi="Calibri" w:cs="Calibri"/>
          <w:bCs/>
          <w:szCs w:val="72"/>
          <w:lang w:val="sr-Cyrl-CS"/>
        </w:rPr>
        <w:t xml:space="preserve">Током 2022. године активно се радило на усаглашавању законске регулативе и ИТ инфраструктуре за успостављање међународног линка (i-Link) између Централног регистра, депоа и </w:t>
      </w:r>
      <w:r w:rsidRPr="00F27A03">
        <w:rPr>
          <w:rFonts w:ascii="Calibri" w:eastAsia="Calibri" w:hAnsi="Calibri" w:cs="Calibri"/>
          <w:bCs/>
          <w:szCs w:val="72"/>
          <w:lang w:val="sr-Cyrl-CS"/>
        </w:rPr>
        <w:t>клиринга хартија од вредности и Euroclear банке, како би се почетком 2023. године олакшале трансакције салдирања државних бенчмарк обвезница преко Euroclear провајдера пост трговинских трансакција. Основне предности приступања Euroclear систему су ширење базе инвеститора кроз лакшу доступност домаћих хартија од вредности страним инвеститорима, што даље смањује трошкове у редукованом ланцу учесника куповине хартија од вредности, а тиме и пад приноса на хартије и ниже трошкове задуживања емитента. Такође, повећава се ликвидност секундарног тржишта ширењем базе инвеститора.</w:t>
      </w:r>
    </w:p>
    <w:p w14:paraId="7D5C624C" w14:textId="77777777" w:rsidR="00F24B7F" w:rsidRPr="00F27A03" w:rsidRDefault="00F24B7F" w:rsidP="00ED5386">
      <w:pPr>
        <w:rPr>
          <w:rFonts w:ascii="Calibri" w:eastAsia="Calibri" w:hAnsi="Calibri" w:cs="Calibri"/>
          <w:bCs/>
          <w:szCs w:val="72"/>
          <w:lang w:val="sr-Cyrl-CS"/>
        </w:rPr>
        <w:sectPr w:rsidR="00F24B7F" w:rsidRPr="00F27A03" w:rsidSect="00C91F83">
          <w:type w:val="continuous"/>
          <w:pgSz w:w="12240" w:h="15840" w:code="1"/>
          <w:pgMar w:top="1418" w:right="1418" w:bottom="1418" w:left="1418" w:header="720" w:footer="720" w:gutter="0"/>
          <w:cols w:num="2" w:space="720"/>
          <w:docGrid w:linePitch="272"/>
        </w:sectPr>
      </w:pPr>
      <w:bookmarkStart w:id="44" w:name="_Toc56667083"/>
    </w:p>
    <w:bookmarkEnd w:id="44"/>
    <w:p w14:paraId="5C33FDBC" w14:textId="77777777" w:rsidR="00F24B7F" w:rsidRPr="00F27A03" w:rsidRDefault="00F24B7F">
      <w:pPr>
        <w:jc w:val="left"/>
        <w:rPr>
          <w:rFonts w:cstheme="minorHAnsi"/>
          <w:bCs/>
          <w:spacing w:val="-2"/>
          <w:szCs w:val="72"/>
          <w:lang w:val="sr-Cyrl-CS"/>
        </w:rPr>
      </w:pPr>
      <w:r w:rsidRPr="00F27A03">
        <w:rPr>
          <w:rFonts w:cstheme="minorHAnsi"/>
          <w:bCs/>
          <w:spacing w:val="-2"/>
          <w:szCs w:val="72"/>
          <w:lang w:val="sr-Cyrl-CS"/>
        </w:rPr>
        <w:br w:type="page"/>
      </w:r>
    </w:p>
    <w:p w14:paraId="1BBEC5C8" w14:textId="77777777" w:rsidR="00BB2F03" w:rsidRPr="00F27A03" w:rsidRDefault="00BB2F03" w:rsidP="00427829">
      <w:pPr>
        <w:keepNext/>
        <w:keepLines/>
        <w:spacing w:after="0" w:line="240" w:lineRule="auto"/>
        <w:jc w:val="center"/>
        <w:outlineLvl w:val="0"/>
        <w:rPr>
          <w:rFonts w:cstheme="minorHAnsi"/>
          <w:bCs/>
          <w:color w:val="2F5496" w:themeColor="accent1" w:themeShade="BF"/>
          <w:szCs w:val="72"/>
          <w:lang w:val="sr-Cyrl-CS"/>
        </w:rPr>
      </w:pPr>
      <w:bookmarkStart w:id="45" w:name="_Toc529801854"/>
      <w:bookmarkStart w:id="46" w:name="_Toc86923729"/>
      <w:bookmarkStart w:id="47" w:name="_Toc119326600"/>
      <w:r w:rsidRPr="00F27A03">
        <w:rPr>
          <w:rFonts w:eastAsiaTheme="majorEastAsia" w:cstheme="minorHAnsi"/>
          <w:b/>
          <w:color w:val="2F5496" w:themeColor="accent1" w:themeShade="BF"/>
          <w:sz w:val="26"/>
          <w:szCs w:val="26"/>
          <w:lang w:val="sr-Cyrl-CS"/>
        </w:rPr>
        <w:lastRenderedPageBreak/>
        <w:t>IV. ЗАВРШНЕ ОДРЕДБЕ</w:t>
      </w:r>
      <w:bookmarkEnd w:id="45"/>
      <w:bookmarkEnd w:id="46"/>
      <w:bookmarkEnd w:id="47"/>
    </w:p>
    <w:p w14:paraId="00B63B57" w14:textId="77777777" w:rsidR="00BB2F03" w:rsidRPr="00F27A03" w:rsidRDefault="00BB2F03" w:rsidP="00427829">
      <w:pPr>
        <w:rPr>
          <w:lang w:val="sr-Cyrl-CS"/>
        </w:rPr>
      </w:pPr>
    </w:p>
    <w:p w14:paraId="6A0F1620" w14:textId="77777777" w:rsidR="00BB2F03" w:rsidRPr="00F27A03" w:rsidRDefault="00BB2F03" w:rsidP="00427829">
      <w:pPr>
        <w:rPr>
          <w:lang w:val="sr-Cyrl-CS"/>
        </w:rPr>
      </w:pPr>
    </w:p>
    <w:p w14:paraId="5FD0B931" w14:textId="63EB047B" w:rsidR="00BB2F03" w:rsidRPr="00F27A03" w:rsidRDefault="00702FDB" w:rsidP="00427829">
      <w:pPr>
        <w:spacing w:after="80"/>
        <w:ind w:firstLine="720"/>
        <w:rPr>
          <w:rFonts w:cstheme="minorHAnsi"/>
          <w:bCs/>
          <w:szCs w:val="72"/>
          <w:lang w:val="sr-Cyrl-CS"/>
        </w:rPr>
      </w:pPr>
      <w:r w:rsidRPr="00F27A03">
        <w:rPr>
          <w:rFonts w:cstheme="minorHAnsi"/>
          <w:bCs/>
          <w:szCs w:val="72"/>
          <w:lang w:val="sr-Cyrl-CS"/>
        </w:rPr>
        <w:t xml:space="preserve">Саставни део ове </w:t>
      </w:r>
      <w:r w:rsidR="00B177D2" w:rsidRPr="00F27A03">
        <w:rPr>
          <w:rFonts w:cstheme="minorHAnsi"/>
          <w:bCs/>
          <w:szCs w:val="72"/>
          <w:lang w:val="sr-Cyrl-CS"/>
        </w:rPr>
        <w:t>ревидиране Ф</w:t>
      </w:r>
      <w:r w:rsidR="00BB2F03" w:rsidRPr="00F27A03">
        <w:rPr>
          <w:rFonts w:cstheme="minorHAnsi"/>
          <w:bCs/>
          <w:szCs w:val="72"/>
          <w:lang w:val="sr-Cyrl-CS"/>
        </w:rPr>
        <w:t>искалне стратегије чине Прилог 1 – Пројекција основних макроекономских индикатора и Прилог 2 – Фискални оквир опште државе у 202</w:t>
      </w:r>
      <w:r w:rsidR="00E85631" w:rsidRPr="00F27A03">
        <w:rPr>
          <w:rFonts w:cstheme="minorHAnsi"/>
          <w:bCs/>
          <w:szCs w:val="72"/>
          <w:lang w:val="sr-Cyrl-CS"/>
        </w:rPr>
        <w:t>3</w:t>
      </w:r>
      <w:r w:rsidR="00BB2F03" w:rsidRPr="00F27A03">
        <w:rPr>
          <w:rFonts w:cstheme="minorHAnsi"/>
          <w:bCs/>
          <w:szCs w:val="72"/>
          <w:lang w:val="sr-Cyrl-CS"/>
        </w:rPr>
        <w:t>. години, који су одштампани уз ов</w:t>
      </w:r>
      <w:r w:rsidRPr="00F27A03">
        <w:rPr>
          <w:rFonts w:cstheme="minorHAnsi"/>
          <w:bCs/>
          <w:szCs w:val="72"/>
          <w:lang w:val="sr-Cyrl-CS"/>
        </w:rPr>
        <w:t xml:space="preserve">у </w:t>
      </w:r>
      <w:r w:rsidR="00B177D2" w:rsidRPr="00F27A03">
        <w:rPr>
          <w:rFonts w:cstheme="minorHAnsi"/>
          <w:bCs/>
          <w:szCs w:val="72"/>
          <w:lang w:val="sr-Cyrl-CS"/>
        </w:rPr>
        <w:t>ревидирану Ф</w:t>
      </w:r>
      <w:r w:rsidR="00BB2F03" w:rsidRPr="00F27A03">
        <w:rPr>
          <w:rFonts w:cstheme="minorHAnsi"/>
          <w:bCs/>
          <w:szCs w:val="72"/>
          <w:lang w:val="sr-Cyrl-CS"/>
        </w:rPr>
        <w:t>искалну стратегију.</w:t>
      </w:r>
    </w:p>
    <w:p w14:paraId="655D83DC" w14:textId="4A17CBA8" w:rsidR="00BB2F03" w:rsidRPr="00F27A03" w:rsidRDefault="00702FDB" w:rsidP="00427829">
      <w:pPr>
        <w:spacing w:after="80"/>
        <w:ind w:firstLine="720"/>
        <w:rPr>
          <w:rFonts w:cstheme="minorHAnsi"/>
          <w:bCs/>
          <w:szCs w:val="72"/>
          <w:lang w:val="sr-Cyrl-CS"/>
        </w:rPr>
      </w:pPr>
      <w:r w:rsidRPr="00F27A03">
        <w:rPr>
          <w:rFonts w:cstheme="minorHAnsi"/>
          <w:bCs/>
          <w:szCs w:val="72"/>
          <w:lang w:val="sr-Cyrl-CS"/>
        </w:rPr>
        <w:t xml:space="preserve">Ову </w:t>
      </w:r>
      <w:r w:rsidR="00B177D2" w:rsidRPr="00F27A03">
        <w:rPr>
          <w:rFonts w:cstheme="minorHAnsi"/>
          <w:bCs/>
          <w:szCs w:val="72"/>
          <w:lang w:val="sr-Cyrl-CS"/>
        </w:rPr>
        <w:t>ревидирану Ф</w:t>
      </w:r>
      <w:r w:rsidR="00BB2F03" w:rsidRPr="00F27A03">
        <w:rPr>
          <w:rFonts w:cstheme="minorHAnsi"/>
          <w:bCs/>
          <w:szCs w:val="72"/>
          <w:lang w:val="sr-Cyrl-CS"/>
        </w:rPr>
        <w:t xml:space="preserve">искалну стратегију доставити </w:t>
      </w:r>
      <w:r w:rsidR="00BB2F03" w:rsidRPr="00F27A03">
        <w:rPr>
          <w:lang w:val="sr-Cyrl-CS"/>
        </w:rPr>
        <w:t xml:space="preserve">одбору Народне скупштине надлежном за финансије, републички буџет и контролу трошења јавних средстава </w:t>
      </w:r>
      <w:r w:rsidR="00BB2F03" w:rsidRPr="00F27A03">
        <w:rPr>
          <w:rFonts w:cstheme="minorHAnsi"/>
          <w:bCs/>
          <w:szCs w:val="72"/>
          <w:lang w:val="sr-Cyrl-CS"/>
        </w:rPr>
        <w:t>и Министарству финансија.</w:t>
      </w:r>
    </w:p>
    <w:p w14:paraId="4F9880D0" w14:textId="0DECD83B" w:rsidR="00BB2F03" w:rsidRPr="00F27A03" w:rsidRDefault="00702FDB" w:rsidP="00427829">
      <w:pPr>
        <w:spacing w:after="0"/>
        <w:ind w:firstLine="720"/>
        <w:rPr>
          <w:rFonts w:cstheme="minorHAnsi"/>
          <w:bCs/>
          <w:szCs w:val="72"/>
          <w:lang w:val="sr-Cyrl-CS"/>
        </w:rPr>
      </w:pPr>
      <w:r w:rsidRPr="00F27A03">
        <w:rPr>
          <w:rFonts w:cstheme="minorHAnsi"/>
          <w:bCs/>
          <w:szCs w:val="72"/>
          <w:lang w:val="sr-Cyrl-CS"/>
        </w:rPr>
        <w:t xml:space="preserve">Ову </w:t>
      </w:r>
      <w:r w:rsidR="00B177D2" w:rsidRPr="00F27A03">
        <w:rPr>
          <w:rFonts w:cstheme="minorHAnsi"/>
          <w:bCs/>
          <w:szCs w:val="72"/>
          <w:lang w:val="sr-Cyrl-CS"/>
        </w:rPr>
        <w:t>ревидирану Ф</w:t>
      </w:r>
      <w:r w:rsidR="00BB2F03" w:rsidRPr="00F27A03">
        <w:rPr>
          <w:rFonts w:cstheme="minorHAnsi"/>
          <w:bCs/>
          <w:szCs w:val="72"/>
          <w:lang w:val="sr-Cyrl-CS"/>
        </w:rPr>
        <w:t xml:space="preserve">искалну стратегију објавити </w:t>
      </w:r>
      <w:r w:rsidR="00B177D2" w:rsidRPr="00F27A03">
        <w:rPr>
          <w:rFonts w:cstheme="minorHAnsi"/>
          <w:bCs/>
          <w:szCs w:val="72"/>
          <w:lang w:val="sr-Cyrl-CS"/>
        </w:rPr>
        <w:t xml:space="preserve">у „Службеном гласнику Републике Србије” и </w:t>
      </w:r>
      <w:r w:rsidR="00BB2F03" w:rsidRPr="00F27A03">
        <w:rPr>
          <w:rFonts w:cstheme="minorHAnsi"/>
          <w:bCs/>
          <w:szCs w:val="72"/>
          <w:lang w:val="sr-Cyrl-CS"/>
        </w:rPr>
        <w:t xml:space="preserve">на интернет страници </w:t>
      </w:r>
      <w:r w:rsidR="00BF51D5" w:rsidRPr="00F27A03">
        <w:rPr>
          <w:rFonts w:cstheme="minorHAnsi"/>
          <w:bCs/>
          <w:szCs w:val="72"/>
          <w:lang w:val="sr-Cyrl-CS"/>
        </w:rPr>
        <w:t xml:space="preserve">Владе и </w:t>
      </w:r>
      <w:r w:rsidR="00BB2F03" w:rsidRPr="00F27A03">
        <w:rPr>
          <w:rFonts w:cstheme="minorHAnsi"/>
          <w:bCs/>
          <w:szCs w:val="72"/>
          <w:lang w:val="sr-Cyrl-CS"/>
        </w:rPr>
        <w:t>Министарства финансија.</w:t>
      </w:r>
    </w:p>
    <w:p w14:paraId="28928900" w14:textId="77777777" w:rsidR="00BB2F03" w:rsidRPr="00F27A03" w:rsidRDefault="00BB2F03" w:rsidP="00427829">
      <w:pPr>
        <w:spacing w:after="0"/>
        <w:jc w:val="right"/>
        <w:rPr>
          <w:rFonts w:cstheme="minorHAnsi"/>
          <w:bCs/>
          <w:szCs w:val="72"/>
          <w:lang w:val="sr-Cyrl-CS"/>
        </w:rPr>
      </w:pPr>
    </w:p>
    <w:p w14:paraId="189E8BE3" w14:textId="77777777" w:rsidR="00BB2F03" w:rsidRPr="00F27A03" w:rsidRDefault="00BB2F03" w:rsidP="00427829">
      <w:pPr>
        <w:spacing w:after="0"/>
        <w:jc w:val="right"/>
        <w:rPr>
          <w:rFonts w:cstheme="minorHAnsi"/>
          <w:bCs/>
          <w:szCs w:val="72"/>
          <w:lang w:val="sr-Cyrl-CS"/>
        </w:rPr>
      </w:pPr>
    </w:p>
    <w:p w14:paraId="15693080" w14:textId="1E0BF83B" w:rsidR="00BB2F03" w:rsidRPr="005C76CA" w:rsidRDefault="00B93D6A" w:rsidP="00C91F83">
      <w:pPr>
        <w:tabs>
          <w:tab w:val="left" w:pos="1189"/>
        </w:tabs>
        <w:spacing w:after="0"/>
        <w:rPr>
          <w:rFonts w:cstheme="minorHAnsi"/>
          <w:bCs/>
          <w:szCs w:val="72"/>
        </w:rPr>
      </w:pPr>
      <w:r w:rsidRPr="00F27A03">
        <w:rPr>
          <w:rFonts w:cstheme="minorHAnsi"/>
          <w:bCs/>
          <w:szCs w:val="72"/>
          <w:lang w:val="sr-Cyrl-CS"/>
        </w:rPr>
        <w:t>05 Број:</w:t>
      </w:r>
      <w:r w:rsidR="005701A2" w:rsidRPr="00F27A03">
        <w:rPr>
          <w:rFonts w:cstheme="minorHAnsi"/>
          <w:bCs/>
          <w:szCs w:val="72"/>
          <w:lang w:val="sr-Cyrl-CS"/>
        </w:rPr>
        <w:t xml:space="preserve"> </w:t>
      </w:r>
      <w:r w:rsidR="005C76CA">
        <w:rPr>
          <w:rFonts w:cstheme="minorHAnsi"/>
          <w:bCs/>
          <w:szCs w:val="72"/>
        </w:rPr>
        <w:t>400-9216/2022</w:t>
      </w:r>
    </w:p>
    <w:p w14:paraId="7F765857" w14:textId="629F8F41" w:rsidR="00BB2F03" w:rsidRPr="005C76CA" w:rsidRDefault="000E3344" w:rsidP="00776442">
      <w:pPr>
        <w:spacing w:after="0"/>
        <w:rPr>
          <w:rFonts w:cstheme="minorHAnsi"/>
          <w:bCs/>
          <w:szCs w:val="72"/>
          <w:lang w:val="sr-Cyrl-RS"/>
        </w:rPr>
      </w:pPr>
      <w:r w:rsidRPr="00F27A03">
        <w:rPr>
          <w:rFonts w:cstheme="minorHAnsi"/>
          <w:bCs/>
          <w:szCs w:val="72"/>
          <w:lang w:val="sr-Cyrl-CS"/>
        </w:rPr>
        <w:t>У Београду,</w:t>
      </w:r>
      <w:r w:rsidR="00702FDB" w:rsidRPr="00F27A03">
        <w:rPr>
          <w:rFonts w:cstheme="minorHAnsi"/>
          <w:bCs/>
          <w:szCs w:val="72"/>
          <w:lang w:val="sr-Cyrl-CS"/>
        </w:rPr>
        <w:t xml:space="preserve"> </w:t>
      </w:r>
      <w:r w:rsidR="005C76CA">
        <w:rPr>
          <w:rFonts w:cstheme="minorHAnsi"/>
          <w:bCs/>
          <w:szCs w:val="72"/>
        </w:rPr>
        <w:t xml:space="preserve">17. </w:t>
      </w:r>
      <w:r w:rsidR="005C76CA">
        <w:rPr>
          <w:rFonts w:cstheme="minorHAnsi"/>
          <w:bCs/>
          <w:szCs w:val="72"/>
          <w:lang w:val="sr-Cyrl-RS"/>
        </w:rPr>
        <w:t>новембра 2022. године</w:t>
      </w:r>
    </w:p>
    <w:p w14:paraId="7A280A7F" w14:textId="77777777" w:rsidR="00BB2F03" w:rsidRPr="00F27A03" w:rsidRDefault="00BB2F03" w:rsidP="00427829">
      <w:pPr>
        <w:spacing w:after="0"/>
        <w:jc w:val="right"/>
        <w:rPr>
          <w:rFonts w:cstheme="minorHAnsi"/>
          <w:bCs/>
          <w:szCs w:val="72"/>
          <w:lang w:val="sr-Cyrl-CS"/>
        </w:rPr>
      </w:pPr>
    </w:p>
    <w:p w14:paraId="6D27A4F1" w14:textId="77777777" w:rsidR="00BB2F03" w:rsidRPr="00F27A03" w:rsidRDefault="00BB2F03" w:rsidP="0001068B">
      <w:pPr>
        <w:spacing w:after="0"/>
        <w:jc w:val="center"/>
        <w:rPr>
          <w:rFonts w:cstheme="minorHAnsi"/>
          <w:bCs/>
          <w:szCs w:val="72"/>
          <w:lang w:val="sr-Cyrl-CS"/>
        </w:rPr>
      </w:pPr>
      <w:r w:rsidRPr="00F27A03">
        <w:rPr>
          <w:rFonts w:cstheme="minorHAnsi"/>
          <w:bCs/>
          <w:szCs w:val="72"/>
          <w:lang w:val="sr-Cyrl-CS"/>
        </w:rPr>
        <w:t>В Л А Д А</w:t>
      </w:r>
    </w:p>
    <w:p w14:paraId="24EFA6AA" w14:textId="77777777" w:rsidR="00BB2F03" w:rsidRPr="00F27A03" w:rsidRDefault="00BB2F03" w:rsidP="00427829">
      <w:pPr>
        <w:spacing w:after="0"/>
        <w:jc w:val="right"/>
        <w:rPr>
          <w:rFonts w:cstheme="minorHAnsi"/>
          <w:bCs/>
          <w:szCs w:val="72"/>
          <w:lang w:val="sr-Cyrl-CS"/>
        </w:rPr>
      </w:pPr>
    </w:p>
    <w:p w14:paraId="18D99E01" w14:textId="1D5F0818" w:rsidR="00BB2F03" w:rsidRPr="00F27A03" w:rsidRDefault="00BB2F03" w:rsidP="00C91F83">
      <w:pPr>
        <w:spacing w:after="0"/>
        <w:jc w:val="center"/>
        <w:rPr>
          <w:rFonts w:cstheme="minorHAnsi"/>
          <w:bCs/>
          <w:szCs w:val="72"/>
          <w:lang w:val="sr-Cyrl-CS"/>
        </w:rPr>
      </w:pPr>
      <w:r w:rsidRPr="00F27A03">
        <w:rPr>
          <w:rFonts w:cstheme="minorHAnsi"/>
          <w:bCs/>
          <w:szCs w:val="72"/>
          <w:lang w:val="sr-Cyrl-CS"/>
        </w:rPr>
        <w:t xml:space="preserve">                                                                                                                                  </w:t>
      </w:r>
      <w:r w:rsidR="005C76CA">
        <w:rPr>
          <w:rFonts w:cstheme="minorHAnsi"/>
          <w:bCs/>
          <w:szCs w:val="72"/>
          <w:lang w:val="sr-Cyrl-CS"/>
        </w:rPr>
        <w:t xml:space="preserve">            ПРВИ ПОТ</w:t>
      </w:r>
      <w:r w:rsidRPr="00F27A03">
        <w:rPr>
          <w:rFonts w:cstheme="minorHAnsi"/>
          <w:bCs/>
          <w:szCs w:val="72"/>
          <w:lang w:val="sr-Cyrl-CS"/>
        </w:rPr>
        <w:t>ПРЕДСЕДНИК</w:t>
      </w:r>
      <w:r w:rsidR="005C76CA">
        <w:rPr>
          <w:rFonts w:cstheme="minorHAnsi"/>
          <w:bCs/>
          <w:szCs w:val="72"/>
          <w:lang w:val="sr-Cyrl-CS"/>
        </w:rPr>
        <w:t xml:space="preserve"> ВЛАДЕ</w:t>
      </w:r>
    </w:p>
    <w:p w14:paraId="6F8F4275" w14:textId="66BC7826" w:rsidR="00BB2F03" w:rsidRDefault="00BB2F03" w:rsidP="000E3344">
      <w:pPr>
        <w:spacing w:after="0"/>
        <w:rPr>
          <w:rFonts w:cstheme="minorHAnsi"/>
          <w:bCs/>
          <w:szCs w:val="72"/>
          <w:lang w:val="sr-Cyrl-CS"/>
        </w:rPr>
      </w:pPr>
    </w:p>
    <w:p w14:paraId="675A3061" w14:textId="77777777" w:rsidR="005C76CA" w:rsidRPr="00F27A03" w:rsidRDefault="005C76CA" w:rsidP="000E3344">
      <w:pPr>
        <w:spacing w:after="0"/>
        <w:rPr>
          <w:rFonts w:cstheme="minorHAnsi"/>
          <w:bCs/>
          <w:szCs w:val="72"/>
          <w:lang w:val="sr-Cyrl-CS"/>
        </w:rPr>
      </w:pPr>
    </w:p>
    <w:p w14:paraId="65F58840" w14:textId="44564FC4" w:rsidR="00BB2F03" w:rsidRPr="00F27A03" w:rsidRDefault="00BB2F03" w:rsidP="00C91F83">
      <w:pPr>
        <w:spacing w:after="0"/>
        <w:jc w:val="center"/>
        <w:rPr>
          <w:rFonts w:cstheme="minorHAnsi"/>
          <w:bCs/>
          <w:szCs w:val="72"/>
          <w:lang w:val="sr-Cyrl-CS"/>
        </w:rPr>
      </w:pPr>
      <w:r w:rsidRPr="00F27A03">
        <w:rPr>
          <w:rFonts w:cstheme="minorHAnsi"/>
          <w:bCs/>
          <w:szCs w:val="72"/>
          <w:lang w:val="sr-Cyrl-CS"/>
        </w:rPr>
        <w:t xml:space="preserve">                                                                                                                   </w:t>
      </w:r>
      <w:r w:rsidR="005C76CA">
        <w:rPr>
          <w:rFonts w:cstheme="minorHAnsi"/>
          <w:bCs/>
          <w:szCs w:val="72"/>
          <w:lang w:val="sr-Cyrl-CS"/>
        </w:rPr>
        <w:t xml:space="preserve">                            Ивица Дачић</w:t>
      </w:r>
      <w:r w:rsidR="00061EA4" w:rsidRPr="00F27A03">
        <w:rPr>
          <w:rFonts w:cstheme="minorHAnsi"/>
          <w:bCs/>
          <w:szCs w:val="72"/>
          <w:lang w:val="sr-Cyrl-CS"/>
        </w:rPr>
        <w:t>, с.р.</w:t>
      </w:r>
    </w:p>
    <w:p w14:paraId="1778E1EF" w14:textId="77777777" w:rsidR="00BB2F03" w:rsidRPr="00F27A03" w:rsidRDefault="00BB2F03" w:rsidP="00427829">
      <w:pPr>
        <w:spacing w:after="0"/>
        <w:jc w:val="right"/>
        <w:rPr>
          <w:rFonts w:cstheme="minorHAnsi"/>
          <w:bCs/>
          <w:szCs w:val="72"/>
          <w:lang w:val="sr-Cyrl-CS"/>
        </w:rPr>
      </w:pPr>
    </w:p>
    <w:p w14:paraId="138049C5" w14:textId="77777777" w:rsidR="00BB2F03" w:rsidRPr="00F27A03" w:rsidRDefault="00BB2F03" w:rsidP="00427829">
      <w:pPr>
        <w:rPr>
          <w:rFonts w:cstheme="minorHAnsi"/>
          <w:bCs/>
          <w:szCs w:val="72"/>
          <w:lang w:val="sr-Cyrl-CS"/>
        </w:rPr>
      </w:pPr>
    </w:p>
    <w:p w14:paraId="3B9ACA08" w14:textId="77777777" w:rsidR="00BB2F03" w:rsidRPr="00F27A03" w:rsidRDefault="00BB2F03" w:rsidP="00E4657F">
      <w:pPr>
        <w:spacing w:after="60"/>
        <w:rPr>
          <w:rFonts w:cstheme="minorHAnsi"/>
          <w:bCs/>
          <w:spacing w:val="-2"/>
          <w:szCs w:val="72"/>
          <w:lang w:val="sr-Cyrl-CS"/>
        </w:rPr>
      </w:pPr>
    </w:p>
    <w:p w14:paraId="3C4568FA" w14:textId="77777777" w:rsidR="00BB2F03" w:rsidRPr="00F27A03" w:rsidRDefault="00BB2F03" w:rsidP="00E4657F">
      <w:pPr>
        <w:spacing w:after="60"/>
        <w:rPr>
          <w:rFonts w:cstheme="minorHAnsi"/>
          <w:bCs/>
          <w:spacing w:val="-2"/>
          <w:szCs w:val="72"/>
          <w:lang w:val="sr-Cyrl-CS"/>
        </w:rPr>
      </w:pPr>
    </w:p>
    <w:p w14:paraId="4DD91104" w14:textId="77777777" w:rsidR="00BB2F03" w:rsidRPr="00F27A03" w:rsidRDefault="00BB2F03" w:rsidP="00E4657F">
      <w:pPr>
        <w:spacing w:after="60"/>
        <w:rPr>
          <w:rFonts w:cstheme="minorHAnsi"/>
          <w:bCs/>
          <w:spacing w:val="-2"/>
          <w:szCs w:val="72"/>
          <w:lang w:val="sr-Cyrl-CS"/>
        </w:rPr>
      </w:pPr>
    </w:p>
    <w:p w14:paraId="1B6EAA43" w14:textId="77777777" w:rsidR="00BB2F03" w:rsidRPr="00F27A03" w:rsidRDefault="00BB2F03" w:rsidP="00E4657F">
      <w:pPr>
        <w:spacing w:after="60"/>
        <w:rPr>
          <w:rFonts w:cstheme="minorHAnsi"/>
          <w:bCs/>
          <w:spacing w:val="-2"/>
          <w:szCs w:val="72"/>
          <w:lang w:val="sr-Cyrl-CS"/>
        </w:rPr>
        <w:sectPr w:rsidR="00BB2F03" w:rsidRPr="00F27A03" w:rsidSect="00AE40EB">
          <w:headerReference w:type="even" r:id="rId183"/>
          <w:footerReference w:type="even" r:id="rId184"/>
          <w:footerReference w:type="default" r:id="rId185"/>
          <w:headerReference w:type="first" r:id="rId186"/>
          <w:type w:val="continuous"/>
          <w:pgSz w:w="12240" w:h="15840" w:code="1"/>
          <w:pgMar w:top="1418" w:right="1418" w:bottom="1418" w:left="1418" w:header="720" w:footer="720" w:gutter="0"/>
          <w:cols w:space="720"/>
          <w:docGrid w:linePitch="272"/>
        </w:sectPr>
      </w:pPr>
    </w:p>
    <w:p w14:paraId="41F9D8E0" w14:textId="77777777" w:rsidR="00B3473E" w:rsidRPr="00F27A03" w:rsidRDefault="00B3473E" w:rsidP="00953528">
      <w:pPr>
        <w:pStyle w:val="Heading1"/>
        <w:spacing w:after="160"/>
        <w:rPr>
          <w:rFonts w:asciiTheme="minorHAnsi" w:hAnsiTheme="minorHAnsi" w:cstheme="minorHAnsi"/>
          <w:color w:val="002060"/>
          <w:sz w:val="24"/>
          <w:szCs w:val="26"/>
          <w:lang w:val="sr-Cyrl-CS"/>
        </w:rPr>
      </w:pPr>
      <w:bookmarkStart w:id="48" w:name="_Toc119326601"/>
      <w:bookmarkStart w:id="49" w:name="_Toc86923730"/>
      <w:bookmarkStart w:id="50" w:name="_Toc23342474"/>
      <w:bookmarkStart w:id="51" w:name="_Toc530635112"/>
      <w:r w:rsidRPr="00F27A03">
        <w:rPr>
          <w:rFonts w:asciiTheme="minorHAnsi" w:hAnsiTheme="minorHAnsi" w:cstheme="minorHAnsi"/>
          <w:color w:val="002060"/>
          <w:sz w:val="24"/>
          <w:szCs w:val="26"/>
          <w:lang w:val="sr-Cyrl-CS"/>
        </w:rPr>
        <w:lastRenderedPageBreak/>
        <w:t>Прилог 1 – Пројекција основних макроекономских индикатора</w:t>
      </w:r>
      <w:bookmarkEnd w:id="48"/>
    </w:p>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1129"/>
        <w:gridCol w:w="1131"/>
        <w:gridCol w:w="1129"/>
        <w:gridCol w:w="1123"/>
      </w:tblGrid>
      <w:tr w:rsidR="00B3473E" w:rsidRPr="00F27A03" w14:paraId="63A7B274" w14:textId="77777777" w:rsidTr="00953528">
        <w:trPr>
          <w:trHeight w:val="551"/>
          <w:jc w:val="center"/>
        </w:trPr>
        <w:tc>
          <w:tcPr>
            <w:tcW w:w="2590" w:type="pct"/>
            <w:tcBorders>
              <w:top w:val="single" w:sz="4" w:space="0" w:color="002060"/>
              <w:bottom w:val="single" w:sz="4" w:space="0" w:color="002060"/>
            </w:tcBorders>
            <w:vAlign w:val="center"/>
            <w:hideMark/>
          </w:tcPr>
          <w:p w14:paraId="2901F067" w14:textId="77777777" w:rsidR="00B3473E" w:rsidRPr="00F27A03" w:rsidRDefault="00B3473E" w:rsidP="00953528">
            <w:pPr>
              <w:rPr>
                <w:rFonts w:eastAsia="Calibri" w:cstheme="minorHAnsi"/>
                <w:iCs/>
                <w:color w:val="002060"/>
                <w:sz w:val="18"/>
                <w:szCs w:val="18"/>
                <w:lang w:val="sr-Cyrl-CS"/>
              </w:rPr>
            </w:pPr>
          </w:p>
        </w:tc>
        <w:tc>
          <w:tcPr>
            <w:tcW w:w="603" w:type="pct"/>
            <w:tcBorders>
              <w:top w:val="single" w:sz="4" w:space="0" w:color="002060"/>
              <w:bottom w:val="single" w:sz="4" w:space="0" w:color="002060"/>
            </w:tcBorders>
            <w:noWrap/>
            <w:vAlign w:val="center"/>
          </w:tcPr>
          <w:p w14:paraId="4A706FE4" w14:textId="77777777" w:rsidR="00B3473E" w:rsidRPr="00F27A03" w:rsidRDefault="00B3473E" w:rsidP="00953528">
            <w:pPr>
              <w:jc w:val="center"/>
              <w:rPr>
                <w:rFonts w:eastAsia="Calibri" w:cstheme="minorHAnsi"/>
                <w:iCs/>
                <w:color w:val="002060"/>
                <w:szCs w:val="18"/>
                <w:lang w:val="sr-Cyrl-CS"/>
              </w:rPr>
            </w:pPr>
            <w:r w:rsidRPr="00F27A03">
              <w:rPr>
                <w:rFonts w:eastAsia="Calibri" w:cstheme="minorHAnsi"/>
                <w:iCs/>
                <w:color w:val="002060"/>
                <w:szCs w:val="18"/>
                <w:lang w:val="sr-Cyrl-CS"/>
              </w:rPr>
              <w:t>2022</w:t>
            </w:r>
          </w:p>
        </w:tc>
        <w:tc>
          <w:tcPr>
            <w:tcW w:w="604" w:type="pct"/>
            <w:tcBorders>
              <w:top w:val="single" w:sz="4" w:space="0" w:color="002060"/>
              <w:bottom w:val="single" w:sz="4" w:space="0" w:color="002060"/>
            </w:tcBorders>
            <w:noWrap/>
            <w:vAlign w:val="center"/>
            <w:hideMark/>
          </w:tcPr>
          <w:p w14:paraId="56815AD0" w14:textId="77777777" w:rsidR="00B3473E" w:rsidRPr="00F27A03" w:rsidRDefault="00B3473E" w:rsidP="00953528">
            <w:pPr>
              <w:jc w:val="center"/>
              <w:rPr>
                <w:rFonts w:eastAsia="Calibri" w:cstheme="minorHAnsi"/>
                <w:iCs/>
                <w:color w:val="002060"/>
                <w:sz w:val="18"/>
                <w:szCs w:val="18"/>
                <w:lang w:val="sr-Cyrl-CS"/>
              </w:rPr>
            </w:pPr>
            <w:r w:rsidRPr="00F27A03">
              <w:rPr>
                <w:color w:val="002060"/>
                <w:lang w:val="sr-Cyrl-CS"/>
              </w:rPr>
              <w:t>2023</w:t>
            </w:r>
          </w:p>
        </w:tc>
        <w:tc>
          <w:tcPr>
            <w:tcW w:w="603" w:type="pct"/>
            <w:tcBorders>
              <w:top w:val="single" w:sz="4" w:space="0" w:color="002060"/>
              <w:bottom w:val="single" w:sz="4" w:space="0" w:color="002060"/>
            </w:tcBorders>
            <w:noWrap/>
            <w:vAlign w:val="center"/>
            <w:hideMark/>
          </w:tcPr>
          <w:p w14:paraId="3B85C75D" w14:textId="77777777" w:rsidR="00B3473E" w:rsidRPr="00F27A03" w:rsidRDefault="00B3473E" w:rsidP="00953528">
            <w:pPr>
              <w:jc w:val="center"/>
              <w:rPr>
                <w:rFonts w:eastAsia="Calibri" w:cstheme="minorHAnsi"/>
                <w:iCs/>
                <w:color w:val="002060"/>
                <w:sz w:val="18"/>
                <w:szCs w:val="18"/>
                <w:lang w:val="sr-Cyrl-CS"/>
              </w:rPr>
            </w:pPr>
            <w:r w:rsidRPr="00F27A03">
              <w:rPr>
                <w:color w:val="002060"/>
                <w:lang w:val="sr-Cyrl-CS"/>
              </w:rPr>
              <w:t>2024</w:t>
            </w:r>
          </w:p>
        </w:tc>
        <w:tc>
          <w:tcPr>
            <w:tcW w:w="600" w:type="pct"/>
            <w:tcBorders>
              <w:top w:val="single" w:sz="4" w:space="0" w:color="002060"/>
              <w:bottom w:val="single" w:sz="4" w:space="0" w:color="002060"/>
            </w:tcBorders>
            <w:noWrap/>
            <w:vAlign w:val="center"/>
            <w:hideMark/>
          </w:tcPr>
          <w:p w14:paraId="163E008C" w14:textId="77777777" w:rsidR="00B3473E" w:rsidRPr="00F27A03" w:rsidRDefault="00B3473E" w:rsidP="00953528">
            <w:pPr>
              <w:jc w:val="center"/>
              <w:rPr>
                <w:rFonts w:eastAsia="Calibri" w:cstheme="minorHAnsi"/>
                <w:iCs/>
                <w:color w:val="002060"/>
                <w:sz w:val="18"/>
                <w:szCs w:val="18"/>
                <w:lang w:val="sr-Cyrl-CS"/>
              </w:rPr>
            </w:pPr>
            <w:r w:rsidRPr="00F27A03">
              <w:rPr>
                <w:color w:val="002060"/>
                <w:lang w:val="sr-Cyrl-CS"/>
              </w:rPr>
              <w:t>2025</w:t>
            </w:r>
          </w:p>
        </w:tc>
      </w:tr>
      <w:tr w:rsidR="00B3473E" w:rsidRPr="00F27A03" w14:paraId="30FC3724" w14:textId="77777777" w:rsidTr="00A42963">
        <w:trPr>
          <w:trHeight w:val="281"/>
          <w:jc w:val="center"/>
        </w:trPr>
        <w:tc>
          <w:tcPr>
            <w:tcW w:w="2590" w:type="pct"/>
            <w:tcBorders>
              <w:top w:val="single" w:sz="4" w:space="0" w:color="002060"/>
            </w:tcBorders>
            <w:noWrap/>
            <w:vAlign w:val="center"/>
            <w:hideMark/>
          </w:tcPr>
          <w:p w14:paraId="337603CD" w14:textId="77777777" w:rsidR="00B3473E" w:rsidRPr="00F27A03" w:rsidRDefault="00B3473E" w:rsidP="00A42963">
            <w:pPr>
              <w:jc w:val="left"/>
              <w:rPr>
                <w:rFonts w:eastAsia="Calibri" w:cstheme="minorHAnsi"/>
                <w:color w:val="002060"/>
                <w:sz w:val="18"/>
                <w:szCs w:val="18"/>
                <w:lang w:val="sr-Cyrl-CS"/>
              </w:rPr>
            </w:pPr>
            <w:r w:rsidRPr="00F27A03">
              <w:rPr>
                <w:rFonts w:eastAsia="Calibri" w:cstheme="minorHAnsi"/>
                <w:color w:val="002060"/>
                <w:sz w:val="18"/>
                <w:szCs w:val="18"/>
                <w:lang w:val="sr-Cyrl-CS"/>
              </w:rPr>
              <w:t>Стопа реалног раста БДП, %</w:t>
            </w:r>
          </w:p>
        </w:tc>
        <w:tc>
          <w:tcPr>
            <w:tcW w:w="603" w:type="pct"/>
            <w:tcBorders>
              <w:top w:val="nil"/>
              <w:left w:val="nil"/>
              <w:bottom w:val="nil"/>
              <w:right w:val="nil"/>
            </w:tcBorders>
            <w:shd w:val="clear" w:color="auto" w:fill="auto"/>
            <w:noWrap/>
            <w:vAlign w:val="center"/>
          </w:tcPr>
          <w:p w14:paraId="517CAC62" w14:textId="77777777" w:rsidR="00B3473E" w:rsidRPr="00F27A03" w:rsidRDefault="00B3473E" w:rsidP="00A42963">
            <w:pPr>
              <w:jc w:val="center"/>
              <w:rPr>
                <w:rFonts w:cstheme="minorHAnsi"/>
                <w:color w:val="002060"/>
                <w:sz w:val="18"/>
                <w:szCs w:val="18"/>
                <w:lang w:val="sr-Cyrl-CS"/>
              </w:rPr>
            </w:pPr>
            <w:r w:rsidRPr="00F27A03">
              <w:rPr>
                <w:color w:val="002060"/>
                <w:sz w:val="18"/>
                <w:lang w:val="sr-Cyrl-CS"/>
              </w:rPr>
              <w:t>2,5</w:t>
            </w:r>
          </w:p>
        </w:tc>
        <w:tc>
          <w:tcPr>
            <w:tcW w:w="604" w:type="pct"/>
            <w:tcBorders>
              <w:top w:val="nil"/>
              <w:left w:val="nil"/>
              <w:bottom w:val="nil"/>
              <w:right w:val="nil"/>
            </w:tcBorders>
            <w:shd w:val="clear" w:color="auto" w:fill="auto"/>
            <w:noWrap/>
            <w:vAlign w:val="center"/>
          </w:tcPr>
          <w:p w14:paraId="36EE0E6F" w14:textId="77777777" w:rsidR="00B3473E" w:rsidRPr="00F27A03" w:rsidRDefault="00B3473E" w:rsidP="00A42963">
            <w:pPr>
              <w:jc w:val="center"/>
              <w:rPr>
                <w:rFonts w:cstheme="minorHAnsi"/>
                <w:color w:val="002060"/>
                <w:sz w:val="18"/>
                <w:szCs w:val="18"/>
                <w:lang w:val="sr-Cyrl-CS"/>
              </w:rPr>
            </w:pPr>
            <w:r w:rsidRPr="00F27A03">
              <w:rPr>
                <w:color w:val="002060"/>
                <w:sz w:val="18"/>
                <w:lang w:val="sr-Cyrl-CS"/>
              </w:rPr>
              <w:t>2,5</w:t>
            </w:r>
          </w:p>
        </w:tc>
        <w:tc>
          <w:tcPr>
            <w:tcW w:w="603" w:type="pct"/>
            <w:tcBorders>
              <w:top w:val="nil"/>
              <w:left w:val="nil"/>
              <w:bottom w:val="nil"/>
              <w:right w:val="nil"/>
            </w:tcBorders>
            <w:shd w:val="clear" w:color="auto" w:fill="auto"/>
            <w:noWrap/>
            <w:vAlign w:val="center"/>
          </w:tcPr>
          <w:p w14:paraId="65AC8234" w14:textId="77777777" w:rsidR="00B3473E" w:rsidRPr="00F27A03" w:rsidRDefault="00B3473E" w:rsidP="00A42963">
            <w:pPr>
              <w:jc w:val="center"/>
              <w:rPr>
                <w:rFonts w:cstheme="minorHAnsi"/>
                <w:color w:val="002060"/>
                <w:sz w:val="18"/>
                <w:szCs w:val="18"/>
                <w:lang w:val="sr-Cyrl-CS"/>
              </w:rPr>
            </w:pPr>
            <w:r w:rsidRPr="00F27A03">
              <w:rPr>
                <w:color w:val="002060"/>
                <w:sz w:val="18"/>
                <w:lang w:val="sr-Cyrl-CS"/>
              </w:rPr>
              <w:t>3,5</w:t>
            </w:r>
          </w:p>
        </w:tc>
        <w:tc>
          <w:tcPr>
            <w:tcW w:w="600" w:type="pct"/>
            <w:tcBorders>
              <w:top w:val="nil"/>
              <w:left w:val="nil"/>
              <w:bottom w:val="nil"/>
              <w:right w:val="nil"/>
            </w:tcBorders>
            <w:shd w:val="clear" w:color="auto" w:fill="auto"/>
            <w:noWrap/>
            <w:vAlign w:val="center"/>
          </w:tcPr>
          <w:p w14:paraId="260BE27A" w14:textId="77777777" w:rsidR="00B3473E" w:rsidRPr="00F27A03" w:rsidRDefault="00B3473E" w:rsidP="00A42963">
            <w:pPr>
              <w:jc w:val="center"/>
              <w:rPr>
                <w:rFonts w:cstheme="minorHAnsi"/>
                <w:color w:val="002060"/>
                <w:sz w:val="18"/>
                <w:szCs w:val="18"/>
                <w:lang w:val="sr-Cyrl-CS"/>
              </w:rPr>
            </w:pPr>
            <w:r w:rsidRPr="00F27A03">
              <w:rPr>
                <w:color w:val="002060"/>
                <w:sz w:val="18"/>
                <w:lang w:val="sr-Cyrl-CS"/>
              </w:rPr>
              <w:t>4,0</w:t>
            </w:r>
          </w:p>
        </w:tc>
      </w:tr>
      <w:tr w:rsidR="00B3473E" w:rsidRPr="00F27A03" w14:paraId="359781EC" w14:textId="77777777" w:rsidTr="00A42963">
        <w:trPr>
          <w:trHeight w:val="281"/>
          <w:jc w:val="center"/>
        </w:trPr>
        <w:tc>
          <w:tcPr>
            <w:tcW w:w="2590" w:type="pct"/>
            <w:noWrap/>
            <w:vAlign w:val="center"/>
            <w:hideMark/>
          </w:tcPr>
          <w:p w14:paraId="56DC2B3B" w14:textId="77777777" w:rsidR="00B3473E" w:rsidRPr="00F27A03" w:rsidRDefault="00B3473E" w:rsidP="00A42963">
            <w:pPr>
              <w:jc w:val="left"/>
              <w:rPr>
                <w:rFonts w:eastAsia="Calibri" w:cstheme="minorHAnsi"/>
                <w:color w:val="002060"/>
                <w:sz w:val="18"/>
                <w:szCs w:val="18"/>
                <w:lang w:val="sr-Cyrl-CS"/>
              </w:rPr>
            </w:pPr>
            <w:r w:rsidRPr="00F27A03">
              <w:rPr>
                <w:rFonts w:eastAsia="Calibri" w:cstheme="minorHAnsi"/>
                <w:color w:val="002060"/>
                <w:sz w:val="18"/>
                <w:szCs w:val="18"/>
                <w:lang w:val="sr-Cyrl-CS"/>
              </w:rPr>
              <w:t>БДП у текућим тржишним ценама</w:t>
            </w:r>
          </w:p>
          <w:p w14:paraId="57735764" w14:textId="77777777" w:rsidR="00B3473E" w:rsidRPr="00F27A03" w:rsidRDefault="00B3473E" w:rsidP="00A42963">
            <w:pPr>
              <w:jc w:val="left"/>
              <w:rPr>
                <w:rFonts w:eastAsia="Calibri" w:cstheme="minorHAnsi"/>
                <w:bCs/>
                <w:color w:val="002060"/>
                <w:sz w:val="18"/>
                <w:szCs w:val="18"/>
                <w:lang w:val="sr-Cyrl-CS"/>
              </w:rPr>
            </w:pPr>
            <w:r w:rsidRPr="00F27A03">
              <w:rPr>
                <w:rFonts w:eastAsia="Calibri" w:cstheme="minorHAnsi"/>
                <w:color w:val="002060"/>
                <w:sz w:val="18"/>
                <w:szCs w:val="18"/>
                <w:lang w:val="sr-Cyrl-CS"/>
              </w:rPr>
              <w:t>(у млрд динара)</w:t>
            </w:r>
          </w:p>
        </w:tc>
        <w:tc>
          <w:tcPr>
            <w:tcW w:w="603" w:type="pct"/>
            <w:tcBorders>
              <w:top w:val="nil"/>
              <w:left w:val="nil"/>
              <w:bottom w:val="nil"/>
              <w:right w:val="nil"/>
            </w:tcBorders>
            <w:shd w:val="clear" w:color="auto" w:fill="auto"/>
            <w:noWrap/>
            <w:vAlign w:val="center"/>
          </w:tcPr>
          <w:p w14:paraId="7EEC72D0" w14:textId="77777777" w:rsidR="00B3473E" w:rsidRPr="00F27A03" w:rsidRDefault="00B3473E" w:rsidP="00A42963">
            <w:pPr>
              <w:jc w:val="center"/>
              <w:rPr>
                <w:rFonts w:cstheme="minorHAnsi"/>
                <w:color w:val="002060"/>
                <w:sz w:val="18"/>
                <w:szCs w:val="18"/>
                <w:lang w:val="sr-Cyrl-CS"/>
              </w:rPr>
            </w:pPr>
            <w:r w:rsidRPr="00F27A03">
              <w:rPr>
                <w:color w:val="002060"/>
                <w:sz w:val="18"/>
                <w:lang w:val="sr-Cyrl-CS"/>
              </w:rPr>
              <w:t>7.082,5</w:t>
            </w:r>
          </w:p>
        </w:tc>
        <w:tc>
          <w:tcPr>
            <w:tcW w:w="604" w:type="pct"/>
            <w:tcBorders>
              <w:top w:val="nil"/>
              <w:left w:val="nil"/>
              <w:bottom w:val="nil"/>
              <w:right w:val="nil"/>
            </w:tcBorders>
            <w:shd w:val="clear" w:color="auto" w:fill="auto"/>
            <w:noWrap/>
            <w:vAlign w:val="center"/>
          </w:tcPr>
          <w:p w14:paraId="4FFD8D72" w14:textId="77777777" w:rsidR="00B3473E" w:rsidRPr="00F27A03" w:rsidRDefault="00B3473E" w:rsidP="00A42963">
            <w:pPr>
              <w:jc w:val="center"/>
              <w:rPr>
                <w:rFonts w:cstheme="minorHAnsi"/>
                <w:color w:val="002060"/>
                <w:sz w:val="18"/>
                <w:szCs w:val="18"/>
                <w:lang w:val="sr-Cyrl-CS"/>
              </w:rPr>
            </w:pPr>
            <w:r w:rsidRPr="00F27A03">
              <w:rPr>
                <w:color w:val="002060"/>
                <w:sz w:val="18"/>
                <w:lang w:val="sr-Cyrl-CS"/>
              </w:rPr>
              <w:t>8.025,1</w:t>
            </w:r>
          </w:p>
        </w:tc>
        <w:tc>
          <w:tcPr>
            <w:tcW w:w="603" w:type="pct"/>
            <w:tcBorders>
              <w:top w:val="nil"/>
              <w:left w:val="nil"/>
              <w:bottom w:val="nil"/>
              <w:right w:val="nil"/>
            </w:tcBorders>
            <w:shd w:val="clear" w:color="auto" w:fill="auto"/>
            <w:noWrap/>
            <w:vAlign w:val="center"/>
          </w:tcPr>
          <w:p w14:paraId="4D28403B" w14:textId="77777777" w:rsidR="00B3473E" w:rsidRPr="00F27A03" w:rsidRDefault="00B3473E" w:rsidP="00A42963">
            <w:pPr>
              <w:jc w:val="center"/>
              <w:rPr>
                <w:rFonts w:cstheme="minorHAnsi"/>
                <w:color w:val="002060"/>
                <w:sz w:val="18"/>
                <w:szCs w:val="18"/>
                <w:lang w:val="sr-Cyrl-CS"/>
              </w:rPr>
            </w:pPr>
            <w:r w:rsidRPr="00F27A03">
              <w:rPr>
                <w:color w:val="002060"/>
                <w:sz w:val="18"/>
                <w:lang w:val="sr-Cyrl-CS"/>
              </w:rPr>
              <w:t>8.776,3</w:t>
            </w:r>
          </w:p>
        </w:tc>
        <w:tc>
          <w:tcPr>
            <w:tcW w:w="600" w:type="pct"/>
            <w:tcBorders>
              <w:top w:val="nil"/>
              <w:left w:val="nil"/>
              <w:bottom w:val="nil"/>
              <w:right w:val="nil"/>
            </w:tcBorders>
            <w:shd w:val="clear" w:color="auto" w:fill="auto"/>
            <w:noWrap/>
            <w:vAlign w:val="center"/>
          </w:tcPr>
          <w:p w14:paraId="1C34EDE7" w14:textId="77777777" w:rsidR="00B3473E" w:rsidRPr="00F27A03" w:rsidRDefault="00B3473E" w:rsidP="00A42963">
            <w:pPr>
              <w:jc w:val="center"/>
              <w:rPr>
                <w:rFonts w:cstheme="minorHAnsi"/>
                <w:color w:val="002060"/>
                <w:sz w:val="18"/>
                <w:szCs w:val="18"/>
                <w:lang w:val="sr-Cyrl-CS"/>
              </w:rPr>
            </w:pPr>
            <w:r w:rsidRPr="00F27A03">
              <w:rPr>
                <w:color w:val="002060"/>
                <w:sz w:val="18"/>
                <w:lang w:val="sr-Cyrl-CS"/>
              </w:rPr>
              <w:t>9.519,4</w:t>
            </w:r>
          </w:p>
        </w:tc>
      </w:tr>
      <w:tr w:rsidR="00B3473E" w:rsidRPr="00F27A03" w14:paraId="27FB2C9C" w14:textId="77777777" w:rsidTr="00A42963">
        <w:trPr>
          <w:trHeight w:val="281"/>
          <w:jc w:val="center"/>
        </w:trPr>
        <w:tc>
          <w:tcPr>
            <w:tcW w:w="2590" w:type="pct"/>
            <w:shd w:val="clear" w:color="auto" w:fill="E7E6E6" w:themeFill="background2"/>
            <w:noWrap/>
            <w:vAlign w:val="center"/>
            <w:hideMark/>
          </w:tcPr>
          <w:p w14:paraId="10600DC2" w14:textId="77777777" w:rsidR="00B3473E" w:rsidRPr="00F27A03" w:rsidRDefault="00B3473E" w:rsidP="00953528">
            <w:pPr>
              <w:jc w:val="left"/>
              <w:rPr>
                <w:rFonts w:eastAsia="Calibri" w:cstheme="minorHAnsi"/>
                <w:bCs/>
                <w:color w:val="002060"/>
                <w:sz w:val="18"/>
                <w:szCs w:val="18"/>
                <w:lang w:val="sr-Cyrl-CS"/>
              </w:rPr>
            </w:pPr>
            <w:r w:rsidRPr="00F27A03">
              <w:rPr>
                <w:rFonts w:eastAsia="Calibri" w:cstheme="minorHAnsi"/>
                <w:iCs/>
                <w:color w:val="002060"/>
                <w:sz w:val="18"/>
                <w:szCs w:val="18"/>
                <w:lang w:val="sr-Cyrl-CS"/>
              </w:rPr>
              <w:t xml:space="preserve">Извори раста: процентне промене у </w:t>
            </w:r>
            <w:r w:rsidRPr="00F27A03">
              <w:rPr>
                <w:rFonts w:eastAsia="Calibri" w:cstheme="minorHAnsi"/>
                <w:bCs/>
                <w:iCs/>
                <w:color w:val="002060"/>
                <w:sz w:val="18"/>
                <w:szCs w:val="18"/>
                <w:lang w:val="sr-Cyrl-CS"/>
              </w:rPr>
              <w:t>сталним</w:t>
            </w:r>
            <w:r w:rsidRPr="00F27A03">
              <w:rPr>
                <w:rFonts w:eastAsia="Calibri" w:cstheme="minorHAnsi"/>
                <w:iCs/>
                <w:color w:val="002060"/>
                <w:sz w:val="18"/>
                <w:szCs w:val="18"/>
                <w:lang w:val="sr-Cyrl-CS"/>
              </w:rPr>
              <w:t xml:space="preserve"> ценама</w:t>
            </w:r>
          </w:p>
        </w:tc>
        <w:tc>
          <w:tcPr>
            <w:tcW w:w="603" w:type="pct"/>
            <w:shd w:val="clear" w:color="auto" w:fill="E7E6E6" w:themeFill="background2"/>
            <w:vAlign w:val="center"/>
          </w:tcPr>
          <w:p w14:paraId="4FFC88D8" w14:textId="77777777" w:rsidR="00B3473E" w:rsidRPr="00F27A03" w:rsidRDefault="00B3473E" w:rsidP="00A42963">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261A973E" w14:textId="77777777" w:rsidR="00B3473E" w:rsidRPr="00F27A03" w:rsidRDefault="00B3473E" w:rsidP="00A42963">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6528F804" w14:textId="77777777" w:rsidR="00B3473E" w:rsidRPr="00F27A03" w:rsidRDefault="00B3473E" w:rsidP="00A42963">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6FBFB121" w14:textId="77777777" w:rsidR="00B3473E" w:rsidRPr="00F27A03" w:rsidRDefault="00B3473E" w:rsidP="00A42963">
            <w:pPr>
              <w:jc w:val="center"/>
              <w:rPr>
                <w:rFonts w:eastAsia="Calibri" w:cstheme="minorHAnsi"/>
                <w:bCs/>
                <w:color w:val="002060"/>
                <w:sz w:val="18"/>
                <w:szCs w:val="18"/>
                <w:lang w:val="sr-Cyrl-CS"/>
              </w:rPr>
            </w:pPr>
          </w:p>
        </w:tc>
      </w:tr>
      <w:tr w:rsidR="00B3473E" w:rsidRPr="00F27A03" w14:paraId="11BB8A87" w14:textId="77777777" w:rsidTr="00A42963">
        <w:trPr>
          <w:trHeight w:val="281"/>
          <w:jc w:val="center"/>
        </w:trPr>
        <w:tc>
          <w:tcPr>
            <w:tcW w:w="2590" w:type="pct"/>
            <w:noWrap/>
            <w:vAlign w:val="center"/>
            <w:hideMark/>
          </w:tcPr>
          <w:p w14:paraId="69EB2C9E"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Лична потрошња</w:t>
            </w:r>
          </w:p>
        </w:tc>
        <w:tc>
          <w:tcPr>
            <w:tcW w:w="603" w:type="pct"/>
            <w:tcBorders>
              <w:top w:val="nil"/>
              <w:left w:val="nil"/>
              <w:bottom w:val="nil"/>
              <w:right w:val="nil"/>
            </w:tcBorders>
            <w:shd w:val="clear" w:color="auto" w:fill="auto"/>
            <w:noWrap/>
            <w:vAlign w:val="center"/>
          </w:tcPr>
          <w:p w14:paraId="7E1BA254" w14:textId="77777777" w:rsidR="00B3473E" w:rsidRPr="00F27A03" w:rsidRDefault="00B3473E" w:rsidP="00A42963">
            <w:pPr>
              <w:jc w:val="center"/>
              <w:rPr>
                <w:color w:val="002060"/>
                <w:sz w:val="18"/>
                <w:lang w:val="sr-Cyrl-CS"/>
              </w:rPr>
            </w:pPr>
            <w:r w:rsidRPr="00F27A03">
              <w:rPr>
                <w:color w:val="002060"/>
                <w:sz w:val="18"/>
                <w:lang w:val="sr-Cyrl-CS"/>
              </w:rPr>
              <w:t>3,9</w:t>
            </w:r>
          </w:p>
        </w:tc>
        <w:tc>
          <w:tcPr>
            <w:tcW w:w="604" w:type="pct"/>
            <w:tcBorders>
              <w:top w:val="nil"/>
              <w:left w:val="nil"/>
              <w:bottom w:val="nil"/>
              <w:right w:val="nil"/>
            </w:tcBorders>
            <w:shd w:val="clear" w:color="auto" w:fill="auto"/>
            <w:noWrap/>
            <w:vAlign w:val="center"/>
          </w:tcPr>
          <w:p w14:paraId="052F772A" w14:textId="77777777" w:rsidR="00B3473E" w:rsidRPr="00F27A03" w:rsidRDefault="00B3473E" w:rsidP="00A42963">
            <w:pPr>
              <w:jc w:val="center"/>
              <w:rPr>
                <w:color w:val="002060"/>
                <w:sz w:val="18"/>
                <w:lang w:val="sr-Cyrl-CS"/>
              </w:rPr>
            </w:pPr>
            <w:r w:rsidRPr="00F27A03">
              <w:rPr>
                <w:color w:val="002060"/>
                <w:sz w:val="18"/>
                <w:lang w:val="sr-Cyrl-CS"/>
              </w:rPr>
              <w:t>2,5</w:t>
            </w:r>
          </w:p>
        </w:tc>
        <w:tc>
          <w:tcPr>
            <w:tcW w:w="603" w:type="pct"/>
            <w:tcBorders>
              <w:top w:val="nil"/>
              <w:left w:val="nil"/>
              <w:bottom w:val="nil"/>
              <w:right w:val="nil"/>
            </w:tcBorders>
            <w:shd w:val="clear" w:color="auto" w:fill="auto"/>
            <w:noWrap/>
            <w:vAlign w:val="center"/>
          </w:tcPr>
          <w:p w14:paraId="08FB4979" w14:textId="77777777" w:rsidR="00B3473E" w:rsidRPr="00F27A03" w:rsidRDefault="00B3473E" w:rsidP="00A42963">
            <w:pPr>
              <w:jc w:val="center"/>
              <w:rPr>
                <w:color w:val="002060"/>
                <w:sz w:val="18"/>
                <w:lang w:val="sr-Cyrl-CS"/>
              </w:rPr>
            </w:pPr>
            <w:r w:rsidRPr="00F27A03">
              <w:rPr>
                <w:color w:val="002060"/>
                <w:sz w:val="18"/>
                <w:lang w:val="sr-Cyrl-CS"/>
              </w:rPr>
              <w:t>2,9</w:t>
            </w:r>
          </w:p>
        </w:tc>
        <w:tc>
          <w:tcPr>
            <w:tcW w:w="600" w:type="pct"/>
            <w:tcBorders>
              <w:top w:val="nil"/>
              <w:left w:val="nil"/>
              <w:bottom w:val="nil"/>
              <w:right w:val="nil"/>
            </w:tcBorders>
            <w:shd w:val="clear" w:color="auto" w:fill="auto"/>
            <w:noWrap/>
            <w:vAlign w:val="center"/>
          </w:tcPr>
          <w:p w14:paraId="2B3E57D0" w14:textId="77777777" w:rsidR="00B3473E" w:rsidRPr="00F27A03" w:rsidRDefault="00B3473E" w:rsidP="00A42963">
            <w:pPr>
              <w:jc w:val="center"/>
              <w:rPr>
                <w:color w:val="002060"/>
                <w:sz w:val="18"/>
                <w:lang w:val="sr-Cyrl-CS"/>
              </w:rPr>
            </w:pPr>
            <w:r w:rsidRPr="00F27A03">
              <w:rPr>
                <w:color w:val="002060"/>
                <w:sz w:val="18"/>
                <w:lang w:val="sr-Cyrl-CS"/>
              </w:rPr>
              <w:t>3,6</w:t>
            </w:r>
          </w:p>
        </w:tc>
      </w:tr>
      <w:tr w:rsidR="00B3473E" w:rsidRPr="00F27A03" w14:paraId="5F51355A" w14:textId="77777777" w:rsidTr="00A42963">
        <w:trPr>
          <w:trHeight w:val="281"/>
          <w:jc w:val="center"/>
        </w:trPr>
        <w:tc>
          <w:tcPr>
            <w:tcW w:w="2590" w:type="pct"/>
            <w:noWrap/>
            <w:vAlign w:val="center"/>
            <w:hideMark/>
          </w:tcPr>
          <w:p w14:paraId="62BE06DA"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Државна потрошња</w:t>
            </w:r>
          </w:p>
        </w:tc>
        <w:tc>
          <w:tcPr>
            <w:tcW w:w="603" w:type="pct"/>
            <w:tcBorders>
              <w:top w:val="nil"/>
              <w:left w:val="nil"/>
              <w:bottom w:val="nil"/>
              <w:right w:val="nil"/>
            </w:tcBorders>
            <w:shd w:val="clear" w:color="auto" w:fill="auto"/>
            <w:noWrap/>
            <w:vAlign w:val="center"/>
          </w:tcPr>
          <w:p w14:paraId="2F19C0AC" w14:textId="77777777" w:rsidR="00B3473E" w:rsidRPr="00F27A03" w:rsidRDefault="00B3473E" w:rsidP="00A42963">
            <w:pPr>
              <w:jc w:val="center"/>
              <w:rPr>
                <w:color w:val="002060"/>
                <w:sz w:val="18"/>
                <w:lang w:val="sr-Cyrl-CS"/>
              </w:rPr>
            </w:pPr>
            <w:r w:rsidRPr="00F27A03">
              <w:rPr>
                <w:color w:val="002060"/>
                <w:sz w:val="18"/>
                <w:lang w:val="sr-Cyrl-CS"/>
              </w:rPr>
              <w:t>0,4</w:t>
            </w:r>
          </w:p>
        </w:tc>
        <w:tc>
          <w:tcPr>
            <w:tcW w:w="604" w:type="pct"/>
            <w:tcBorders>
              <w:top w:val="nil"/>
              <w:left w:val="nil"/>
              <w:bottom w:val="nil"/>
              <w:right w:val="nil"/>
            </w:tcBorders>
            <w:shd w:val="clear" w:color="auto" w:fill="auto"/>
            <w:noWrap/>
            <w:vAlign w:val="center"/>
          </w:tcPr>
          <w:p w14:paraId="0A015A68" w14:textId="77777777" w:rsidR="00B3473E" w:rsidRPr="00F27A03" w:rsidRDefault="00B3473E" w:rsidP="00A42963">
            <w:pPr>
              <w:jc w:val="center"/>
              <w:rPr>
                <w:color w:val="002060"/>
                <w:sz w:val="18"/>
                <w:lang w:val="sr-Cyrl-CS"/>
              </w:rPr>
            </w:pPr>
            <w:r w:rsidRPr="00F27A03">
              <w:rPr>
                <w:color w:val="002060"/>
                <w:sz w:val="18"/>
                <w:lang w:val="sr-Cyrl-CS"/>
              </w:rPr>
              <w:t>-2,0</w:t>
            </w:r>
          </w:p>
        </w:tc>
        <w:tc>
          <w:tcPr>
            <w:tcW w:w="603" w:type="pct"/>
            <w:tcBorders>
              <w:top w:val="nil"/>
              <w:left w:val="nil"/>
              <w:bottom w:val="nil"/>
              <w:right w:val="nil"/>
            </w:tcBorders>
            <w:shd w:val="clear" w:color="auto" w:fill="auto"/>
            <w:noWrap/>
            <w:vAlign w:val="center"/>
          </w:tcPr>
          <w:p w14:paraId="70F60C0A" w14:textId="77777777" w:rsidR="00B3473E" w:rsidRPr="00F27A03" w:rsidRDefault="00B3473E" w:rsidP="00A42963">
            <w:pPr>
              <w:jc w:val="center"/>
              <w:rPr>
                <w:color w:val="002060"/>
                <w:sz w:val="18"/>
                <w:lang w:val="sr-Cyrl-CS"/>
              </w:rPr>
            </w:pPr>
            <w:r w:rsidRPr="00F27A03">
              <w:rPr>
                <w:color w:val="002060"/>
                <w:sz w:val="18"/>
                <w:lang w:val="sr-Cyrl-CS"/>
              </w:rPr>
              <w:t>0,8</w:t>
            </w:r>
          </w:p>
        </w:tc>
        <w:tc>
          <w:tcPr>
            <w:tcW w:w="600" w:type="pct"/>
            <w:tcBorders>
              <w:top w:val="nil"/>
              <w:left w:val="nil"/>
              <w:bottom w:val="nil"/>
              <w:right w:val="nil"/>
            </w:tcBorders>
            <w:shd w:val="clear" w:color="auto" w:fill="auto"/>
            <w:noWrap/>
            <w:vAlign w:val="center"/>
          </w:tcPr>
          <w:p w14:paraId="2A38C7AE" w14:textId="77777777" w:rsidR="00B3473E" w:rsidRPr="00F27A03" w:rsidRDefault="00B3473E" w:rsidP="00A42963">
            <w:pPr>
              <w:jc w:val="center"/>
              <w:rPr>
                <w:color w:val="002060"/>
                <w:sz w:val="18"/>
                <w:lang w:val="sr-Cyrl-CS"/>
              </w:rPr>
            </w:pPr>
            <w:r w:rsidRPr="00F27A03">
              <w:rPr>
                <w:color w:val="002060"/>
                <w:sz w:val="18"/>
                <w:lang w:val="sr-Cyrl-CS"/>
              </w:rPr>
              <w:t>0,8</w:t>
            </w:r>
          </w:p>
        </w:tc>
      </w:tr>
      <w:tr w:rsidR="00B3473E" w:rsidRPr="00F27A03" w14:paraId="2424EBE7" w14:textId="77777777" w:rsidTr="00A42963">
        <w:trPr>
          <w:trHeight w:val="281"/>
          <w:jc w:val="center"/>
        </w:trPr>
        <w:tc>
          <w:tcPr>
            <w:tcW w:w="2590" w:type="pct"/>
            <w:noWrap/>
            <w:vAlign w:val="center"/>
            <w:hideMark/>
          </w:tcPr>
          <w:p w14:paraId="4978A10D"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Инвестиције у основна средства</w:t>
            </w:r>
          </w:p>
        </w:tc>
        <w:tc>
          <w:tcPr>
            <w:tcW w:w="603" w:type="pct"/>
            <w:tcBorders>
              <w:top w:val="nil"/>
              <w:left w:val="nil"/>
              <w:bottom w:val="nil"/>
              <w:right w:val="nil"/>
            </w:tcBorders>
            <w:shd w:val="clear" w:color="auto" w:fill="auto"/>
            <w:noWrap/>
            <w:vAlign w:val="center"/>
          </w:tcPr>
          <w:p w14:paraId="33C74405" w14:textId="77777777" w:rsidR="00B3473E" w:rsidRPr="00F27A03" w:rsidRDefault="00B3473E" w:rsidP="00A42963">
            <w:pPr>
              <w:jc w:val="center"/>
              <w:rPr>
                <w:color w:val="002060"/>
                <w:sz w:val="18"/>
                <w:lang w:val="sr-Cyrl-CS"/>
              </w:rPr>
            </w:pPr>
            <w:r w:rsidRPr="00F27A03">
              <w:rPr>
                <w:color w:val="002060"/>
                <w:sz w:val="18"/>
                <w:lang w:val="sr-Cyrl-CS"/>
              </w:rPr>
              <w:t>0,0</w:t>
            </w:r>
          </w:p>
        </w:tc>
        <w:tc>
          <w:tcPr>
            <w:tcW w:w="604" w:type="pct"/>
            <w:tcBorders>
              <w:top w:val="nil"/>
              <w:left w:val="nil"/>
              <w:bottom w:val="nil"/>
              <w:right w:val="nil"/>
            </w:tcBorders>
            <w:shd w:val="clear" w:color="auto" w:fill="auto"/>
            <w:noWrap/>
            <w:vAlign w:val="center"/>
          </w:tcPr>
          <w:p w14:paraId="7E89348D" w14:textId="77777777" w:rsidR="00B3473E" w:rsidRPr="00F27A03" w:rsidRDefault="00B3473E" w:rsidP="00A42963">
            <w:pPr>
              <w:jc w:val="center"/>
              <w:rPr>
                <w:color w:val="002060"/>
                <w:sz w:val="18"/>
                <w:lang w:val="sr-Cyrl-CS"/>
              </w:rPr>
            </w:pPr>
            <w:r w:rsidRPr="00F27A03">
              <w:rPr>
                <w:color w:val="002060"/>
                <w:sz w:val="18"/>
                <w:lang w:val="sr-Cyrl-CS"/>
              </w:rPr>
              <w:t>2,4</w:t>
            </w:r>
          </w:p>
        </w:tc>
        <w:tc>
          <w:tcPr>
            <w:tcW w:w="603" w:type="pct"/>
            <w:tcBorders>
              <w:top w:val="nil"/>
              <w:left w:val="nil"/>
              <w:bottom w:val="nil"/>
              <w:right w:val="nil"/>
            </w:tcBorders>
            <w:shd w:val="clear" w:color="auto" w:fill="auto"/>
            <w:noWrap/>
            <w:vAlign w:val="center"/>
          </w:tcPr>
          <w:p w14:paraId="70B20306" w14:textId="77777777" w:rsidR="00B3473E" w:rsidRPr="00F27A03" w:rsidRDefault="00B3473E" w:rsidP="00A42963">
            <w:pPr>
              <w:jc w:val="center"/>
              <w:rPr>
                <w:color w:val="002060"/>
                <w:sz w:val="18"/>
                <w:lang w:val="sr-Cyrl-CS"/>
              </w:rPr>
            </w:pPr>
            <w:r w:rsidRPr="00F27A03">
              <w:rPr>
                <w:color w:val="002060"/>
                <w:sz w:val="18"/>
                <w:lang w:val="sr-Cyrl-CS"/>
              </w:rPr>
              <w:t>5,2</w:t>
            </w:r>
          </w:p>
        </w:tc>
        <w:tc>
          <w:tcPr>
            <w:tcW w:w="600" w:type="pct"/>
            <w:tcBorders>
              <w:top w:val="nil"/>
              <w:left w:val="nil"/>
              <w:bottom w:val="nil"/>
              <w:right w:val="nil"/>
            </w:tcBorders>
            <w:shd w:val="clear" w:color="auto" w:fill="auto"/>
            <w:noWrap/>
            <w:vAlign w:val="center"/>
          </w:tcPr>
          <w:p w14:paraId="782AFC7B" w14:textId="77777777" w:rsidR="00B3473E" w:rsidRPr="00F27A03" w:rsidRDefault="00B3473E" w:rsidP="00A42963">
            <w:pPr>
              <w:jc w:val="center"/>
              <w:rPr>
                <w:color w:val="002060"/>
                <w:sz w:val="18"/>
                <w:lang w:val="sr-Cyrl-CS"/>
              </w:rPr>
            </w:pPr>
            <w:r w:rsidRPr="00F27A03">
              <w:rPr>
                <w:color w:val="002060"/>
                <w:sz w:val="18"/>
                <w:lang w:val="sr-Cyrl-CS"/>
              </w:rPr>
              <w:t>5,8</w:t>
            </w:r>
          </w:p>
        </w:tc>
      </w:tr>
      <w:tr w:rsidR="00B3473E" w:rsidRPr="00F27A03" w14:paraId="09AD8653" w14:textId="77777777" w:rsidTr="00A42963">
        <w:trPr>
          <w:trHeight w:val="281"/>
          <w:jc w:val="center"/>
        </w:trPr>
        <w:tc>
          <w:tcPr>
            <w:tcW w:w="2590" w:type="pct"/>
            <w:noWrap/>
            <w:vAlign w:val="center"/>
            <w:hideMark/>
          </w:tcPr>
          <w:p w14:paraId="377AC214"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Извоз робе и услуга</w:t>
            </w:r>
          </w:p>
        </w:tc>
        <w:tc>
          <w:tcPr>
            <w:tcW w:w="603" w:type="pct"/>
            <w:tcBorders>
              <w:top w:val="nil"/>
              <w:left w:val="nil"/>
              <w:bottom w:val="nil"/>
              <w:right w:val="nil"/>
            </w:tcBorders>
            <w:shd w:val="clear" w:color="auto" w:fill="auto"/>
            <w:noWrap/>
            <w:vAlign w:val="center"/>
          </w:tcPr>
          <w:p w14:paraId="7B7445D7" w14:textId="77777777" w:rsidR="00B3473E" w:rsidRPr="00F27A03" w:rsidRDefault="00B3473E" w:rsidP="00A42963">
            <w:pPr>
              <w:jc w:val="center"/>
              <w:rPr>
                <w:color w:val="002060"/>
                <w:sz w:val="18"/>
                <w:lang w:val="sr-Cyrl-CS"/>
              </w:rPr>
            </w:pPr>
            <w:r w:rsidRPr="00F27A03">
              <w:rPr>
                <w:color w:val="002060"/>
                <w:sz w:val="18"/>
                <w:lang w:val="sr-Cyrl-CS"/>
              </w:rPr>
              <w:t>12,3</w:t>
            </w:r>
          </w:p>
        </w:tc>
        <w:tc>
          <w:tcPr>
            <w:tcW w:w="604" w:type="pct"/>
            <w:tcBorders>
              <w:top w:val="nil"/>
              <w:left w:val="nil"/>
              <w:bottom w:val="nil"/>
              <w:right w:val="nil"/>
            </w:tcBorders>
            <w:shd w:val="clear" w:color="auto" w:fill="auto"/>
            <w:noWrap/>
            <w:vAlign w:val="center"/>
          </w:tcPr>
          <w:p w14:paraId="36A83B5F" w14:textId="77777777" w:rsidR="00B3473E" w:rsidRPr="00F27A03" w:rsidRDefault="00B3473E" w:rsidP="00A42963">
            <w:pPr>
              <w:jc w:val="center"/>
              <w:rPr>
                <w:color w:val="002060"/>
                <w:sz w:val="18"/>
                <w:lang w:val="sr-Cyrl-CS"/>
              </w:rPr>
            </w:pPr>
            <w:r w:rsidRPr="00F27A03">
              <w:rPr>
                <w:color w:val="002060"/>
                <w:sz w:val="18"/>
                <w:lang w:val="sr-Cyrl-CS"/>
              </w:rPr>
              <w:t>4,9</w:t>
            </w:r>
          </w:p>
        </w:tc>
        <w:tc>
          <w:tcPr>
            <w:tcW w:w="603" w:type="pct"/>
            <w:tcBorders>
              <w:top w:val="nil"/>
              <w:left w:val="nil"/>
              <w:bottom w:val="nil"/>
              <w:right w:val="nil"/>
            </w:tcBorders>
            <w:shd w:val="clear" w:color="auto" w:fill="auto"/>
            <w:noWrap/>
            <w:vAlign w:val="center"/>
          </w:tcPr>
          <w:p w14:paraId="6EFA8580" w14:textId="77777777" w:rsidR="00B3473E" w:rsidRPr="00F27A03" w:rsidRDefault="00B3473E" w:rsidP="00A42963">
            <w:pPr>
              <w:jc w:val="center"/>
              <w:rPr>
                <w:color w:val="002060"/>
                <w:sz w:val="18"/>
                <w:lang w:val="sr-Cyrl-CS"/>
              </w:rPr>
            </w:pPr>
            <w:r w:rsidRPr="00F27A03">
              <w:rPr>
                <w:color w:val="002060"/>
                <w:sz w:val="18"/>
                <w:lang w:val="sr-Cyrl-CS"/>
              </w:rPr>
              <w:t>8,8</w:t>
            </w:r>
          </w:p>
        </w:tc>
        <w:tc>
          <w:tcPr>
            <w:tcW w:w="600" w:type="pct"/>
            <w:tcBorders>
              <w:top w:val="nil"/>
              <w:left w:val="nil"/>
              <w:bottom w:val="nil"/>
              <w:right w:val="nil"/>
            </w:tcBorders>
            <w:shd w:val="clear" w:color="auto" w:fill="auto"/>
            <w:noWrap/>
            <w:vAlign w:val="center"/>
          </w:tcPr>
          <w:p w14:paraId="1BE05F1C" w14:textId="77777777" w:rsidR="00B3473E" w:rsidRPr="00F27A03" w:rsidRDefault="00B3473E" w:rsidP="00A42963">
            <w:pPr>
              <w:jc w:val="center"/>
              <w:rPr>
                <w:color w:val="002060"/>
                <w:sz w:val="18"/>
                <w:lang w:val="sr-Cyrl-CS"/>
              </w:rPr>
            </w:pPr>
            <w:r w:rsidRPr="00F27A03">
              <w:rPr>
                <w:color w:val="002060"/>
                <w:sz w:val="18"/>
                <w:lang w:val="sr-Cyrl-CS"/>
              </w:rPr>
              <w:t>10,6</w:t>
            </w:r>
          </w:p>
        </w:tc>
      </w:tr>
      <w:tr w:rsidR="00B3473E" w:rsidRPr="00F27A03" w14:paraId="0D205DA0" w14:textId="77777777" w:rsidTr="00A42963">
        <w:trPr>
          <w:trHeight w:val="281"/>
          <w:jc w:val="center"/>
        </w:trPr>
        <w:tc>
          <w:tcPr>
            <w:tcW w:w="2590" w:type="pct"/>
            <w:noWrap/>
            <w:vAlign w:val="center"/>
          </w:tcPr>
          <w:p w14:paraId="6106C6C3"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bCs/>
                <w:color w:val="002060"/>
                <w:sz w:val="18"/>
                <w:szCs w:val="18"/>
                <w:lang w:val="sr-Cyrl-CS"/>
              </w:rPr>
              <w:t>Увоз робе и услуга</w:t>
            </w:r>
          </w:p>
        </w:tc>
        <w:tc>
          <w:tcPr>
            <w:tcW w:w="603" w:type="pct"/>
            <w:tcBorders>
              <w:top w:val="nil"/>
              <w:left w:val="nil"/>
              <w:bottom w:val="nil"/>
              <w:right w:val="nil"/>
            </w:tcBorders>
            <w:shd w:val="clear" w:color="auto" w:fill="auto"/>
            <w:noWrap/>
            <w:vAlign w:val="center"/>
          </w:tcPr>
          <w:p w14:paraId="5C0411E9" w14:textId="77777777" w:rsidR="00B3473E" w:rsidRPr="00F27A03" w:rsidRDefault="00B3473E" w:rsidP="00A42963">
            <w:pPr>
              <w:jc w:val="center"/>
              <w:rPr>
                <w:color w:val="002060"/>
                <w:sz w:val="18"/>
                <w:lang w:val="sr-Cyrl-CS"/>
              </w:rPr>
            </w:pPr>
            <w:r w:rsidRPr="00F27A03">
              <w:rPr>
                <w:color w:val="002060"/>
                <w:sz w:val="18"/>
                <w:lang w:val="sr-Cyrl-CS"/>
              </w:rPr>
              <w:t>12,8</w:t>
            </w:r>
          </w:p>
        </w:tc>
        <w:tc>
          <w:tcPr>
            <w:tcW w:w="604" w:type="pct"/>
            <w:tcBorders>
              <w:top w:val="nil"/>
              <w:left w:val="nil"/>
              <w:bottom w:val="nil"/>
              <w:right w:val="nil"/>
            </w:tcBorders>
            <w:shd w:val="clear" w:color="auto" w:fill="auto"/>
            <w:noWrap/>
            <w:vAlign w:val="center"/>
          </w:tcPr>
          <w:p w14:paraId="23300724" w14:textId="77777777" w:rsidR="00B3473E" w:rsidRPr="00F27A03" w:rsidRDefault="00B3473E" w:rsidP="00A42963">
            <w:pPr>
              <w:jc w:val="center"/>
              <w:rPr>
                <w:color w:val="002060"/>
                <w:sz w:val="18"/>
                <w:lang w:val="sr-Cyrl-CS"/>
              </w:rPr>
            </w:pPr>
            <w:r w:rsidRPr="00F27A03">
              <w:rPr>
                <w:color w:val="002060"/>
                <w:sz w:val="18"/>
                <w:lang w:val="sr-Cyrl-CS"/>
              </w:rPr>
              <w:t>4,0</w:t>
            </w:r>
          </w:p>
        </w:tc>
        <w:tc>
          <w:tcPr>
            <w:tcW w:w="603" w:type="pct"/>
            <w:tcBorders>
              <w:top w:val="nil"/>
              <w:left w:val="nil"/>
              <w:bottom w:val="nil"/>
              <w:right w:val="nil"/>
            </w:tcBorders>
            <w:shd w:val="clear" w:color="auto" w:fill="auto"/>
            <w:noWrap/>
            <w:vAlign w:val="center"/>
          </w:tcPr>
          <w:p w14:paraId="048EAE59" w14:textId="77777777" w:rsidR="00B3473E" w:rsidRPr="00F27A03" w:rsidRDefault="00B3473E" w:rsidP="00A42963">
            <w:pPr>
              <w:jc w:val="center"/>
              <w:rPr>
                <w:color w:val="002060"/>
                <w:sz w:val="18"/>
                <w:lang w:val="sr-Cyrl-CS"/>
              </w:rPr>
            </w:pPr>
            <w:r w:rsidRPr="00F27A03">
              <w:rPr>
                <w:color w:val="002060"/>
                <w:sz w:val="18"/>
                <w:lang w:val="sr-Cyrl-CS"/>
              </w:rPr>
              <w:t>6,8</w:t>
            </w:r>
          </w:p>
        </w:tc>
        <w:tc>
          <w:tcPr>
            <w:tcW w:w="600" w:type="pct"/>
            <w:tcBorders>
              <w:top w:val="nil"/>
              <w:left w:val="nil"/>
              <w:bottom w:val="nil"/>
              <w:right w:val="nil"/>
            </w:tcBorders>
            <w:shd w:val="clear" w:color="auto" w:fill="auto"/>
            <w:noWrap/>
            <w:vAlign w:val="center"/>
          </w:tcPr>
          <w:p w14:paraId="70C33DA2" w14:textId="77777777" w:rsidR="00B3473E" w:rsidRPr="00F27A03" w:rsidRDefault="00B3473E" w:rsidP="00A42963">
            <w:pPr>
              <w:jc w:val="center"/>
              <w:rPr>
                <w:color w:val="002060"/>
                <w:sz w:val="18"/>
                <w:lang w:val="sr-Cyrl-CS"/>
              </w:rPr>
            </w:pPr>
            <w:r w:rsidRPr="00F27A03">
              <w:rPr>
                <w:color w:val="002060"/>
                <w:sz w:val="18"/>
                <w:lang w:val="sr-Cyrl-CS"/>
              </w:rPr>
              <w:t>8,8</w:t>
            </w:r>
          </w:p>
        </w:tc>
      </w:tr>
      <w:tr w:rsidR="00B3473E" w:rsidRPr="00F27A03" w14:paraId="1F0B606A" w14:textId="77777777" w:rsidTr="00A42963">
        <w:trPr>
          <w:trHeight w:val="281"/>
          <w:jc w:val="center"/>
        </w:trPr>
        <w:tc>
          <w:tcPr>
            <w:tcW w:w="2590" w:type="pct"/>
            <w:shd w:val="clear" w:color="auto" w:fill="E7E6E6" w:themeFill="background2"/>
            <w:noWrap/>
            <w:vAlign w:val="center"/>
            <w:hideMark/>
          </w:tcPr>
          <w:p w14:paraId="2DB47AA6" w14:textId="77777777" w:rsidR="00B3473E" w:rsidRPr="00F27A03" w:rsidRDefault="00B3473E" w:rsidP="00953528">
            <w:pPr>
              <w:jc w:val="left"/>
              <w:rPr>
                <w:rFonts w:eastAsia="Calibri" w:cstheme="minorHAnsi"/>
                <w:bCs/>
                <w:iCs/>
                <w:color w:val="002060"/>
                <w:sz w:val="18"/>
                <w:szCs w:val="18"/>
                <w:lang w:val="sr-Cyrl-CS"/>
              </w:rPr>
            </w:pPr>
            <w:r w:rsidRPr="00F27A03">
              <w:rPr>
                <w:rFonts w:eastAsia="Calibri" w:cstheme="minorHAnsi"/>
                <w:iCs/>
                <w:color w:val="002060"/>
                <w:sz w:val="18"/>
                <w:szCs w:val="18"/>
                <w:lang w:val="sr-Cyrl-CS"/>
              </w:rPr>
              <w:t>Допринос расту БДП</w:t>
            </w:r>
            <w:r w:rsidRPr="00F27A03">
              <w:rPr>
                <w:rFonts w:eastAsia="Calibri" w:cstheme="minorHAnsi"/>
                <w:bCs/>
                <w:iCs/>
                <w:color w:val="002060"/>
                <w:sz w:val="18"/>
                <w:szCs w:val="18"/>
                <w:lang w:val="sr-Cyrl-CS"/>
              </w:rPr>
              <w:t>, процентни поени</w:t>
            </w:r>
          </w:p>
        </w:tc>
        <w:tc>
          <w:tcPr>
            <w:tcW w:w="603" w:type="pct"/>
            <w:shd w:val="clear" w:color="auto" w:fill="E7E6E6" w:themeFill="background2"/>
            <w:noWrap/>
            <w:vAlign w:val="center"/>
          </w:tcPr>
          <w:p w14:paraId="7FD1FCA1" w14:textId="77777777" w:rsidR="00B3473E" w:rsidRPr="00F27A03" w:rsidRDefault="00B3473E" w:rsidP="00A42963">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35D5B3E2" w14:textId="77777777" w:rsidR="00B3473E" w:rsidRPr="00F27A03" w:rsidRDefault="00B3473E" w:rsidP="00A42963">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6262C7A1" w14:textId="77777777" w:rsidR="00B3473E" w:rsidRPr="00F27A03" w:rsidRDefault="00B3473E" w:rsidP="00A42963">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0291663A" w14:textId="77777777" w:rsidR="00B3473E" w:rsidRPr="00F27A03" w:rsidRDefault="00B3473E" w:rsidP="00A42963">
            <w:pPr>
              <w:jc w:val="center"/>
              <w:rPr>
                <w:rFonts w:eastAsia="Calibri" w:cstheme="minorHAnsi"/>
                <w:color w:val="002060"/>
                <w:sz w:val="18"/>
                <w:szCs w:val="18"/>
                <w:lang w:val="sr-Cyrl-CS"/>
              </w:rPr>
            </w:pPr>
          </w:p>
        </w:tc>
      </w:tr>
      <w:tr w:rsidR="00B3473E" w:rsidRPr="00F27A03" w14:paraId="2D0398D2" w14:textId="77777777" w:rsidTr="00A42963">
        <w:trPr>
          <w:trHeight w:val="281"/>
          <w:jc w:val="center"/>
        </w:trPr>
        <w:tc>
          <w:tcPr>
            <w:tcW w:w="2590" w:type="pct"/>
            <w:noWrap/>
            <w:vAlign w:val="center"/>
            <w:hideMark/>
          </w:tcPr>
          <w:p w14:paraId="127E95D5"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Домаћа тражња</w:t>
            </w:r>
          </w:p>
        </w:tc>
        <w:tc>
          <w:tcPr>
            <w:tcW w:w="603" w:type="pct"/>
            <w:tcBorders>
              <w:top w:val="nil"/>
              <w:left w:val="nil"/>
              <w:bottom w:val="nil"/>
              <w:right w:val="nil"/>
            </w:tcBorders>
            <w:shd w:val="clear" w:color="auto" w:fill="auto"/>
            <w:noWrap/>
            <w:vAlign w:val="center"/>
          </w:tcPr>
          <w:p w14:paraId="1D46D643" w14:textId="77777777" w:rsidR="00B3473E" w:rsidRPr="00F27A03" w:rsidRDefault="00B3473E" w:rsidP="00A42963">
            <w:pPr>
              <w:jc w:val="center"/>
              <w:rPr>
                <w:color w:val="002060"/>
                <w:sz w:val="18"/>
                <w:lang w:val="sr-Cyrl-CS"/>
              </w:rPr>
            </w:pPr>
            <w:r w:rsidRPr="00F27A03">
              <w:rPr>
                <w:color w:val="002060"/>
                <w:sz w:val="18"/>
                <w:lang w:val="sr-Cyrl-CS"/>
              </w:rPr>
              <w:t>4,2</w:t>
            </w:r>
          </w:p>
        </w:tc>
        <w:tc>
          <w:tcPr>
            <w:tcW w:w="604" w:type="pct"/>
            <w:tcBorders>
              <w:top w:val="nil"/>
              <w:left w:val="nil"/>
              <w:bottom w:val="nil"/>
              <w:right w:val="nil"/>
            </w:tcBorders>
            <w:shd w:val="clear" w:color="auto" w:fill="auto"/>
            <w:noWrap/>
            <w:vAlign w:val="center"/>
          </w:tcPr>
          <w:p w14:paraId="41967F90" w14:textId="77777777" w:rsidR="00B3473E" w:rsidRPr="00F27A03" w:rsidRDefault="00B3473E" w:rsidP="00A42963">
            <w:pPr>
              <w:jc w:val="center"/>
              <w:rPr>
                <w:color w:val="002060"/>
                <w:sz w:val="18"/>
                <w:lang w:val="sr-Cyrl-CS"/>
              </w:rPr>
            </w:pPr>
            <w:r w:rsidRPr="00F27A03">
              <w:rPr>
                <w:color w:val="002060"/>
                <w:sz w:val="18"/>
                <w:lang w:val="sr-Cyrl-CS"/>
              </w:rPr>
              <w:t>2,4</w:t>
            </w:r>
          </w:p>
        </w:tc>
        <w:tc>
          <w:tcPr>
            <w:tcW w:w="603" w:type="pct"/>
            <w:tcBorders>
              <w:top w:val="nil"/>
              <w:left w:val="nil"/>
              <w:bottom w:val="nil"/>
              <w:right w:val="nil"/>
            </w:tcBorders>
            <w:shd w:val="clear" w:color="auto" w:fill="auto"/>
            <w:noWrap/>
            <w:vAlign w:val="center"/>
          </w:tcPr>
          <w:p w14:paraId="45A88C22" w14:textId="77777777" w:rsidR="00B3473E" w:rsidRPr="00F27A03" w:rsidRDefault="00B3473E" w:rsidP="00A42963">
            <w:pPr>
              <w:jc w:val="center"/>
              <w:rPr>
                <w:color w:val="002060"/>
                <w:sz w:val="18"/>
                <w:lang w:val="sr-Cyrl-CS"/>
              </w:rPr>
            </w:pPr>
            <w:r w:rsidRPr="00F27A03">
              <w:rPr>
                <w:color w:val="002060"/>
                <w:sz w:val="18"/>
                <w:lang w:val="sr-Cyrl-CS"/>
              </w:rPr>
              <w:t>3,1</w:t>
            </w:r>
          </w:p>
        </w:tc>
        <w:tc>
          <w:tcPr>
            <w:tcW w:w="600" w:type="pct"/>
            <w:tcBorders>
              <w:top w:val="nil"/>
              <w:left w:val="nil"/>
              <w:bottom w:val="nil"/>
              <w:right w:val="nil"/>
            </w:tcBorders>
            <w:shd w:val="clear" w:color="auto" w:fill="auto"/>
            <w:noWrap/>
            <w:vAlign w:val="center"/>
          </w:tcPr>
          <w:p w14:paraId="6E14BF81" w14:textId="77777777" w:rsidR="00B3473E" w:rsidRPr="00F27A03" w:rsidRDefault="00B3473E" w:rsidP="00A42963">
            <w:pPr>
              <w:jc w:val="center"/>
              <w:rPr>
                <w:color w:val="002060"/>
                <w:sz w:val="18"/>
                <w:lang w:val="sr-Cyrl-CS"/>
              </w:rPr>
            </w:pPr>
            <w:r w:rsidRPr="00F27A03">
              <w:rPr>
                <w:color w:val="002060"/>
                <w:sz w:val="18"/>
                <w:lang w:val="sr-Cyrl-CS"/>
              </w:rPr>
              <w:t>3,8</w:t>
            </w:r>
          </w:p>
        </w:tc>
      </w:tr>
      <w:tr w:rsidR="00B3473E" w:rsidRPr="00F27A03" w14:paraId="4C71619B" w14:textId="77777777" w:rsidTr="00A42963">
        <w:trPr>
          <w:trHeight w:val="281"/>
          <w:jc w:val="center"/>
        </w:trPr>
        <w:tc>
          <w:tcPr>
            <w:tcW w:w="2590" w:type="pct"/>
            <w:noWrap/>
            <w:vAlign w:val="center"/>
            <w:hideMark/>
          </w:tcPr>
          <w:p w14:paraId="7E0A8BEC"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Лична потрошња</w:t>
            </w:r>
          </w:p>
        </w:tc>
        <w:tc>
          <w:tcPr>
            <w:tcW w:w="603" w:type="pct"/>
            <w:tcBorders>
              <w:top w:val="nil"/>
              <w:left w:val="nil"/>
              <w:bottom w:val="nil"/>
              <w:right w:val="nil"/>
            </w:tcBorders>
            <w:shd w:val="clear" w:color="auto" w:fill="auto"/>
            <w:noWrap/>
            <w:vAlign w:val="center"/>
          </w:tcPr>
          <w:p w14:paraId="75A6E28E" w14:textId="77777777" w:rsidR="00B3473E" w:rsidRPr="00F27A03" w:rsidRDefault="00B3473E" w:rsidP="00A42963">
            <w:pPr>
              <w:jc w:val="center"/>
              <w:rPr>
                <w:color w:val="002060"/>
                <w:sz w:val="18"/>
                <w:lang w:val="sr-Cyrl-CS"/>
              </w:rPr>
            </w:pPr>
            <w:r w:rsidRPr="00F27A03">
              <w:rPr>
                <w:color w:val="002060"/>
                <w:sz w:val="18"/>
                <w:lang w:val="sr-Cyrl-CS"/>
              </w:rPr>
              <w:t>2,7</w:t>
            </w:r>
          </w:p>
        </w:tc>
        <w:tc>
          <w:tcPr>
            <w:tcW w:w="604" w:type="pct"/>
            <w:tcBorders>
              <w:top w:val="nil"/>
              <w:left w:val="nil"/>
              <w:bottom w:val="nil"/>
              <w:right w:val="nil"/>
            </w:tcBorders>
            <w:shd w:val="clear" w:color="auto" w:fill="auto"/>
            <w:noWrap/>
            <w:vAlign w:val="center"/>
          </w:tcPr>
          <w:p w14:paraId="1E4E4B50" w14:textId="77777777" w:rsidR="00B3473E" w:rsidRPr="00F27A03" w:rsidRDefault="00B3473E" w:rsidP="00A42963">
            <w:pPr>
              <w:jc w:val="center"/>
              <w:rPr>
                <w:color w:val="002060"/>
                <w:sz w:val="18"/>
                <w:lang w:val="sr-Cyrl-CS"/>
              </w:rPr>
            </w:pPr>
            <w:r w:rsidRPr="00F27A03">
              <w:rPr>
                <w:color w:val="002060"/>
                <w:sz w:val="18"/>
                <w:lang w:val="sr-Cyrl-CS"/>
              </w:rPr>
              <w:t>1,8</w:t>
            </w:r>
          </w:p>
        </w:tc>
        <w:tc>
          <w:tcPr>
            <w:tcW w:w="603" w:type="pct"/>
            <w:tcBorders>
              <w:top w:val="nil"/>
              <w:left w:val="nil"/>
              <w:bottom w:val="nil"/>
              <w:right w:val="nil"/>
            </w:tcBorders>
            <w:shd w:val="clear" w:color="auto" w:fill="auto"/>
            <w:noWrap/>
            <w:vAlign w:val="center"/>
          </w:tcPr>
          <w:p w14:paraId="3CABFAEE" w14:textId="77777777" w:rsidR="00B3473E" w:rsidRPr="00F27A03" w:rsidRDefault="00B3473E" w:rsidP="00A42963">
            <w:pPr>
              <w:jc w:val="center"/>
              <w:rPr>
                <w:color w:val="002060"/>
                <w:sz w:val="18"/>
                <w:lang w:val="sr-Cyrl-CS"/>
              </w:rPr>
            </w:pPr>
            <w:r w:rsidRPr="00F27A03">
              <w:rPr>
                <w:color w:val="002060"/>
                <w:sz w:val="18"/>
                <w:lang w:val="sr-Cyrl-CS"/>
              </w:rPr>
              <w:t>2,0</w:t>
            </w:r>
          </w:p>
        </w:tc>
        <w:tc>
          <w:tcPr>
            <w:tcW w:w="600" w:type="pct"/>
            <w:tcBorders>
              <w:top w:val="nil"/>
              <w:left w:val="nil"/>
              <w:bottom w:val="nil"/>
              <w:right w:val="nil"/>
            </w:tcBorders>
            <w:shd w:val="clear" w:color="auto" w:fill="auto"/>
            <w:noWrap/>
            <w:vAlign w:val="center"/>
          </w:tcPr>
          <w:p w14:paraId="2CC63F26" w14:textId="77777777" w:rsidR="00B3473E" w:rsidRPr="00F27A03" w:rsidRDefault="00B3473E" w:rsidP="00A42963">
            <w:pPr>
              <w:jc w:val="center"/>
              <w:rPr>
                <w:color w:val="002060"/>
                <w:sz w:val="18"/>
                <w:lang w:val="sr-Cyrl-CS"/>
              </w:rPr>
            </w:pPr>
            <w:r w:rsidRPr="00F27A03">
              <w:rPr>
                <w:color w:val="002060"/>
                <w:sz w:val="18"/>
                <w:lang w:val="sr-Cyrl-CS"/>
              </w:rPr>
              <w:t>2,5</w:t>
            </w:r>
          </w:p>
        </w:tc>
      </w:tr>
      <w:tr w:rsidR="00B3473E" w:rsidRPr="00F27A03" w14:paraId="78F81F43" w14:textId="77777777" w:rsidTr="00A42963">
        <w:trPr>
          <w:trHeight w:val="281"/>
          <w:jc w:val="center"/>
        </w:trPr>
        <w:tc>
          <w:tcPr>
            <w:tcW w:w="2590" w:type="pct"/>
            <w:noWrap/>
            <w:vAlign w:val="center"/>
            <w:hideMark/>
          </w:tcPr>
          <w:p w14:paraId="34BA581E"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Државна потрошња</w:t>
            </w:r>
          </w:p>
        </w:tc>
        <w:tc>
          <w:tcPr>
            <w:tcW w:w="603" w:type="pct"/>
            <w:tcBorders>
              <w:top w:val="nil"/>
              <w:left w:val="nil"/>
              <w:bottom w:val="nil"/>
              <w:right w:val="nil"/>
            </w:tcBorders>
            <w:shd w:val="clear" w:color="auto" w:fill="auto"/>
            <w:noWrap/>
            <w:vAlign w:val="center"/>
          </w:tcPr>
          <w:p w14:paraId="6BD34472" w14:textId="77777777" w:rsidR="00B3473E" w:rsidRPr="00F27A03" w:rsidRDefault="00B3473E" w:rsidP="00A42963">
            <w:pPr>
              <w:jc w:val="center"/>
              <w:rPr>
                <w:color w:val="002060"/>
                <w:sz w:val="18"/>
                <w:lang w:val="sr-Cyrl-CS"/>
              </w:rPr>
            </w:pPr>
            <w:r w:rsidRPr="00F27A03">
              <w:rPr>
                <w:color w:val="002060"/>
                <w:sz w:val="18"/>
                <w:lang w:val="sr-Cyrl-CS"/>
              </w:rPr>
              <w:t>0,1</w:t>
            </w:r>
          </w:p>
        </w:tc>
        <w:tc>
          <w:tcPr>
            <w:tcW w:w="604" w:type="pct"/>
            <w:tcBorders>
              <w:top w:val="nil"/>
              <w:left w:val="nil"/>
              <w:bottom w:val="nil"/>
              <w:right w:val="nil"/>
            </w:tcBorders>
            <w:shd w:val="clear" w:color="auto" w:fill="auto"/>
            <w:noWrap/>
            <w:vAlign w:val="center"/>
          </w:tcPr>
          <w:p w14:paraId="22F5C98B" w14:textId="77777777" w:rsidR="00B3473E" w:rsidRPr="00F27A03" w:rsidRDefault="00B3473E" w:rsidP="00A42963">
            <w:pPr>
              <w:jc w:val="center"/>
              <w:rPr>
                <w:color w:val="002060"/>
                <w:sz w:val="18"/>
                <w:lang w:val="sr-Cyrl-CS"/>
              </w:rPr>
            </w:pPr>
            <w:r w:rsidRPr="00F27A03">
              <w:rPr>
                <w:color w:val="002060"/>
                <w:sz w:val="18"/>
                <w:lang w:val="sr-Cyrl-CS"/>
              </w:rPr>
              <w:t>-0,3</w:t>
            </w:r>
          </w:p>
        </w:tc>
        <w:tc>
          <w:tcPr>
            <w:tcW w:w="603" w:type="pct"/>
            <w:tcBorders>
              <w:top w:val="nil"/>
              <w:left w:val="nil"/>
              <w:bottom w:val="nil"/>
              <w:right w:val="nil"/>
            </w:tcBorders>
            <w:shd w:val="clear" w:color="auto" w:fill="auto"/>
            <w:noWrap/>
            <w:vAlign w:val="center"/>
          </w:tcPr>
          <w:p w14:paraId="4A41A459" w14:textId="77777777" w:rsidR="00B3473E" w:rsidRPr="00F27A03" w:rsidRDefault="00B3473E" w:rsidP="00A42963">
            <w:pPr>
              <w:jc w:val="center"/>
              <w:rPr>
                <w:color w:val="002060"/>
                <w:sz w:val="18"/>
                <w:lang w:val="sr-Cyrl-CS"/>
              </w:rPr>
            </w:pPr>
            <w:r w:rsidRPr="00F27A03">
              <w:rPr>
                <w:color w:val="002060"/>
                <w:sz w:val="18"/>
                <w:lang w:val="sr-Cyrl-CS"/>
              </w:rPr>
              <w:t>0,1</w:t>
            </w:r>
          </w:p>
        </w:tc>
        <w:tc>
          <w:tcPr>
            <w:tcW w:w="600" w:type="pct"/>
            <w:tcBorders>
              <w:top w:val="nil"/>
              <w:left w:val="nil"/>
              <w:bottom w:val="nil"/>
              <w:right w:val="nil"/>
            </w:tcBorders>
            <w:shd w:val="clear" w:color="auto" w:fill="auto"/>
            <w:noWrap/>
            <w:vAlign w:val="center"/>
          </w:tcPr>
          <w:p w14:paraId="534AD5C7" w14:textId="77777777" w:rsidR="00B3473E" w:rsidRPr="00F27A03" w:rsidRDefault="00B3473E" w:rsidP="00A42963">
            <w:pPr>
              <w:jc w:val="center"/>
              <w:rPr>
                <w:color w:val="002060"/>
                <w:sz w:val="18"/>
                <w:lang w:val="sr-Cyrl-CS"/>
              </w:rPr>
            </w:pPr>
            <w:r w:rsidRPr="00F27A03">
              <w:rPr>
                <w:color w:val="002060"/>
                <w:sz w:val="18"/>
                <w:lang w:val="sr-Cyrl-CS"/>
              </w:rPr>
              <w:t>0,1</w:t>
            </w:r>
          </w:p>
        </w:tc>
      </w:tr>
      <w:tr w:rsidR="00B3473E" w:rsidRPr="00F27A03" w14:paraId="4AFF95F2" w14:textId="77777777" w:rsidTr="00A42963">
        <w:trPr>
          <w:trHeight w:val="281"/>
          <w:jc w:val="center"/>
        </w:trPr>
        <w:tc>
          <w:tcPr>
            <w:tcW w:w="2590" w:type="pct"/>
            <w:vAlign w:val="center"/>
          </w:tcPr>
          <w:p w14:paraId="61D443BA"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Инвестиције у основна средства</w:t>
            </w:r>
          </w:p>
        </w:tc>
        <w:tc>
          <w:tcPr>
            <w:tcW w:w="603" w:type="pct"/>
            <w:tcBorders>
              <w:top w:val="nil"/>
              <w:left w:val="nil"/>
              <w:bottom w:val="nil"/>
              <w:right w:val="nil"/>
            </w:tcBorders>
            <w:shd w:val="clear" w:color="auto" w:fill="auto"/>
            <w:noWrap/>
            <w:vAlign w:val="center"/>
          </w:tcPr>
          <w:p w14:paraId="2737101D" w14:textId="77777777" w:rsidR="00B3473E" w:rsidRPr="00F27A03" w:rsidRDefault="00B3473E" w:rsidP="00A42963">
            <w:pPr>
              <w:jc w:val="center"/>
              <w:rPr>
                <w:color w:val="002060"/>
                <w:sz w:val="18"/>
                <w:lang w:val="sr-Cyrl-CS"/>
              </w:rPr>
            </w:pPr>
            <w:r w:rsidRPr="00F27A03">
              <w:rPr>
                <w:color w:val="002060"/>
                <w:sz w:val="18"/>
                <w:lang w:val="sr-Cyrl-CS"/>
              </w:rPr>
              <w:t>0,0</w:t>
            </w:r>
          </w:p>
        </w:tc>
        <w:tc>
          <w:tcPr>
            <w:tcW w:w="604" w:type="pct"/>
            <w:tcBorders>
              <w:top w:val="nil"/>
              <w:left w:val="nil"/>
              <w:bottom w:val="nil"/>
              <w:right w:val="nil"/>
            </w:tcBorders>
            <w:shd w:val="clear" w:color="auto" w:fill="auto"/>
            <w:noWrap/>
            <w:vAlign w:val="center"/>
          </w:tcPr>
          <w:p w14:paraId="0671DE56" w14:textId="77777777" w:rsidR="00B3473E" w:rsidRPr="00F27A03" w:rsidRDefault="00B3473E" w:rsidP="00A42963">
            <w:pPr>
              <w:jc w:val="center"/>
              <w:rPr>
                <w:color w:val="002060"/>
                <w:sz w:val="18"/>
                <w:lang w:val="sr-Cyrl-CS"/>
              </w:rPr>
            </w:pPr>
            <w:r w:rsidRPr="00F27A03">
              <w:rPr>
                <w:color w:val="002060"/>
                <w:sz w:val="18"/>
                <w:lang w:val="sr-Cyrl-CS"/>
              </w:rPr>
              <w:t>0,6</w:t>
            </w:r>
          </w:p>
        </w:tc>
        <w:tc>
          <w:tcPr>
            <w:tcW w:w="603" w:type="pct"/>
            <w:tcBorders>
              <w:top w:val="nil"/>
              <w:left w:val="nil"/>
              <w:bottom w:val="nil"/>
              <w:right w:val="nil"/>
            </w:tcBorders>
            <w:shd w:val="clear" w:color="auto" w:fill="auto"/>
            <w:noWrap/>
            <w:vAlign w:val="center"/>
          </w:tcPr>
          <w:p w14:paraId="596B4CC0" w14:textId="77777777" w:rsidR="00B3473E" w:rsidRPr="00F27A03" w:rsidRDefault="00B3473E" w:rsidP="00A42963">
            <w:pPr>
              <w:jc w:val="center"/>
              <w:rPr>
                <w:color w:val="002060"/>
                <w:sz w:val="18"/>
                <w:lang w:val="sr-Cyrl-CS"/>
              </w:rPr>
            </w:pPr>
            <w:r w:rsidRPr="00F27A03">
              <w:rPr>
                <w:color w:val="002060"/>
                <w:sz w:val="18"/>
                <w:lang w:val="sr-Cyrl-CS"/>
              </w:rPr>
              <w:t>1,2</w:t>
            </w:r>
          </w:p>
        </w:tc>
        <w:tc>
          <w:tcPr>
            <w:tcW w:w="600" w:type="pct"/>
            <w:tcBorders>
              <w:top w:val="nil"/>
              <w:left w:val="nil"/>
              <w:bottom w:val="nil"/>
              <w:right w:val="nil"/>
            </w:tcBorders>
            <w:shd w:val="clear" w:color="auto" w:fill="auto"/>
            <w:noWrap/>
            <w:vAlign w:val="center"/>
          </w:tcPr>
          <w:p w14:paraId="046C54D8" w14:textId="77777777" w:rsidR="00B3473E" w:rsidRPr="00F27A03" w:rsidRDefault="00B3473E" w:rsidP="00A42963">
            <w:pPr>
              <w:jc w:val="center"/>
              <w:rPr>
                <w:color w:val="002060"/>
                <w:sz w:val="18"/>
                <w:lang w:val="sr-Cyrl-CS"/>
              </w:rPr>
            </w:pPr>
            <w:r w:rsidRPr="00F27A03">
              <w:rPr>
                <w:color w:val="002060"/>
                <w:sz w:val="18"/>
                <w:lang w:val="sr-Cyrl-CS"/>
              </w:rPr>
              <w:t>1,4</w:t>
            </w:r>
          </w:p>
        </w:tc>
      </w:tr>
      <w:tr w:rsidR="00B3473E" w:rsidRPr="00F27A03" w14:paraId="67574CE0" w14:textId="77777777" w:rsidTr="00A42963">
        <w:trPr>
          <w:trHeight w:val="281"/>
          <w:jc w:val="center"/>
        </w:trPr>
        <w:tc>
          <w:tcPr>
            <w:tcW w:w="2590" w:type="pct"/>
            <w:vAlign w:val="center"/>
            <w:hideMark/>
          </w:tcPr>
          <w:p w14:paraId="4A283696"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Промена у залихама</w:t>
            </w:r>
          </w:p>
        </w:tc>
        <w:tc>
          <w:tcPr>
            <w:tcW w:w="603" w:type="pct"/>
            <w:tcBorders>
              <w:top w:val="nil"/>
              <w:left w:val="nil"/>
              <w:bottom w:val="nil"/>
              <w:right w:val="nil"/>
            </w:tcBorders>
            <w:shd w:val="clear" w:color="auto" w:fill="auto"/>
            <w:noWrap/>
            <w:vAlign w:val="center"/>
          </w:tcPr>
          <w:p w14:paraId="03C2F1E3" w14:textId="77777777" w:rsidR="00B3473E" w:rsidRPr="00F27A03" w:rsidRDefault="00B3473E" w:rsidP="00A42963">
            <w:pPr>
              <w:jc w:val="center"/>
              <w:rPr>
                <w:color w:val="002060"/>
                <w:sz w:val="18"/>
                <w:lang w:val="sr-Cyrl-CS"/>
              </w:rPr>
            </w:pPr>
            <w:r w:rsidRPr="00F27A03">
              <w:rPr>
                <w:color w:val="002060"/>
                <w:sz w:val="18"/>
                <w:lang w:val="sr-Cyrl-CS"/>
              </w:rPr>
              <w:t>1,5</w:t>
            </w:r>
          </w:p>
        </w:tc>
        <w:tc>
          <w:tcPr>
            <w:tcW w:w="604" w:type="pct"/>
            <w:tcBorders>
              <w:top w:val="nil"/>
              <w:left w:val="nil"/>
              <w:bottom w:val="nil"/>
              <w:right w:val="nil"/>
            </w:tcBorders>
            <w:shd w:val="clear" w:color="auto" w:fill="auto"/>
            <w:noWrap/>
            <w:vAlign w:val="center"/>
          </w:tcPr>
          <w:p w14:paraId="68C63953" w14:textId="77777777" w:rsidR="00B3473E" w:rsidRPr="00F27A03" w:rsidRDefault="00B3473E" w:rsidP="00A42963">
            <w:pPr>
              <w:jc w:val="center"/>
              <w:rPr>
                <w:color w:val="002060"/>
                <w:sz w:val="18"/>
                <w:lang w:val="sr-Cyrl-CS"/>
              </w:rPr>
            </w:pPr>
            <w:r w:rsidRPr="00F27A03">
              <w:rPr>
                <w:color w:val="002060"/>
                <w:sz w:val="18"/>
                <w:lang w:val="sr-Cyrl-CS"/>
              </w:rPr>
              <w:t>0,3</w:t>
            </w:r>
          </w:p>
        </w:tc>
        <w:tc>
          <w:tcPr>
            <w:tcW w:w="603" w:type="pct"/>
            <w:tcBorders>
              <w:top w:val="nil"/>
              <w:left w:val="nil"/>
              <w:bottom w:val="nil"/>
              <w:right w:val="nil"/>
            </w:tcBorders>
            <w:shd w:val="clear" w:color="auto" w:fill="auto"/>
            <w:noWrap/>
            <w:vAlign w:val="center"/>
          </w:tcPr>
          <w:p w14:paraId="17921745" w14:textId="77777777" w:rsidR="00B3473E" w:rsidRPr="00F27A03" w:rsidRDefault="00B3473E" w:rsidP="00A42963">
            <w:pPr>
              <w:jc w:val="center"/>
              <w:rPr>
                <w:color w:val="002060"/>
                <w:sz w:val="18"/>
                <w:lang w:val="sr-Cyrl-CS"/>
              </w:rPr>
            </w:pPr>
            <w:r w:rsidRPr="00F27A03">
              <w:rPr>
                <w:color w:val="002060"/>
                <w:sz w:val="18"/>
                <w:lang w:val="sr-Cyrl-CS"/>
              </w:rPr>
              <w:t>-0,3</w:t>
            </w:r>
          </w:p>
        </w:tc>
        <w:tc>
          <w:tcPr>
            <w:tcW w:w="600" w:type="pct"/>
            <w:tcBorders>
              <w:top w:val="nil"/>
              <w:left w:val="nil"/>
              <w:bottom w:val="nil"/>
              <w:right w:val="nil"/>
            </w:tcBorders>
            <w:shd w:val="clear" w:color="auto" w:fill="auto"/>
            <w:noWrap/>
            <w:vAlign w:val="center"/>
          </w:tcPr>
          <w:p w14:paraId="5A937E0B" w14:textId="77777777" w:rsidR="00B3473E" w:rsidRPr="00F27A03" w:rsidRDefault="00B3473E" w:rsidP="00A42963">
            <w:pPr>
              <w:jc w:val="center"/>
              <w:rPr>
                <w:color w:val="002060"/>
                <w:sz w:val="18"/>
                <w:lang w:val="sr-Cyrl-CS"/>
              </w:rPr>
            </w:pPr>
            <w:r w:rsidRPr="00F27A03">
              <w:rPr>
                <w:color w:val="002060"/>
                <w:sz w:val="18"/>
                <w:lang w:val="sr-Cyrl-CS"/>
              </w:rPr>
              <w:t>-0,2</w:t>
            </w:r>
          </w:p>
        </w:tc>
      </w:tr>
      <w:tr w:rsidR="00B3473E" w:rsidRPr="00F27A03" w14:paraId="2DE348AA" w14:textId="77777777" w:rsidTr="00A42963">
        <w:trPr>
          <w:trHeight w:val="281"/>
          <w:jc w:val="center"/>
        </w:trPr>
        <w:tc>
          <w:tcPr>
            <w:tcW w:w="2590" w:type="pct"/>
            <w:noWrap/>
            <w:vAlign w:val="center"/>
            <w:hideMark/>
          </w:tcPr>
          <w:p w14:paraId="1B2D2843"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Нето извоз робе и услуга</w:t>
            </w:r>
          </w:p>
        </w:tc>
        <w:tc>
          <w:tcPr>
            <w:tcW w:w="603" w:type="pct"/>
            <w:tcBorders>
              <w:top w:val="nil"/>
              <w:left w:val="nil"/>
              <w:bottom w:val="nil"/>
              <w:right w:val="nil"/>
            </w:tcBorders>
            <w:shd w:val="clear" w:color="auto" w:fill="auto"/>
            <w:noWrap/>
            <w:vAlign w:val="center"/>
          </w:tcPr>
          <w:p w14:paraId="2E6E419F" w14:textId="77777777" w:rsidR="00B3473E" w:rsidRPr="00F27A03" w:rsidRDefault="00B3473E" w:rsidP="00A42963">
            <w:pPr>
              <w:jc w:val="center"/>
              <w:rPr>
                <w:color w:val="002060"/>
                <w:sz w:val="18"/>
                <w:lang w:val="sr-Cyrl-CS"/>
              </w:rPr>
            </w:pPr>
            <w:r w:rsidRPr="00F27A03">
              <w:rPr>
                <w:color w:val="002060"/>
                <w:sz w:val="18"/>
                <w:lang w:val="sr-Cyrl-CS"/>
              </w:rPr>
              <w:t>-1,7</w:t>
            </w:r>
          </w:p>
        </w:tc>
        <w:tc>
          <w:tcPr>
            <w:tcW w:w="604" w:type="pct"/>
            <w:tcBorders>
              <w:top w:val="nil"/>
              <w:left w:val="nil"/>
              <w:bottom w:val="nil"/>
              <w:right w:val="nil"/>
            </w:tcBorders>
            <w:shd w:val="clear" w:color="auto" w:fill="auto"/>
            <w:noWrap/>
            <w:vAlign w:val="center"/>
          </w:tcPr>
          <w:p w14:paraId="56D83BD7" w14:textId="77777777" w:rsidR="00B3473E" w:rsidRPr="00F27A03" w:rsidRDefault="00B3473E" w:rsidP="00A42963">
            <w:pPr>
              <w:jc w:val="center"/>
              <w:rPr>
                <w:color w:val="002060"/>
                <w:sz w:val="18"/>
                <w:lang w:val="sr-Cyrl-CS"/>
              </w:rPr>
            </w:pPr>
            <w:r w:rsidRPr="00F27A03">
              <w:rPr>
                <w:color w:val="002060"/>
                <w:sz w:val="18"/>
                <w:lang w:val="sr-Cyrl-CS"/>
              </w:rPr>
              <w:t>0,1</w:t>
            </w:r>
          </w:p>
        </w:tc>
        <w:tc>
          <w:tcPr>
            <w:tcW w:w="603" w:type="pct"/>
            <w:tcBorders>
              <w:top w:val="nil"/>
              <w:left w:val="nil"/>
              <w:bottom w:val="nil"/>
              <w:right w:val="nil"/>
            </w:tcBorders>
            <w:shd w:val="clear" w:color="auto" w:fill="auto"/>
            <w:noWrap/>
            <w:vAlign w:val="center"/>
          </w:tcPr>
          <w:p w14:paraId="407C8118" w14:textId="77777777" w:rsidR="00B3473E" w:rsidRPr="00F27A03" w:rsidRDefault="00B3473E" w:rsidP="00A42963">
            <w:pPr>
              <w:jc w:val="center"/>
              <w:rPr>
                <w:color w:val="002060"/>
                <w:sz w:val="18"/>
                <w:lang w:val="sr-Cyrl-CS"/>
              </w:rPr>
            </w:pPr>
            <w:r w:rsidRPr="00F27A03">
              <w:rPr>
                <w:color w:val="002060"/>
                <w:sz w:val="18"/>
                <w:lang w:val="sr-Cyrl-CS"/>
              </w:rPr>
              <w:t>0,5</w:t>
            </w:r>
          </w:p>
        </w:tc>
        <w:tc>
          <w:tcPr>
            <w:tcW w:w="600" w:type="pct"/>
            <w:tcBorders>
              <w:top w:val="nil"/>
              <w:left w:val="nil"/>
              <w:bottom w:val="nil"/>
              <w:right w:val="nil"/>
            </w:tcBorders>
            <w:shd w:val="clear" w:color="auto" w:fill="auto"/>
            <w:noWrap/>
            <w:vAlign w:val="center"/>
          </w:tcPr>
          <w:p w14:paraId="03715555" w14:textId="77777777" w:rsidR="00B3473E" w:rsidRPr="00F27A03" w:rsidRDefault="00B3473E" w:rsidP="00A42963">
            <w:pPr>
              <w:jc w:val="center"/>
              <w:rPr>
                <w:color w:val="002060"/>
                <w:sz w:val="18"/>
                <w:lang w:val="sr-Cyrl-CS"/>
              </w:rPr>
            </w:pPr>
            <w:r w:rsidRPr="00F27A03">
              <w:rPr>
                <w:color w:val="002060"/>
                <w:sz w:val="18"/>
                <w:lang w:val="sr-Cyrl-CS"/>
              </w:rPr>
              <w:t>0,3</w:t>
            </w:r>
          </w:p>
        </w:tc>
      </w:tr>
      <w:tr w:rsidR="00B3473E" w:rsidRPr="00F27A03" w14:paraId="5BFFD85D" w14:textId="77777777" w:rsidTr="00A42963">
        <w:trPr>
          <w:trHeight w:val="281"/>
          <w:jc w:val="center"/>
        </w:trPr>
        <w:tc>
          <w:tcPr>
            <w:tcW w:w="2590" w:type="pct"/>
            <w:shd w:val="clear" w:color="auto" w:fill="E7E6E6" w:themeFill="background2"/>
            <w:noWrap/>
            <w:vAlign w:val="center"/>
            <w:hideMark/>
          </w:tcPr>
          <w:p w14:paraId="036770BC" w14:textId="77777777" w:rsidR="00B3473E" w:rsidRPr="00F27A03" w:rsidRDefault="00B3473E" w:rsidP="00953528">
            <w:pPr>
              <w:jc w:val="left"/>
              <w:rPr>
                <w:rFonts w:eastAsia="Calibri" w:cstheme="minorHAnsi"/>
                <w:bCs/>
                <w:color w:val="002060"/>
                <w:sz w:val="18"/>
                <w:szCs w:val="18"/>
                <w:lang w:val="sr-Cyrl-CS"/>
              </w:rPr>
            </w:pPr>
            <w:r w:rsidRPr="00F27A03">
              <w:rPr>
                <w:rFonts w:eastAsia="Calibri" w:cstheme="minorHAnsi"/>
                <w:iCs/>
                <w:color w:val="002060"/>
                <w:sz w:val="18"/>
                <w:szCs w:val="18"/>
                <w:lang w:val="sr-Cyrl-CS"/>
              </w:rPr>
              <w:t>Раст БДВ по секторима и нето пореза, %</w:t>
            </w:r>
          </w:p>
        </w:tc>
        <w:tc>
          <w:tcPr>
            <w:tcW w:w="603" w:type="pct"/>
            <w:shd w:val="clear" w:color="auto" w:fill="E7E6E6" w:themeFill="background2"/>
            <w:vAlign w:val="center"/>
          </w:tcPr>
          <w:p w14:paraId="325CA102" w14:textId="77777777" w:rsidR="00B3473E" w:rsidRPr="00F27A03" w:rsidRDefault="00B3473E" w:rsidP="00A42963">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269992DC" w14:textId="77777777" w:rsidR="00B3473E" w:rsidRPr="00F27A03" w:rsidRDefault="00B3473E" w:rsidP="00A42963">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6CA3C02F" w14:textId="77777777" w:rsidR="00B3473E" w:rsidRPr="00F27A03" w:rsidRDefault="00B3473E" w:rsidP="00A42963">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6110C91A" w14:textId="77777777" w:rsidR="00B3473E" w:rsidRPr="00F27A03" w:rsidRDefault="00B3473E" w:rsidP="00A42963">
            <w:pPr>
              <w:jc w:val="center"/>
              <w:rPr>
                <w:rFonts w:eastAsia="Calibri" w:cstheme="minorHAnsi"/>
                <w:bCs/>
                <w:color w:val="002060"/>
                <w:sz w:val="18"/>
                <w:szCs w:val="18"/>
                <w:lang w:val="sr-Cyrl-CS"/>
              </w:rPr>
            </w:pPr>
          </w:p>
        </w:tc>
      </w:tr>
      <w:tr w:rsidR="00B3473E" w:rsidRPr="00F27A03" w14:paraId="5F03F60A" w14:textId="77777777" w:rsidTr="00A42963">
        <w:trPr>
          <w:trHeight w:val="281"/>
          <w:jc w:val="center"/>
        </w:trPr>
        <w:tc>
          <w:tcPr>
            <w:tcW w:w="2590" w:type="pct"/>
            <w:noWrap/>
            <w:vAlign w:val="center"/>
            <w:hideMark/>
          </w:tcPr>
          <w:p w14:paraId="011C5389"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Пољопривреда</w:t>
            </w:r>
          </w:p>
        </w:tc>
        <w:tc>
          <w:tcPr>
            <w:tcW w:w="603" w:type="pct"/>
            <w:tcBorders>
              <w:top w:val="nil"/>
              <w:left w:val="nil"/>
              <w:bottom w:val="nil"/>
            </w:tcBorders>
            <w:shd w:val="clear" w:color="auto" w:fill="auto"/>
            <w:noWrap/>
            <w:vAlign w:val="center"/>
          </w:tcPr>
          <w:p w14:paraId="36BD69E4" w14:textId="77777777" w:rsidR="00B3473E" w:rsidRPr="00F27A03" w:rsidRDefault="00B3473E" w:rsidP="00A42963">
            <w:pPr>
              <w:jc w:val="center"/>
              <w:rPr>
                <w:color w:val="002060"/>
                <w:sz w:val="18"/>
                <w:lang w:val="sr-Cyrl-CS"/>
              </w:rPr>
            </w:pPr>
            <w:r w:rsidRPr="00F27A03">
              <w:rPr>
                <w:color w:val="002060"/>
                <w:sz w:val="18"/>
                <w:lang w:val="sr-Cyrl-CS"/>
              </w:rPr>
              <w:t>-8,0</w:t>
            </w:r>
          </w:p>
        </w:tc>
        <w:tc>
          <w:tcPr>
            <w:tcW w:w="604" w:type="pct"/>
            <w:tcBorders>
              <w:top w:val="nil"/>
              <w:bottom w:val="nil"/>
            </w:tcBorders>
            <w:shd w:val="clear" w:color="auto" w:fill="auto"/>
            <w:noWrap/>
            <w:vAlign w:val="center"/>
          </w:tcPr>
          <w:p w14:paraId="1B940F5F" w14:textId="77777777" w:rsidR="00B3473E" w:rsidRPr="00F27A03" w:rsidRDefault="00B3473E" w:rsidP="00A42963">
            <w:pPr>
              <w:jc w:val="center"/>
              <w:rPr>
                <w:color w:val="002060"/>
                <w:sz w:val="18"/>
                <w:lang w:val="sr-Cyrl-CS"/>
              </w:rPr>
            </w:pPr>
            <w:r w:rsidRPr="00F27A03">
              <w:rPr>
                <w:color w:val="002060"/>
                <w:sz w:val="18"/>
                <w:lang w:val="sr-Cyrl-CS"/>
              </w:rPr>
              <w:t>6,9</w:t>
            </w:r>
          </w:p>
        </w:tc>
        <w:tc>
          <w:tcPr>
            <w:tcW w:w="603" w:type="pct"/>
            <w:tcBorders>
              <w:top w:val="nil"/>
              <w:bottom w:val="nil"/>
            </w:tcBorders>
            <w:shd w:val="clear" w:color="auto" w:fill="auto"/>
            <w:noWrap/>
            <w:vAlign w:val="center"/>
          </w:tcPr>
          <w:p w14:paraId="1A1E6FA7" w14:textId="77777777" w:rsidR="00B3473E" w:rsidRPr="00F27A03" w:rsidRDefault="00B3473E" w:rsidP="00A42963">
            <w:pPr>
              <w:jc w:val="center"/>
              <w:rPr>
                <w:color w:val="002060"/>
                <w:sz w:val="18"/>
                <w:lang w:val="sr-Cyrl-CS"/>
              </w:rPr>
            </w:pPr>
            <w:r w:rsidRPr="00F27A03">
              <w:rPr>
                <w:color w:val="002060"/>
                <w:sz w:val="18"/>
                <w:lang w:val="sr-Cyrl-CS"/>
              </w:rPr>
              <w:t>0,9</w:t>
            </w:r>
          </w:p>
        </w:tc>
        <w:tc>
          <w:tcPr>
            <w:tcW w:w="600" w:type="pct"/>
            <w:tcBorders>
              <w:top w:val="nil"/>
              <w:bottom w:val="nil"/>
              <w:right w:val="nil"/>
            </w:tcBorders>
            <w:shd w:val="clear" w:color="auto" w:fill="auto"/>
            <w:noWrap/>
            <w:vAlign w:val="center"/>
          </w:tcPr>
          <w:p w14:paraId="1CAE1FBA" w14:textId="77777777" w:rsidR="00B3473E" w:rsidRPr="00F27A03" w:rsidRDefault="00B3473E" w:rsidP="00A42963">
            <w:pPr>
              <w:jc w:val="center"/>
              <w:rPr>
                <w:color w:val="002060"/>
                <w:sz w:val="18"/>
                <w:lang w:val="sr-Cyrl-CS"/>
              </w:rPr>
            </w:pPr>
            <w:r w:rsidRPr="00F27A03">
              <w:rPr>
                <w:color w:val="002060"/>
                <w:sz w:val="18"/>
                <w:lang w:val="sr-Cyrl-CS"/>
              </w:rPr>
              <w:t>0,0</w:t>
            </w:r>
          </w:p>
        </w:tc>
      </w:tr>
      <w:tr w:rsidR="00B3473E" w:rsidRPr="00F27A03" w14:paraId="20F5315F" w14:textId="77777777" w:rsidTr="00A42963">
        <w:trPr>
          <w:trHeight w:val="281"/>
          <w:jc w:val="center"/>
        </w:trPr>
        <w:tc>
          <w:tcPr>
            <w:tcW w:w="2590" w:type="pct"/>
            <w:noWrap/>
            <w:vAlign w:val="center"/>
            <w:hideMark/>
          </w:tcPr>
          <w:p w14:paraId="3602C4CF"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Индустрија</w:t>
            </w:r>
          </w:p>
        </w:tc>
        <w:tc>
          <w:tcPr>
            <w:tcW w:w="603" w:type="pct"/>
            <w:tcBorders>
              <w:top w:val="nil"/>
              <w:left w:val="nil"/>
              <w:bottom w:val="nil"/>
            </w:tcBorders>
            <w:shd w:val="clear" w:color="auto" w:fill="auto"/>
            <w:noWrap/>
            <w:vAlign w:val="center"/>
          </w:tcPr>
          <w:p w14:paraId="2345179C" w14:textId="77777777" w:rsidR="00B3473E" w:rsidRPr="00F27A03" w:rsidRDefault="00B3473E" w:rsidP="00A42963">
            <w:pPr>
              <w:jc w:val="center"/>
              <w:rPr>
                <w:color w:val="002060"/>
                <w:sz w:val="18"/>
                <w:lang w:val="sr-Cyrl-CS"/>
              </w:rPr>
            </w:pPr>
            <w:r w:rsidRPr="00F27A03">
              <w:rPr>
                <w:color w:val="002060"/>
                <w:sz w:val="18"/>
                <w:lang w:val="sr-Cyrl-CS"/>
              </w:rPr>
              <w:t>1,3</w:t>
            </w:r>
          </w:p>
        </w:tc>
        <w:tc>
          <w:tcPr>
            <w:tcW w:w="604" w:type="pct"/>
            <w:tcBorders>
              <w:top w:val="nil"/>
              <w:bottom w:val="nil"/>
            </w:tcBorders>
            <w:shd w:val="clear" w:color="auto" w:fill="auto"/>
            <w:noWrap/>
            <w:vAlign w:val="center"/>
          </w:tcPr>
          <w:p w14:paraId="2CA7906B" w14:textId="77777777" w:rsidR="00B3473E" w:rsidRPr="00F27A03" w:rsidRDefault="00B3473E" w:rsidP="00A42963">
            <w:pPr>
              <w:jc w:val="center"/>
              <w:rPr>
                <w:color w:val="002060"/>
                <w:sz w:val="18"/>
                <w:lang w:val="sr-Cyrl-CS"/>
              </w:rPr>
            </w:pPr>
            <w:r w:rsidRPr="00F27A03">
              <w:rPr>
                <w:color w:val="002060"/>
                <w:sz w:val="18"/>
                <w:lang w:val="sr-Cyrl-CS"/>
              </w:rPr>
              <w:t>1,1</w:t>
            </w:r>
          </w:p>
        </w:tc>
        <w:tc>
          <w:tcPr>
            <w:tcW w:w="603" w:type="pct"/>
            <w:tcBorders>
              <w:top w:val="nil"/>
              <w:bottom w:val="nil"/>
            </w:tcBorders>
            <w:shd w:val="clear" w:color="auto" w:fill="auto"/>
            <w:noWrap/>
            <w:vAlign w:val="center"/>
          </w:tcPr>
          <w:p w14:paraId="335C1D0F" w14:textId="77777777" w:rsidR="00B3473E" w:rsidRPr="00F27A03" w:rsidRDefault="00B3473E" w:rsidP="00A42963">
            <w:pPr>
              <w:jc w:val="center"/>
              <w:rPr>
                <w:color w:val="002060"/>
                <w:sz w:val="18"/>
                <w:lang w:val="sr-Cyrl-CS"/>
              </w:rPr>
            </w:pPr>
            <w:r w:rsidRPr="00F27A03">
              <w:rPr>
                <w:color w:val="002060"/>
                <w:sz w:val="18"/>
                <w:lang w:val="sr-Cyrl-CS"/>
              </w:rPr>
              <w:t>3,6</w:t>
            </w:r>
          </w:p>
        </w:tc>
        <w:tc>
          <w:tcPr>
            <w:tcW w:w="600" w:type="pct"/>
            <w:tcBorders>
              <w:top w:val="nil"/>
              <w:bottom w:val="nil"/>
              <w:right w:val="nil"/>
            </w:tcBorders>
            <w:shd w:val="clear" w:color="auto" w:fill="auto"/>
            <w:noWrap/>
            <w:vAlign w:val="center"/>
          </w:tcPr>
          <w:p w14:paraId="6FD38729" w14:textId="77777777" w:rsidR="00B3473E" w:rsidRPr="00F27A03" w:rsidRDefault="00B3473E" w:rsidP="00A42963">
            <w:pPr>
              <w:jc w:val="center"/>
              <w:rPr>
                <w:color w:val="002060"/>
                <w:sz w:val="18"/>
                <w:lang w:val="sr-Cyrl-CS"/>
              </w:rPr>
            </w:pPr>
            <w:r w:rsidRPr="00F27A03">
              <w:rPr>
                <w:color w:val="002060"/>
                <w:sz w:val="18"/>
                <w:lang w:val="sr-Cyrl-CS"/>
              </w:rPr>
              <w:t>5,4</w:t>
            </w:r>
          </w:p>
        </w:tc>
      </w:tr>
      <w:tr w:rsidR="00B3473E" w:rsidRPr="00F27A03" w14:paraId="2515D79C" w14:textId="77777777" w:rsidTr="00A42963">
        <w:trPr>
          <w:trHeight w:val="281"/>
          <w:jc w:val="center"/>
        </w:trPr>
        <w:tc>
          <w:tcPr>
            <w:tcW w:w="2590" w:type="pct"/>
            <w:noWrap/>
            <w:vAlign w:val="center"/>
            <w:hideMark/>
          </w:tcPr>
          <w:p w14:paraId="7973DE8D"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Грађевинарство</w:t>
            </w:r>
          </w:p>
        </w:tc>
        <w:tc>
          <w:tcPr>
            <w:tcW w:w="603" w:type="pct"/>
            <w:tcBorders>
              <w:top w:val="nil"/>
              <w:left w:val="nil"/>
              <w:bottom w:val="nil"/>
            </w:tcBorders>
            <w:shd w:val="clear" w:color="auto" w:fill="auto"/>
            <w:noWrap/>
            <w:vAlign w:val="center"/>
          </w:tcPr>
          <w:p w14:paraId="6D2DCDA4" w14:textId="77777777" w:rsidR="00B3473E" w:rsidRPr="00F27A03" w:rsidRDefault="00B3473E" w:rsidP="00A42963">
            <w:pPr>
              <w:jc w:val="center"/>
              <w:rPr>
                <w:color w:val="002060"/>
                <w:sz w:val="18"/>
                <w:lang w:val="sr-Cyrl-CS"/>
              </w:rPr>
            </w:pPr>
            <w:r w:rsidRPr="00F27A03">
              <w:rPr>
                <w:color w:val="002060"/>
                <w:sz w:val="18"/>
                <w:lang w:val="sr-Cyrl-CS"/>
              </w:rPr>
              <w:t>-8,7</w:t>
            </w:r>
          </w:p>
        </w:tc>
        <w:tc>
          <w:tcPr>
            <w:tcW w:w="604" w:type="pct"/>
            <w:tcBorders>
              <w:top w:val="nil"/>
              <w:bottom w:val="nil"/>
            </w:tcBorders>
            <w:shd w:val="clear" w:color="auto" w:fill="auto"/>
            <w:noWrap/>
            <w:vAlign w:val="center"/>
          </w:tcPr>
          <w:p w14:paraId="113707B0" w14:textId="77777777" w:rsidR="00B3473E" w:rsidRPr="00F27A03" w:rsidRDefault="00B3473E" w:rsidP="00A42963">
            <w:pPr>
              <w:jc w:val="center"/>
              <w:rPr>
                <w:color w:val="002060"/>
                <w:sz w:val="18"/>
                <w:lang w:val="sr-Cyrl-CS"/>
              </w:rPr>
            </w:pPr>
            <w:r w:rsidRPr="00F27A03">
              <w:rPr>
                <w:color w:val="002060"/>
                <w:sz w:val="18"/>
                <w:lang w:val="sr-Cyrl-CS"/>
              </w:rPr>
              <w:t>0,9</w:t>
            </w:r>
          </w:p>
        </w:tc>
        <w:tc>
          <w:tcPr>
            <w:tcW w:w="603" w:type="pct"/>
            <w:tcBorders>
              <w:top w:val="nil"/>
              <w:bottom w:val="nil"/>
            </w:tcBorders>
            <w:shd w:val="clear" w:color="auto" w:fill="auto"/>
            <w:noWrap/>
            <w:vAlign w:val="center"/>
          </w:tcPr>
          <w:p w14:paraId="072EAF33" w14:textId="77777777" w:rsidR="00B3473E" w:rsidRPr="00F27A03" w:rsidRDefault="00B3473E" w:rsidP="00A42963">
            <w:pPr>
              <w:jc w:val="center"/>
              <w:rPr>
                <w:color w:val="002060"/>
                <w:sz w:val="18"/>
                <w:lang w:val="sr-Cyrl-CS"/>
              </w:rPr>
            </w:pPr>
            <w:r w:rsidRPr="00F27A03">
              <w:rPr>
                <w:color w:val="002060"/>
                <w:sz w:val="18"/>
                <w:lang w:val="sr-Cyrl-CS"/>
              </w:rPr>
              <w:t>5,2</w:t>
            </w:r>
          </w:p>
        </w:tc>
        <w:tc>
          <w:tcPr>
            <w:tcW w:w="600" w:type="pct"/>
            <w:tcBorders>
              <w:top w:val="nil"/>
              <w:bottom w:val="nil"/>
              <w:right w:val="nil"/>
            </w:tcBorders>
            <w:shd w:val="clear" w:color="auto" w:fill="auto"/>
            <w:noWrap/>
            <w:vAlign w:val="center"/>
          </w:tcPr>
          <w:p w14:paraId="2503FD36" w14:textId="77777777" w:rsidR="00B3473E" w:rsidRPr="00F27A03" w:rsidRDefault="00B3473E" w:rsidP="00A42963">
            <w:pPr>
              <w:jc w:val="center"/>
              <w:rPr>
                <w:color w:val="002060"/>
                <w:sz w:val="18"/>
                <w:lang w:val="sr-Cyrl-CS"/>
              </w:rPr>
            </w:pPr>
            <w:r w:rsidRPr="00F27A03">
              <w:rPr>
                <w:color w:val="002060"/>
                <w:sz w:val="18"/>
                <w:lang w:val="sr-Cyrl-CS"/>
              </w:rPr>
              <w:t>5,9</w:t>
            </w:r>
          </w:p>
        </w:tc>
      </w:tr>
      <w:tr w:rsidR="00B3473E" w:rsidRPr="00F27A03" w14:paraId="5EB5BB95" w14:textId="77777777" w:rsidTr="00A42963">
        <w:trPr>
          <w:trHeight w:val="281"/>
          <w:jc w:val="center"/>
        </w:trPr>
        <w:tc>
          <w:tcPr>
            <w:tcW w:w="2590" w:type="pct"/>
            <w:noWrap/>
            <w:vAlign w:val="center"/>
            <w:hideMark/>
          </w:tcPr>
          <w:p w14:paraId="51FD5117"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Услуге</w:t>
            </w:r>
          </w:p>
        </w:tc>
        <w:tc>
          <w:tcPr>
            <w:tcW w:w="603" w:type="pct"/>
            <w:tcBorders>
              <w:top w:val="nil"/>
              <w:left w:val="nil"/>
              <w:bottom w:val="nil"/>
            </w:tcBorders>
            <w:shd w:val="clear" w:color="auto" w:fill="auto"/>
            <w:noWrap/>
            <w:vAlign w:val="center"/>
          </w:tcPr>
          <w:p w14:paraId="7E1CBBE3" w14:textId="77777777" w:rsidR="00B3473E" w:rsidRPr="00F27A03" w:rsidRDefault="00B3473E" w:rsidP="00A42963">
            <w:pPr>
              <w:jc w:val="center"/>
              <w:rPr>
                <w:color w:val="002060"/>
                <w:sz w:val="18"/>
                <w:lang w:val="sr-Cyrl-CS"/>
              </w:rPr>
            </w:pPr>
            <w:r w:rsidRPr="00F27A03">
              <w:rPr>
                <w:color w:val="002060"/>
                <w:sz w:val="18"/>
                <w:lang w:val="sr-Cyrl-CS"/>
              </w:rPr>
              <w:t>4,8</w:t>
            </w:r>
          </w:p>
        </w:tc>
        <w:tc>
          <w:tcPr>
            <w:tcW w:w="604" w:type="pct"/>
            <w:tcBorders>
              <w:top w:val="nil"/>
              <w:bottom w:val="nil"/>
            </w:tcBorders>
            <w:shd w:val="clear" w:color="auto" w:fill="auto"/>
            <w:noWrap/>
            <w:vAlign w:val="center"/>
          </w:tcPr>
          <w:p w14:paraId="2F61002E" w14:textId="77777777" w:rsidR="00B3473E" w:rsidRPr="00F27A03" w:rsidRDefault="00B3473E" w:rsidP="00A42963">
            <w:pPr>
              <w:jc w:val="center"/>
              <w:rPr>
                <w:color w:val="002060"/>
                <w:sz w:val="18"/>
                <w:lang w:val="sr-Cyrl-CS"/>
              </w:rPr>
            </w:pPr>
            <w:r w:rsidRPr="00F27A03">
              <w:rPr>
                <w:color w:val="002060"/>
                <w:sz w:val="18"/>
                <w:lang w:val="sr-Cyrl-CS"/>
              </w:rPr>
              <w:t>2,6</w:t>
            </w:r>
          </w:p>
        </w:tc>
        <w:tc>
          <w:tcPr>
            <w:tcW w:w="603" w:type="pct"/>
            <w:tcBorders>
              <w:top w:val="nil"/>
              <w:bottom w:val="nil"/>
            </w:tcBorders>
            <w:shd w:val="clear" w:color="auto" w:fill="auto"/>
            <w:noWrap/>
            <w:vAlign w:val="center"/>
          </w:tcPr>
          <w:p w14:paraId="3750C359" w14:textId="77777777" w:rsidR="00B3473E" w:rsidRPr="00F27A03" w:rsidRDefault="00B3473E" w:rsidP="00A42963">
            <w:pPr>
              <w:jc w:val="center"/>
              <w:rPr>
                <w:color w:val="002060"/>
                <w:sz w:val="18"/>
                <w:lang w:val="sr-Cyrl-CS"/>
              </w:rPr>
            </w:pPr>
            <w:r w:rsidRPr="00F27A03">
              <w:rPr>
                <w:color w:val="002060"/>
                <w:sz w:val="18"/>
                <w:lang w:val="sr-Cyrl-CS"/>
              </w:rPr>
              <w:t>3,8</w:t>
            </w:r>
          </w:p>
        </w:tc>
        <w:tc>
          <w:tcPr>
            <w:tcW w:w="600" w:type="pct"/>
            <w:tcBorders>
              <w:top w:val="nil"/>
              <w:bottom w:val="nil"/>
              <w:right w:val="nil"/>
            </w:tcBorders>
            <w:shd w:val="clear" w:color="auto" w:fill="auto"/>
            <w:noWrap/>
            <w:vAlign w:val="center"/>
          </w:tcPr>
          <w:p w14:paraId="3062F09E" w14:textId="77777777" w:rsidR="00B3473E" w:rsidRPr="00F27A03" w:rsidRDefault="00B3473E" w:rsidP="00A42963">
            <w:pPr>
              <w:jc w:val="center"/>
              <w:rPr>
                <w:color w:val="002060"/>
                <w:sz w:val="18"/>
                <w:lang w:val="sr-Cyrl-CS"/>
              </w:rPr>
            </w:pPr>
            <w:r w:rsidRPr="00F27A03">
              <w:rPr>
                <w:color w:val="002060"/>
                <w:sz w:val="18"/>
                <w:lang w:val="sr-Cyrl-CS"/>
              </w:rPr>
              <w:t>4,0</w:t>
            </w:r>
          </w:p>
        </w:tc>
      </w:tr>
      <w:tr w:rsidR="00B3473E" w:rsidRPr="00F27A03" w14:paraId="4524565D" w14:textId="77777777" w:rsidTr="00A42963">
        <w:trPr>
          <w:trHeight w:val="281"/>
          <w:jc w:val="center"/>
        </w:trPr>
        <w:tc>
          <w:tcPr>
            <w:tcW w:w="2590" w:type="pct"/>
            <w:noWrap/>
            <w:vAlign w:val="center"/>
          </w:tcPr>
          <w:p w14:paraId="7CEA2954"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Нето порези</w:t>
            </w:r>
          </w:p>
        </w:tc>
        <w:tc>
          <w:tcPr>
            <w:tcW w:w="603" w:type="pct"/>
            <w:tcBorders>
              <w:top w:val="nil"/>
              <w:left w:val="nil"/>
              <w:bottom w:val="nil"/>
            </w:tcBorders>
            <w:shd w:val="clear" w:color="auto" w:fill="auto"/>
            <w:noWrap/>
            <w:vAlign w:val="center"/>
          </w:tcPr>
          <w:p w14:paraId="3E40726D" w14:textId="77777777" w:rsidR="00B3473E" w:rsidRPr="00F27A03" w:rsidRDefault="00B3473E" w:rsidP="00A42963">
            <w:pPr>
              <w:jc w:val="center"/>
              <w:rPr>
                <w:color w:val="002060"/>
                <w:sz w:val="18"/>
                <w:lang w:val="sr-Cyrl-CS"/>
              </w:rPr>
            </w:pPr>
            <w:r w:rsidRPr="00F27A03">
              <w:rPr>
                <w:color w:val="002060"/>
                <w:sz w:val="18"/>
                <w:lang w:val="sr-Cyrl-CS"/>
              </w:rPr>
              <w:t>4,6</w:t>
            </w:r>
          </w:p>
        </w:tc>
        <w:tc>
          <w:tcPr>
            <w:tcW w:w="604" w:type="pct"/>
            <w:tcBorders>
              <w:top w:val="nil"/>
              <w:bottom w:val="nil"/>
            </w:tcBorders>
            <w:shd w:val="clear" w:color="auto" w:fill="auto"/>
            <w:noWrap/>
            <w:vAlign w:val="center"/>
          </w:tcPr>
          <w:p w14:paraId="4972A3A0" w14:textId="77777777" w:rsidR="00B3473E" w:rsidRPr="00F27A03" w:rsidRDefault="00B3473E" w:rsidP="00A42963">
            <w:pPr>
              <w:jc w:val="center"/>
              <w:rPr>
                <w:color w:val="002060"/>
                <w:sz w:val="18"/>
                <w:lang w:val="sr-Cyrl-CS"/>
              </w:rPr>
            </w:pPr>
            <w:r w:rsidRPr="00F27A03">
              <w:rPr>
                <w:color w:val="002060"/>
                <w:sz w:val="18"/>
                <w:lang w:val="sr-Cyrl-CS"/>
              </w:rPr>
              <w:t>3,0</w:t>
            </w:r>
          </w:p>
        </w:tc>
        <w:tc>
          <w:tcPr>
            <w:tcW w:w="603" w:type="pct"/>
            <w:tcBorders>
              <w:top w:val="nil"/>
              <w:bottom w:val="nil"/>
            </w:tcBorders>
            <w:shd w:val="clear" w:color="auto" w:fill="auto"/>
            <w:noWrap/>
            <w:vAlign w:val="center"/>
          </w:tcPr>
          <w:p w14:paraId="4DFC1DC5" w14:textId="77777777" w:rsidR="00B3473E" w:rsidRPr="00F27A03" w:rsidRDefault="00B3473E" w:rsidP="00A42963">
            <w:pPr>
              <w:jc w:val="center"/>
              <w:rPr>
                <w:color w:val="002060"/>
                <w:sz w:val="18"/>
                <w:lang w:val="sr-Cyrl-CS"/>
              </w:rPr>
            </w:pPr>
            <w:r w:rsidRPr="00F27A03">
              <w:rPr>
                <w:color w:val="002060"/>
                <w:sz w:val="18"/>
                <w:lang w:val="sr-Cyrl-CS"/>
              </w:rPr>
              <w:t>3,0</w:t>
            </w:r>
          </w:p>
        </w:tc>
        <w:tc>
          <w:tcPr>
            <w:tcW w:w="600" w:type="pct"/>
            <w:tcBorders>
              <w:top w:val="nil"/>
              <w:bottom w:val="nil"/>
              <w:right w:val="nil"/>
            </w:tcBorders>
            <w:shd w:val="clear" w:color="auto" w:fill="auto"/>
            <w:noWrap/>
            <w:vAlign w:val="center"/>
          </w:tcPr>
          <w:p w14:paraId="5C0EF6F1" w14:textId="77777777" w:rsidR="00B3473E" w:rsidRPr="00F27A03" w:rsidRDefault="00B3473E" w:rsidP="00A42963">
            <w:pPr>
              <w:jc w:val="center"/>
              <w:rPr>
                <w:color w:val="002060"/>
                <w:sz w:val="18"/>
                <w:lang w:val="sr-Cyrl-CS"/>
              </w:rPr>
            </w:pPr>
            <w:r w:rsidRPr="00F27A03">
              <w:rPr>
                <w:color w:val="002060"/>
                <w:sz w:val="18"/>
                <w:lang w:val="sr-Cyrl-CS"/>
              </w:rPr>
              <w:t>3,0</w:t>
            </w:r>
          </w:p>
        </w:tc>
      </w:tr>
      <w:tr w:rsidR="00B3473E" w:rsidRPr="00F27A03" w14:paraId="3EC26105" w14:textId="77777777" w:rsidTr="00A42963">
        <w:trPr>
          <w:trHeight w:val="281"/>
          <w:jc w:val="center"/>
        </w:trPr>
        <w:tc>
          <w:tcPr>
            <w:tcW w:w="2590" w:type="pct"/>
            <w:shd w:val="clear" w:color="auto" w:fill="E7E6E6" w:themeFill="background2"/>
            <w:noWrap/>
            <w:vAlign w:val="center"/>
            <w:hideMark/>
          </w:tcPr>
          <w:p w14:paraId="1E120D52" w14:textId="77777777" w:rsidR="00B3473E" w:rsidRPr="00F27A03" w:rsidRDefault="00B3473E" w:rsidP="00953528">
            <w:pPr>
              <w:jc w:val="left"/>
              <w:rPr>
                <w:rFonts w:eastAsia="Calibri" w:cstheme="minorHAnsi"/>
                <w:bCs/>
                <w:color w:val="002060"/>
                <w:sz w:val="18"/>
                <w:szCs w:val="18"/>
                <w:lang w:val="sr-Cyrl-CS"/>
              </w:rPr>
            </w:pPr>
            <w:r w:rsidRPr="00F27A03">
              <w:rPr>
                <w:rFonts w:eastAsia="Calibri" w:cstheme="minorHAnsi"/>
                <w:iCs/>
                <w:color w:val="002060"/>
                <w:sz w:val="18"/>
                <w:szCs w:val="18"/>
                <w:lang w:val="sr-Cyrl-CS"/>
              </w:rPr>
              <w:t>Допринос расту БДП, процентни поени</w:t>
            </w:r>
          </w:p>
        </w:tc>
        <w:tc>
          <w:tcPr>
            <w:tcW w:w="603" w:type="pct"/>
            <w:shd w:val="clear" w:color="auto" w:fill="E7E6E6" w:themeFill="background2"/>
            <w:vAlign w:val="center"/>
          </w:tcPr>
          <w:p w14:paraId="3595CCF8" w14:textId="77777777" w:rsidR="00B3473E" w:rsidRPr="00F27A03" w:rsidRDefault="00B3473E" w:rsidP="00A42963">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4EE51930" w14:textId="77777777" w:rsidR="00B3473E" w:rsidRPr="00F27A03" w:rsidRDefault="00B3473E" w:rsidP="00A42963">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46043123" w14:textId="77777777" w:rsidR="00B3473E" w:rsidRPr="00F27A03" w:rsidRDefault="00B3473E" w:rsidP="00A42963">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29DDD85E" w14:textId="77777777" w:rsidR="00B3473E" w:rsidRPr="00F27A03" w:rsidRDefault="00B3473E" w:rsidP="00A42963">
            <w:pPr>
              <w:jc w:val="center"/>
              <w:rPr>
                <w:rFonts w:eastAsia="Calibri" w:cstheme="minorHAnsi"/>
                <w:bCs/>
                <w:color w:val="002060"/>
                <w:sz w:val="18"/>
                <w:szCs w:val="18"/>
                <w:lang w:val="sr-Cyrl-CS"/>
              </w:rPr>
            </w:pPr>
          </w:p>
        </w:tc>
      </w:tr>
      <w:tr w:rsidR="00B3473E" w:rsidRPr="00F27A03" w14:paraId="2D33F197" w14:textId="77777777" w:rsidTr="00A42963">
        <w:trPr>
          <w:trHeight w:val="281"/>
          <w:jc w:val="center"/>
        </w:trPr>
        <w:tc>
          <w:tcPr>
            <w:tcW w:w="2590" w:type="pct"/>
            <w:noWrap/>
            <w:vAlign w:val="center"/>
            <w:hideMark/>
          </w:tcPr>
          <w:p w14:paraId="4210D29C"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Пољопривреда</w:t>
            </w:r>
          </w:p>
        </w:tc>
        <w:tc>
          <w:tcPr>
            <w:tcW w:w="603" w:type="pct"/>
            <w:tcBorders>
              <w:top w:val="nil"/>
              <w:left w:val="nil"/>
              <w:bottom w:val="nil"/>
            </w:tcBorders>
            <w:shd w:val="clear" w:color="auto" w:fill="auto"/>
            <w:noWrap/>
            <w:vAlign w:val="center"/>
          </w:tcPr>
          <w:p w14:paraId="1A6C83B0" w14:textId="77777777" w:rsidR="00B3473E" w:rsidRPr="00F27A03" w:rsidRDefault="00B3473E" w:rsidP="00A42963">
            <w:pPr>
              <w:jc w:val="center"/>
              <w:rPr>
                <w:color w:val="002060"/>
                <w:sz w:val="18"/>
                <w:lang w:val="sr-Cyrl-CS"/>
              </w:rPr>
            </w:pPr>
            <w:r w:rsidRPr="00F27A03">
              <w:rPr>
                <w:color w:val="002060"/>
                <w:sz w:val="18"/>
                <w:lang w:val="sr-Cyrl-CS"/>
              </w:rPr>
              <w:t>-0,5</w:t>
            </w:r>
          </w:p>
        </w:tc>
        <w:tc>
          <w:tcPr>
            <w:tcW w:w="604" w:type="pct"/>
            <w:tcBorders>
              <w:top w:val="nil"/>
              <w:bottom w:val="nil"/>
            </w:tcBorders>
            <w:shd w:val="clear" w:color="auto" w:fill="auto"/>
            <w:noWrap/>
            <w:vAlign w:val="center"/>
          </w:tcPr>
          <w:p w14:paraId="5004C8AF" w14:textId="77777777" w:rsidR="00B3473E" w:rsidRPr="00F27A03" w:rsidRDefault="00B3473E" w:rsidP="00A42963">
            <w:pPr>
              <w:jc w:val="center"/>
              <w:rPr>
                <w:color w:val="002060"/>
                <w:sz w:val="18"/>
                <w:lang w:val="sr-Cyrl-CS"/>
              </w:rPr>
            </w:pPr>
            <w:r w:rsidRPr="00F27A03">
              <w:rPr>
                <w:color w:val="002060"/>
                <w:sz w:val="18"/>
                <w:lang w:val="sr-Cyrl-CS"/>
              </w:rPr>
              <w:t>0,4</w:t>
            </w:r>
          </w:p>
        </w:tc>
        <w:tc>
          <w:tcPr>
            <w:tcW w:w="603" w:type="pct"/>
            <w:tcBorders>
              <w:top w:val="nil"/>
              <w:bottom w:val="nil"/>
            </w:tcBorders>
            <w:shd w:val="clear" w:color="auto" w:fill="auto"/>
            <w:noWrap/>
            <w:vAlign w:val="center"/>
          </w:tcPr>
          <w:p w14:paraId="6293C1EE" w14:textId="77777777" w:rsidR="00B3473E" w:rsidRPr="00F27A03" w:rsidRDefault="00B3473E" w:rsidP="00A42963">
            <w:pPr>
              <w:jc w:val="center"/>
              <w:rPr>
                <w:color w:val="002060"/>
                <w:sz w:val="18"/>
                <w:lang w:val="sr-Cyrl-CS"/>
              </w:rPr>
            </w:pPr>
            <w:r w:rsidRPr="00F27A03">
              <w:rPr>
                <w:color w:val="002060"/>
                <w:sz w:val="18"/>
                <w:lang w:val="sr-Cyrl-CS"/>
              </w:rPr>
              <w:t>0,1</w:t>
            </w:r>
          </w:p>
        </w:tc>
        <w:tc>
          <w:tcPr>
            <w:tcW w:w="600" w:type="pct"/>
            <w:tcBorders>
              <w:top w:val="nil"/>
              <w:bottom w:val="nil"/>
            </w:tcBorders>
            <w:shd w:val="clear" w:color="auto" w:fill="auto"/>
            <w:noWrap/>
            <w:vAlign w:val="center"/>
          </w:tcPr>
          <w:p w14:paraId="5983B7ED" w14:textId="77777777" w:rsidR="00B3473E" w:rsidRPr="00F27A03" w:rsidRDefault="00B3473E" w:rsidP="00A42963">
            <w:pPr>
              <w:jc w:val="center"/>
              <w:rPr>
                <w:color w:val="002060"/>
                <w:sz w:val="18"/>
                <w:lang w:val="sr-Cyrl-CS"/>
              </w:rPr>
            </w:pPr>
            <w:r w:rsidRPr="00F27A03">
              <w:rPr>
                <w:color w:val="002060"/>
                <w:sz w:val="18"/>
                <w:lang w:val="sr-Cyrl-CS"/>
              </w:rPr>
              <w:t>0,0</w:t>
            </w:r>
          </w:p>
        </w:tc>
      </w:tr>
      <w:tr w:rsidR="00B3473E" w:rsidRPr="00F27A03" w14:paraId="58812A93" w14:textId="77777777" w:rsidTr="00A42963">
        <w:trPr>
          <w:trHeight w:val="281"/>
          <w:jc w:val="center"/>
        </w:trPr>
        <w:tc>
          <w:tcPr>
            <w:tcW w:w="2590" w:type="pct"/>
            <w:noWrap/>
            <w:vAlign w:val="center"/>
            <w:hideMark/>
          </w:tcPr>
          <w:p w14:paraId="3CC7F650"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Индустрија</w:t>
            </w:r>
          </w:p>
        </w:tc>
        <w:tc>
          <w:tcPr>
            <w:tcW w:w="603" w:type="pct"/>
            <w:tcBorders>
              <w:top w:val="nil"/>
              <w:left w:val="nil"/>
              <w:bottom w:val="nil"/>
            </w:tcBorders>
            <w:shd w:val="clear" w:color="auto" w:fill="auto"/>
            <w:noWrap/>
            <w:vAlign w:val="center"/>
          </w:tcPr>
          <w:p w14:paraId="5E412757" w14:textId="77777777" w:rsidR="00B3473E" w:rsidRPr="00F27A03" w:rsidRDefault="00B3473E" w:rsidP="00A42963">
            <w:pPr>
              <w:jc w:val="center"/>
              <w:rPr>
                <w:color w:val="002060"/>
                <w:sz w:val="18"/>
                <w:lang w:val="sr-Cyrl-CS"/>
              </w:rPr>
            </w:pPr>
            <w:r w:rsidRPr="00F27A03">
              <w:rPr>
                <w:color w:val="002060"/>
                <w:sz w:val="18"/>
                <w:lang w:val="sr-Cyrl-CS"/>
              </w:rPr>
              <w:t>0,3</w:t>
            </w:r>
          </w:p>
        </w:tc>
        <w:tc>
          <w:tcPr>
            <w:tcW w:w="604" w:type="pct"/>
            <w:tcBorders>
              <w:top w:val="nil"/>
              <w:bottom w:val="nil"/>
            </w:tcBorders>
            <w:shd w:val="clear" w:color="auto" w:fill="auto"/>
            <w:noWrap/>
            <w:vAlign w:val="center"/>
          </w:tcPr>
          <w:p w14:paraId="048F0B00" w14:textId="77777777" w:rsidR="00B3473E" w:rsidRPr="00F27A03" w:rsidRDefault="00B3473E" w:rsidP="00A42963">
            <w:pPr>
              <w:jc w:val="center"/>
              <w:rPr>
                <w:color w:val="002060"/>
                <w:sz w:val="18"/>
                <w:lang w:val="sr-Cyrl-CS"/>
              </w:rPr>
            </w:pPr>
            <w:r w:rsidRPr="00F27A03">
              <w:rPr>
                <w:color w:val="002060"/>
                <w:sz w:val="18"/>
                <w:lang w:val="sr-Cyrl-CS"/>
              </w:rPr>
              <w:t>0,2</w:t>
            </w:r>
          </w:p>
        </w:tc>
        <w:tc>
          <w:tcPr>
            <w:tcW w:w="603" w:type="pct"/>
            <w:tcBorders>
              <w:top w:val="nil"/>
              <w:bottom w:val="nil"/>
            </w:tcBorders>
            <w:shd w:val="clear" w:color="auto" w:fill="auto"/>
            <w:noWrap/>
            <w:vAlign w:val="center"/>
          </w:tcPr>
          <w:p w14:paraId="7EA5C308" w14:textId="77777777" w:rsidR="00B3473E" w:rsidRPr="00F27A03" w:rsidRDefault="00B3473E" w:rsidP="00A42963">
            <w:pPr>
              <w:jc w:val="center"/>
              <w:rPr>
                <w:color w:val="002060"/>
                <w:sz w:val="18"/>
                <w:lang w:val="sr-Cyrl-CS"/>
              </w:rPr>
            </w:pPr>
            <w:r w:rsidRPr="00F27A03">
              <w:rPr>
                <w:color w:val="002060"/>
                <w:sz w:val="18"/>
                <w:lang w:val="sr-Cyrl-CS"/>
              </w:rPr>
              <w:t>0,7</w:t>
            </w:r>
          </w:p>
        </w:tc>
        <w:tc>
          <w:tcPr>
            <w:tcW w:w="600" w:type="pct"/>
            <w:tcBorders>
              <w:top w:val="nil"/>
              <w:bottom w:val="nil"/>
            </w:tcBorders>
            <w:shd w:val="clear" w:color="auto" w:fill="auto"/>
            <w:noWrap/>
            <w:vAlign w:val="center"/>
          </w:tcPr>
          <w:p w14:paraId="38380769" w14:textId="77777777" w:rsidR="00B3473E" w:rsidRPr="00F27A03" w:rsidRDefault="00B3473E" w:rsidP="00A42963">
            <w:pPr>
              <w:jc w:val="center"/>
              <w:rPr>
                <w:color w:val="002060"/>
                <w:sz w:val="18"/>
                <w:lang w:val="sr-Cyrl-CS"/>
              </w:rPr>
            </w:pPr>
            <w:r w:rsidRPr="00F27A03">
              <w:rPr>
                <w:color w:val="002060"/>
                <w:sz w:val="18"/>
                <w:lang w:val="sr-Cyrl-CS"/>
              </w:rPr>
              <w:t>1,1</w:t>
            </w:r>
          </w:p>
        </w:tc>
      </w:tr>
      <w:tr w:rsidR="00B3473E" w:rsidRPr="00F27A03" w14:paraId="3BD464D4" w14:textId="77777777" w:rsidTr="00A42963">
        <w:trPr>
          <w:trHeight w:val="281"/>
          <w:jc w:val="center"/>
        </w:trPr>
        <w:tc>
          <w:tcPr>
            <w:tcW w:w="2590" w:type="pct"/>
            <w:noWrap/>
            <w:vAlign w:val="center"/>
            <w:hideMark/>
          </w:tcPr>
          <w:p w14:paraId="6E4B24AA"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Грађевинарство</w:t>
            </w:r>
          </w:p>
        </w:tc>
        <w:tc>
          <w:tcPr>
            <w:tcW w:w="603" w:type="pct"/>
            <w:tcBorders>
              <w:top w:val="nil"/>
              <w:left w:val="nil"/>
              <w:bottom w:val="nil"/>
            </w:tcBorders>
            <w:shd w:val="clear" w:color="auto" w:fill="auto"/>
            <w:noWrap/>
            <w:vAlign w:val="center"/>
          </w:tcPr>
          <w:p w14:paraId="53CA70BD" w14:textId="77777777" w:rsidR="00B3473E" w:rsidRPr="00F27A03" w:rsidRDefault="00B3473E" w:rsidP="00A42963">
            <w:pPr>
              <w:jc w:val="center"/>
              <w:rPr>
                <w:color w:val="002060"/>
                <w:sz w:val="18"/>
                <w:lang w:val="sr-Cyrl-CS"/>
              </w:rPr>
            </w:pPr>
            <w:r w:rsidRPr="00F27A03">
              <w:rPr>
                <w:color w:val="002060"/>
                <w:sz w:val="18"/>
                <w:lang w:val="sr-Cyrl-CS"/>
              </w:rPr>
              <w:t>-0,5</w:t>
            </w:r>
          </w:p>
        </w:tc>
        <w:tc>
          <w:tcPr>
            <w:tcW w:w="604" w:type="pct"/>
            <w:tcBorders>
              <w:top w:val="nil"/>
              <w:bottom w:val="nil"/>
            </w:tcBorders>
            <w:shd w:val="clear" w:color="auto" w:fill="auto"/>
            <w:noWrap/>
            <w:vAlign w:val="center"/>
          </w:tcPr>
          <w:p w14:paraId="1853DA8E" w14:textId="77777777" w:rsidR="00B3473E" w:rsidRPr="00F27A03" w:rsidRDefault="00B3473E" w:rsidP="00A42963">
            <w:pPr>
              <w:jc w:val="center"/>
              <w:rPr>
                <w:color w:val="002060"/>
                <w:sz w:val="18"/>
                <w:lang w:val="sr-Cyrl-CS"/>
              </w:rPr>
            </w:pPr>
            <w:r w:rsidRPr="00F27A03">
              <w:rPr>
                <w:color w:val="002060"/>
                <w:sz w:val="18"/>
                <w:lang w:val="sr-Cyrl-CS"/>
              </w:rPr>
              <w:t>0,0</w:t>
            </w:r>
          </w:p>
        </w:tc>
        <w:tc>
          <w:tcPr>
            <w:tcW w:w="603" w:type="pct"/>
            <w:tcBorders>
              <w:top w:val="nil"/>
              <w:bottom w:val="nil"/>
            </w:tcBorders>
            <w:shd w:val="clear" w:color="auto" w:fill="auto"/>
            <w:noWrap/>
            <w:vAlign w:val="center"/>
          </w:tcPr>
          <w:p w14:paraId="63F42F88" w14:textId="77777777" w:rsidR="00B3473E" w:rsidRPr="00F27A03" w:rsidRDefault="00B3473E" w:rsidP="00A42963">
            <w:pPr>
              <w:jc w:val="center"/>
              <w:rPr>
                <w:color w:val="002060"/>
                <w:sz w:val="18"/>
                <w:lang w:val="sr-Cyrl-CS"/>
              </w:rPr>
            </w:pPr>
            <w:r w:rsidRPr="00F27A03">
              <w:rPr>
                <w:color w:val="002060"/>
                <w:sz w:val="18"/>
                <w:lang w:val="sr-Cyrl-CS"/>
              </w:rPr>
              <w:t>0,3</w:t>
            </w:r>
          </w:p>
        </w:tc>
        <w:tc>
          <w:tcPr>
            <w:tcW w:w="600" w:type="pct"/>
            <w:tcBorders>
              <w:top w:val="nil"/>
              <w:bottom w:val="nil"/>
            </w:tcBorders>
            <w:shd w:val="clear" w:color="auto" w:fill="auto"/>
            <w:noWrap/>
            <w:vAlign w:val="center"/>
          </w:tcPr>
          <w:p w14:paraId="29D06C38" w14:textId="77777777" w:rsidR="00B3473E" w:rsidRPr="00F27A03" w:rsidRDefault="00B3473E" w:rsidP="00A42963">
            <w:pPr>
              <w:jc w:val="center"/>
              <w:rPr>
                <w:color w:val="002060"/>
                <w:sz w:val="18"/>
                <w:lang w:val="sr-Cyrl-CS"/>
              </w:rPr>
            </w:pPr>
            <w:r w:rsidRPr="00F27A03">
              <w:rPr>
                <w:color w:val="002060"/>
                <w:sz w:val="18"/>
                <w:lang w:val="sr-Cyrl-CS"/>
              </w:rPr>
              <w:t>0,3</w:t>
            </w:r>
          </w:p>
        </w:tc>
      </w:tr>
      <w:tr w:rsidR="00B3473E" w:rsidRPr="00F27A03" w14:paraId="7D70A4B4" w14:textId="77777777" w:rsidTr="00A42963">
        <w:trPr>
          <w:trHeight w:val="281"/>
          <w:jc w:val="center"/>
        </w:trPr>
        <w:tc>
          <w:tcPr>
            <w:tcW w:w="2590" w:type="pct"/>
            <w:noWrap/>
            <w:vAlign w:val="center"/>
            <w:hideMark/>
          </w:tcPr>
          <w:p w14:paraId="5E2CF39A"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Услуге</w:t>
            </w:r>
          </w:p>
        </w:tc>
        <w:tc>
          <w:tcPr>
            <w:tcW w:w="603" w:type="pct"/>
            <w:tcBorders>
              <w:top w:val="nil"/>
              <w:left w:val="nil"/>
              <w:bottom w:val="nil"/>
            </w:tcBorders>
            <w:shd w:val="clear" w:color="auto" w:fill="auto"/>
            <w:noWrap/>
            <w:vAlign w:val="center"/>
          </w:tcPr>
          <w:p w14:paraId="7D8A4BEF" w14:textId="77777777" w:rsidR="00B3473E" w:rsidRPr="00F27A03" w:rsidRDefault="00B3473E" w:rsidP="00A42963">
            <w:pPr>
              <w:jc w:val="center"/>
              <w:rPr>
                <w:color w:val="002060"/>
                <w:sz w:val="18"/>
                <w:lang w:val="sr-Cyrl-CS"/>
              </w:rPr>
            </w:pPr>
            <w:r w:rsidRPr="00F27A03">
              <w:rPr>
                <w:color w:val="002060"/>
                <w:sz w:val="18"/>
                <w:lang w:val="sr-Cyrl-CS"/>
              </w:rPr>
              <w:t>2,4</w:t>
            </w:r>
          </w:p>
        </w:tc>
        <w:tc>
          <w:tcPr>
            <w:tcW w:w="604" w:type="pct"/>
            <w:tcBorders>
              <w:top w:val="nil"/>
              <w:bottom w:val="nil"/>
            </w:tcBorders>
            <w:shd w:val="clear" w:color="auto" w:fill="auto"/>
            <w:noWrap/>
            <w:vAlign w:val="center"/>
          </w:tcPr>
          <w:p w14:paraId="3D900CBB" w14:textId="77777777" w:rsidR="00B3473E" w:rsidRPr="00F27A03" w:rsidRDefault="00B3473E" w:rsidP="00A42963">
            <w:pPr>
              <w:jc w:val="center"/>
              <w:rPr>
                <w:color w:val="002060"/>
                <w:sz w:val="18"/>
                <w:lang w:val="sr-Cyrl-CS"/>
              </w:rPr>
            </w:pPr>
            <w:r w:rsidRPr="00F27A03">
              <w:rPr>
                <w:color w:val="002060"/>
                <w:sz w:val="18"/>
                <w:lang w:val="sr-Cyrl-CS"/>
              </w:rPr>
              <w:t>1,3</w:t>
            </w:r>
          </w:p>
        </w:tc>
        <w:tc>
          <w:tcPr>
            <w:tcW w:w="603" w:type="pct"/>
            <w:tcBorders>
              <w:top w:val="nil"/>
              <w:bottom w:val="nil"/>
            </w:tcBorders>
            <w:shd w:val="clear" w:color="auto" w:fill="auto"/>
            <w:noWrap/>
            <w:vAlign w:val="center"/>
          </w:tcPr>
          <w:p w14:paraId="5A4533FB" w14:textId="77777777" w:rsidR="00B3473E" w:rsidRPr="00F27A03" w:rsidRDefault="00B3473E" w:rsidP="00A42963">
            <w:pPr>
              <w:jc w:val="center"/>
              <w:rPr>
                <w:color w:val="002060"/>
                <w:sz w:val="18"/>
                <w:lang w:val="sr-Cyrl-CS"/>
              </w:rPr>
            </w:pPr>
            <w:r w:rsidRPr="00F27A03">
              <w:rPr>
                <w:color w:val="002060"/>
                <w:sz w:val="18"/>
                <w:lang w:val="sr-Cyrl-CS"/>
              </w:rPr>
              <w:t>1,9</w:t>
            </w:r>
          </w:p>
        </w:tc>
        <w:tc>
          <w:tcPr>
            <w:tcW w:w="600" w:type="pct"/>
            <w:tcBorders>
              <w:top w:val="nil"/>
              <w:bottom w:val="nil"/>
            </w:tcBorders>
            <w:shd w:val="clear" w:color="auto" w:fill="auto"/>
            <w:noWrap/>
            <w:vAlign w:val="center"/>
          </w:tcPr>
          <w:p w14:paraId="2BE7FA0E" w14:textId="77777777" w:rsidR="00B3473E" w:rsidRPr="00F27A03" w:rsidRDefault="00B3473E" w:rsidP="00A42963">
            <w:pPr>
              <w:jc w:val="center"/>
              <w:rPr>
                <w:color w:val="002060"/>
                <w:sz w:val="18"/>
                <w:lang w:val="sr-Cyrl-CS"/>
              </w:rPr>
            </w:pPr>
            <w:r w:rsidRPr="00F27A03">
              <w:rPr>
                <w:color w:val="002060"/>
                <w:sz w:val="18"/>
                <w:lang w:val="sr-Cyrl-CS"/>
              </w:rPr>
              <w:t>2,0</w:t>
            </w:r>
          </w:p>
        </w:tc>
      </w:tr>
      <w:tr w:rsidR="00B3473E" w:rsidRPr="00F27A03" w14:paraId="7A1D10F8" w14:textId="77777777" w:rsidTr="00A42963">
        <w:trPr>
          <w:trHeight w:val="281"/>
          <w:jc w:val="center"/>
        </w:trPr>
        <w:tc>
          <w:tcPr>
            <w:tcW w:w="2590" w:type="pct"/>
            <w:noWrap/>
            <w:vAlign w:val="center"/>
          </w:tcPr>
          <w:p w14:paraId="656B8161"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Нето порези</w:t>
            </w:r>
          </w:p>
        </w:tc>
        <w:tc>
          <w:tcPr>
            <w:tcW w:w="603" w:type="pct"/>
            <w:tcBorders>
              <w:top w:val="nil"/>
              <w:left w:val="nil"/>
              <w:bottom w:val="nil"/>
            </w:tcBorders>
            <w:shd w:val="clear" w:color="auto" w:fill="auto"/>
            <w:noWrap/>
            <w:vAlign w:val="center"/>
          </w:tcPr>
          <w:p w14:paraId="684F46F8" w14:textId="77777777" w:rsidR="00B3473E" w:rsidRPr="00F27A03" w:rsidRDefault="00B3473E" w:rsidP="00A42963">
            <w:pPr>
              <w:jc w:val="center"/>
              <w:rPr>
                <w:color w:val="002060"/>
                <w:sz w:val="18"/>
                <w:lang w:val="sr-Cyrl-CS"/>
              </w:rPr>
            </w:pPr>
            <w:r w:rsidRPr="00F27A03">
              <w:rPr>
                <w:color w:val="002060"/>
                <w:sz w:val="18"/>
                <w:lang w:val="sr-Cyrl-CS"/>
              </w:rPr>
              <w:t>0,8</w:t>
            </w:r>
          </w:p>
        </w:tc>
        <w:tc>
          <w:tcPr>
            <w:tcW w:w="604" w:type="pct"/>
            <w:tcBorders>
              <w:top w:val="nil"/>
              <w:bottom w:val="nil"/>
            </w:tcBorders>
            <w:shd w:val="clear" w:color="auto" w:fill="auto"/>
            <w:noWrap/>
            <w:vAlign w:val="center"/>
          </w:tcPr>
          <w:p w14:paraId="4462850A" w14:textId="77777777" w:rsidR="00B3473E" w:rsidRPr="00F27A03" w:rsidRDefault="00B3473E" w:rsidP="00A42963">
            <w:pPr>
              <w:jc w:val="center"/>
              <w:rPr>
                <w:color w:val="002060"/>
                <w:sz w:val="18"/>
                <w:lang w:val="sr-Cyrl-CS"/>
              </w:rPr>
            </w:pPr>
            <w:r w:rsidRPr="00F27A03">
              <w:rPr>
                <w:color w:val="002060"/>
                <w:sz w:val="18"/>
                <w:lang w:val="sr-Cyrl-CS"/>
              </w:rPr>
              <w:t>0,5</w:t>
            </w:r>
          </w:p>
        </w:tc>
        <w:tc>
          <w:tcPr>
            <w:tcW w:w="603" w:type="pct"/>
            <w:tcBorders>
              <w:top w:val="nil"/>
              <w:bottom w:val="nil"/>
            </w:tcBorders>
            <w:shd w:val="clear" w:color="auto" w:fill="auto"/>
            <w:noWrap/>
            <w:vAlign w:val="center"/>
          </w:tcPr>
          <w:p w14:paraId="1296AE85" w14:textId="77777777" w:rsidR="00B3473E" w:rsidRPr="00F27A03" w:rsidRDefault="00B3473E" w:rsidP="00A42963">
            <w:pPr>
              <w:jc w:val="center"/>
              <w:rPr>
                <w:color w:val="002060"/>
                <w:sz w:val="18"/>
                <w:lang w:val="sr-Cyrl-CS"/>
              </w:rPr>
            </w:pPr>
            <w:r w:rsidRPr="00F27A03">
              <w:rPr>
                <w:color w:val="002060"/>
                <w:sz w:val="18"/>
                <w:lang w:val="sr-Cyrl-CS"/>
              </w:rPr>
              <w:t>0,5</w:t>
            </w:r>
          </w:p>
        </w:tc>
        <w:tc>
          <w:tcPr>
            <w:tcW w:w="600" w:type="pct"/>
            <w:tcBorders>
              <w:top w:val="nil"/>
              <w:bottom w:val="nil"/>
            </w:tcBorders>
            <w:shd w:val="clear" w:color="auto" w:fill="auto"/>
            <w:noWrap/>
            <w:vAlign w:val="center"/>
          </w:tcPr>
          <w:p w14:paraId="39B1EEA5" w14:textId="77777777" w:rsidR="00B3473E" w:rsidRPr="00F27A03" w:rsidRDefault="00B3473E" w:rsidP="00A42963">
            <w:pPr>
              <w:jc w:val="center"/>
              <w:rPr>
                <w:color w:val="002060"/>
                <w:sz w:val="18"/>
                <w:lang w:val="sr-Cyrl-CS"/>
              </w:rPr>
            </w:pPr>
            <w:r w:rsidRPr="00F27A03">
              <w:rPr>
                <w:color w:val="002060"/>
                <w:sz w:val="18"/>
                <w:lang w:val="sr-Cyrl-CS"/>
              </w:rPr>
              <w:t>0,5</w:t>
            </w:r>
          </w:p>
        </w:tc>
      </w:tr>
      <w:tr w:rsidR="00B3473E" w:rsidRPr="00F27A03" w14:paraId="5A8D3A57" w14:textId="77777777" w:rsidTr="00A42963">
        <w:trPr>
          <w:trHeight w:val="281"/>
          <w:jc w:val="center"/>
        </w:trPr>
        <w:tc>
          <w:tcPr>
            <w:tcW w:w="2590" w:type="pct"/>
            <w:shd w:val="clear" w:color="auto" w:fill="E7E6E6" w:themeFill="background2"/>
            <w:noWrap/>
            <w:vAlign w:val="center"/>
            <w:hideMark/>
          </w:tcPr>
          <w:p w14:paraId="482102EA" w14:textId="77777777" w:rsidR="00B3473E" w:rsidRPr="00F27A03" w:rsidRDefault="00B3473E" w:rsidP="00953528">
            <w:pPr>
              <w:jc w:val="left"/>
              <w:rPr>
                <w:rFonts w:eastAsia="Calibri" w:cstheme="minorHAnsi"/>
                <w:bCs/>
                <w:iCs/>
                <w:color w:val="002060"/>
                <w:sz w:val="18"/>
                <w:szCs w:val="18"/>
                <w:lang w:val="sr-Cyrl-CS"/>
              </w:rPr>
            </w:pPr>
            <w:r w:rsidRPr="00F27A03">
              <w:rPr>
                <w:rFonts w:eastAsia="Calibri" w:cstheme="minorHAnsi"/>
                <w:iCs/>
                <w:color w:val="002060"/>
                <w:sz w:val="18"/>
                <w:szCs w:val="18"/>
                <w:lang w:val="sr-Cyrl-CS"/>
              </w:rPr>
              <w:t>Кретање цена, %</w:t>
            </w:r>
          </w:p>
        </w:tc>
        <w:tc>
          <w:tcPr>
            <w:tcW w:w="603" w:type="pct"/>
            <w:shd w:val="clear" w:color="auto" w:fill="E7E6E6" w:themeFill="background2"/>
            <w:noWrap/>
            <w:vAlign w:val="center"/>
          </w:tcPr>
          <w:p w14:paraId="3579988F" w14:textId="77777777" w:rsidR="00B3473E" w:rsidRPr="00F27A03" w:rsidRDefault="00B3473E" w:rsidP="00A42963">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14DE7FB7" w14:textId="77777777" w:rsidR="00B3473E" w:rsidRPr="00F27A03" w:rsidRDefault="00B3473E" w:rsidP="00A42963">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36D65A2F" w14:textId="77777777" w:rsidR="00B3473E" w:rsidRPr="00F27A03" w:rsidRDefault="00B3473E" w:rsidP="00A42963">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584E9A95" w14:textId="77777777" w:rsidR="00B3473E" w:rsidRPr="00F27A03" w:rsidRDefault="00B3473E" w:rsidP="00A42963">
            <w:pPr>
              <w:jc w:val="center"/>
              <w:rPr>
                <w:rFonts w:eastAsia="Calibri" w:cstheme="minorHAnsi"/>
                <w:color w:val="002060"/>
                <w:sz w:val="18"/>
                <w:szCs w:val="18"/>
                <w:lang w:val="sr-Cyrl-CS"/>
              </w:rPr>
            </w:pPr>
          </w:p>
        </w:tc>
      </w:tr>
      <w:tr w:rsidR="00B3473E" w:rsidRPr="00F27A03" w14:paraId="178797EE" w14:textId="77777777" w:rsidTr="00A42963">
        <w:trPr>
          <w:trHeight w:val="281"/>
          <w:jc w:val="center"/>
        </w:trPr>
        <w:tc>
          <w:tcPr>
            <w:tcW w:w="2590" w:type="pct"/>
            <w:noWrap/>
            <w:vAlign w:val="center"/>
            <w:hideMark/>
          </w:tcPr>
          <w:p w14:paraId="7704113D"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БДП дефлатор</w:t>
            </w:r>
          </w:p>
        </w:tc>
        <w:tc>
          <w:tcPr>
            <w:tcW w:w="603" w:type="pct"/>
            <w:tcBorders>
              <w:top w:val="nil"/>
              <w:left w:val="nil"/>
              <w:bottom w:val="nil"/>
              <w:right w:val="nil"/>
            </w:tcBorders>
            <w:shd w:val="clear" w:color="auto" w:fill="auto"/>
            <w:noWrap/>
            <w:vAlign w:val="center"/>
          </w:tcPr>
          <w:p w14:paraId="7216581A" w14:textId="77777777" w:rsidR="00B3473E" w:rsidRPr="00F27A03" w:rsidRDefault="00B3473E" w:rsidP="00A42963">
            <w:pPr>
              <w:jc w:val="center"/>
              <w:rPr>
                <w:color w:val="002060"/>
                <w:sz w:val="18"/>
                <w:lang w:val="sr-Cyrl-CS"/>
              </w:rPr>
            </w:pPr>
            <w:r w:rsidRPr="00F27A03">
              <w:rPr>
                <w:color w:val="002060"/>
                <w:sz w:val="18"/>
                <w:lang w:val="sr-Cyrl-CS"/>
              </w:rPr>
              <w:t>10,2</w:t>
            </w:r>
          </w:p>
        </w:tc>
        <w:tc>
          <w:tcPr>
            <w:tcW w:w="604" w:type="pct"/>
            <w:tcBorders>
              <w:top w:val="nil"/>
              <w:left w:val="nil"/>
              <w:bottom w:val="nil"/>
              <w:right w:val="nil"/>
            </w:tcBorders>
            <w:shd w:val="clear" w:color="auto" w:fill="auto"/>
            <w:noWrap/>
            <w:vAlign w:val="center"/>
          </w:tcPr>
          <w:p w14:paraId="5E3EE2E4" w14:textId="77777777" w:rsidR="00B3473E" w:rsidRPr="00F27A03" w:rsidRDefault="00B3473E" w:rsidP="00A42963">
            <w:pPr>
              <w:jc w:val="center"/>
              <w:rPr>
                <w:color w:val="002060"/>
                <w:sz w:val="18"/>
                <w:lang w:val="sr-Cyrl-CS"/>
              </w:rPr>
            </w:pPr>
            <w:r w:rsidRPr="00F27A03">
              <w:rPr>
                <w:color w:val="002060"/>
                <w:sz w:val="18"/>
                <w:lang w:val="sr-Cyrl-CS"/>
              </w:rPr>
              <w:t>10,6</w:t>
            </w:r>
          </w:p>
        </w:tc>
        <w:tc>
          <w:tcPr>
            <w:tcW w:w="603" w:type="pct"/>
            <w:tcBorders>
              <w:top w:val="nil"/>
              <w:left w:val="nil"/>
              <w:bottom w:val="nil"/>
              <w:right w:val="nil"/>
            </w:tcBorders>
            <w:shd w:val="clear" w:color="auto" w:fill="auto"/>
            <w:noWrap/>
            <w:vAlign w:val="center"/>
          </w:tcPr>
          <w:p w14:paraId="2D933200" w14:textId="77777777" w:rsidR="00B3473E" w:rsidRPr="00F27A03" w:rsidRDefault="00B3473E" w:rsidP="00A42963">
            <w:pPr>
              <w:jc w:val="center"/>
              <w:rPr>
                <w:color w:val="002060"/>
                <w:sz w:val="18"/>
                <w:lang w:val="sr-Cyrl-CS"/>
              </w:rPr>
            </w:pPr>
            <w:r w:rsidRPr="00F27A03">
              <w:rPr>
                <w:color w:val="002060"/>
                <w:sz w:val="18"/>
                <w:lang w:val="sr-Cyrl-CS"/>
              </w:rPr>
              <w:t>5,6</w:t>
            </w:r>
          </w:p>
        </w:tc>
        <w:tc>
          <w:tcPr>
            <w:tcW w:w="600" w:type="pct"/>
            <w:tcBorders>
              <w:top w:val="nil"/>
              <w:left w:val="nil"/>
              <w:bottom w:val="nil"/>
              <w:right w:val="nil"/>
            </w:tcBorders>
            <w:shd w:val="clear" w:color="auto" w:fill="auto"/>
            <w:noWrap/>
            <w:vAlign w:val="center"/>
          </w:tcPr>
          <w:p w14:paraId="02F1F66E" w14:textId="77777777" w:rsidR="00B3473E" w:rsidRPr="00F27A03" w:rsidRDefault="00B3473E" w:rsidP="00A42963">
            <w:pPr>
              <w:jc w:val="center"/>
              <w:rPr>
                <w:color w:val="002060"/>
                <w:sz w:val="18"/>
                <w:lang w:val="sr-Cyrl-CS"/>
              </w:rPr>
            </w:pPr>
            <w:r w:rsidRPr="00F27A03">
              <w:rPr>
                <w:color w:val="002060"/>
                <w:sz w:val="18"/>
                <w:lang w:val="sr-Cyrl-CS"/>
              </w:rPr>
              <w:t>4,3</w:t>
            </w:r>
          </w:p>
        </w:tc>
      </w:tr>
      <w:tr w:rsidR="00B3473E" w:rsidRPr="00F27A03" w14:paraId="18663417" w14:textId="77777777" w:rsidTr="00A42963">
        <w:trPr>
          <w:trHeight w:val="281"/>
          <w:jc w:val="center"/>
        </w:trPr>
        <w:tc>
          <w:tcPr>
            <w:tcW w:w="2590" w:type="pct"/>
            <w:noWrap/>
            <w:vAlign w:val="center"/>
            <w:hideMark/>
          </w:tcPr>
          <w:p w14:paraId="47DC4142"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Потрошачке цене (годишњи просек)</w:t>
            </w:r>
          </w:p>
        </w:tc>
        <w:tc>
          <w:tcPr>
            <w:tcW w:w="603" w:type="pct"/>
            <w:tcBorders>
              <w:top w:val="nil"/>
              <w:left w:val="nil"/>
              <w:bottom w:val="nil"/>
              <w:right w:val="nil"/>
            </w:tcBorders>
            <w:shd w:val="clear" w:color="auto" w:fill="auto"/>
            <w:noWrap/>
            <w:vAlign w:val="center"/>
          </w:tcPr>
          <w:p w14:paraId="67C04981" w14:textId="77777777" w:rsidR="00B3473E" w:rsidRPr="00F27A03" w:rsidRDefault="00B3473E" w:rsidP="00A42963">
            <w:pPr>
              <w:jc w:val="center"/>
              <w:rPr>
                <w:color w:val="002060"/>
                <w:sz w:val="18"/>
                <w:lang w:val="sr-Cyrl-CS"/>
              </w:rPr>
            </w:pPr>
            <w:r w:rsidRPr="00F27A03">
              <w:rPr>
                <w:color w:val="002060"/>
                <w:sz w:val="18"/>
                <w:lang w:val="sr-Cyrl-CS"/>
              </w:rPr>
              <w:t>11,6</w:t>
            </w:r>
          </w:p>
        </w:tc>
        <w:tc>
          <w:tcPr>
            <w:tcW w:w="604" w:type="pct"/>
            <w:tcBorders>
              <w:top w:val="nil"/>
              <w:left w:val="nil"/>
              <w:bottom w:val="nil"/>
              <w:right w:val="nil"/>
            </w:tcBorders>
            <w:shd w:val="clear" w:color="auto" w:fill="auto"/>
            <w:noWrap/>
            <w:vAlign w:val="center"/>
          </w:tcPr>
          <w:p w14:paraId="56D0D379" w14:textId="77777777" w:rsidR="00B3473E" w:rsidRPr="00F27A03" w:rsidRDefault="00B3473E" w:rsidP="00A42963">
            <w:pPr>
              <w:jc w:val="center"/>
              <w:rPr>
                <w:color w:val="002060"/>
                <w:sz w:val="18"/>
                <w:lang w:val="sr-Cyrl-CS"/>
              </w:rPr>
            </w:pPr>
            <w:r w:rsidRPr="00F27A03">
              <w:rPr>
                <w:color w:val="002060"/>
                <w:sz w:val="18"/>
                <w:lang w:val="sr-Cyrl-CS"/>
              </w:rPr>
              <w:t>11,1</w:t>
            </w:r>
          </w:p>
        </w:tc>
        <w:tc>
          <w:tcPr>
            <w:tcW w:w="603" w:type="pct"/>
            <w:tcBorders>
              <w:top w:val="nil"/>
              <w:left w:val="nil"/>
              <w:bottom w:val="nil"/>
              <w:right w:val="nil"/>
            </w:tcBorders>
            <w:shd w:val="clear" w:color="auto" w:fill="auto"/>
            <w:noWrap/>
            <w:vAlign w:val="center"/>
          </w:tcPr>
          <w:p w14:paraId="244D9B3B" w14:textId="77777777" w:rsidR="00B3473E" w:rsidRPr="00F27A03" w:rsidRDefault="00B3473E" w:rsidP="00A42963">
            <w:pPr>
              <w:jc w:val="center"/>
              <w:rPr>
                <w:color w:val="002060"/>
                <w:sz w:val="18"/>
                <w:lang w:val="sr-Cyrl-CS"/>
              </w:rPr>
            </w:pPr>
            <w:r w:rsidRPr="00F27A03">
              <w:rPr>
                <w:color w:val="002060"/>
                <w:sz w:val="18"/>
                <w:lang w:val="sr-Cyrl-CS"/>
              </w:rPr>
              <w:t>5,0</w:t>
            </w:r>
          </w:p>
        </w:tc>
        <w:tc>
          <w:tcPr>
            <w:tcW w:w="600" w:type="pct"/>
            <w:tcBorders>
              <w:top w:val="nil"/>
              <w:left w:val="nil"/>
              <w:bottom w:val="nil"/>
              <w:right w:val="nil"/>
            </w:tcBorders>
            <w:shd w:val="clear" w:color="auto" w:fill="auto"/>
            <w:noWrap/>
            <w:vAlign w:val="center"/>
          </w:tcPr>
          <w:p w14:paraId="5048EAD8" w14:textId="77777777" w:rsidR="00B3473E" w:rsidRPr="00F27A03" w:rsidRDefault="00B3473E" w:rsidP="00A42963">
            <w:pPr>
              <w:jc w:val="center"/>
              <w:rPr>
                <w:color w:val="002060"/>
                <w:sz w:val="18"/>
                <w:lang w:val="sr-Cyrl-CS"/>
              </w:rPr>
            </w:pPr>
            <w:r w:rsidRPr="00F27A03">
              <w:rPr>
                <w:color w:val="002060"/>
                <w:sz w:val="18"/>
                <w:lang w:val="sr-Cyrl-CS"/>
              </w:rPr>
              <w:t>3,5</w:t>
            </w:r>
          </w:p>
        </w:tc>
      </w:tr>
      <w:tr w:rsidR="00B3473E" w:rsidRPr="00F27A03" w14:paraId="747F9D23" w14:textId="77777777" w:rsidTr="00A42963">
        <w:trPr>
          <w:trHeight w:val="281"/>
          <w:jc w:val="center"/>
        </w:trPr>
        <w:tc>
          <w:tcPr>
            <w:tcW w:w="2590" w:type="pct"/>
            <w:shd w:val="clear" w:color="auto" w:fill="E7E6E6" w:themeFill="background2"/>
            <w:noWrap/>
            <w:vAlign w:val="center"/>
            <w:hideMark/>
          </w:tcPr>
          <w:p w14:paraId="23E9251B" w14:textId="77777777" w:rsidR="00B3473E" w:rsidRPr="00F27A03" w:rsidRDefault="00B3473E" w:rsidP="00953528">
            <w:pPr>
              <w:jc w:val="left"/>
              <w:rPr>
                <w:rFonts w:eastAsia="Calibri" w:cstheme="minorHAnsi"/>
                <w:bCs/>
                <w:iCs/>
                <w:color w:val="002060"/>
                <w:sz w:val="18"/>
                <w:szCs w:val="18"/>
                <w:lang w:val="sr-Cyrl-CS"/>
              </w:rPr>
            </w:pPr>
            <w:r w:rsidRPr="00F27A03">
              <w:rPr>
                <w:rFonts w:eastAsia="Calibri" w:cstheme="minorHAnsi"/>
                <w:iCs/>
                <w:color w:val="002060"/>
                <w:sz w:val="18"/>
                <w:szCs w:val="18"/>
                <w:lang w:val="sr-Cyrl-CS"/>
              </w:rPr>
              <w:t>Кретања у спољном сектору, % БДП</w:t>
            </w:r>
          </w:p>
        </w:tc>
        <w:tc>
          <w:tcPr>
            <w:tcW w:w="603" w:type="pct"/>
            <w:shd w:val="clear" w:color="auto" w:fill="E7E6E6" w:themeFill="background2"/>
            <w:noWrap/>
            <w:vAlign w:val="center"/>
          </w:tcPr>
          <w:p w14:paraId="424152FA" w14:textId="77777777" w:rsidR="00B3473E" w:rsidRPr="00F27A03" w:rsidRDefault="00B3473E" w:rsidP="00A42963">
            <w:pPr>
              <w:jc w:val="center"/>
              <w:rPr>
                <w:rFonts w:eastAsia="Calibri" w:cstheme="minorHAnsi"/>
                <w:color w:val="002060"/>
                <w:sz w:val="18"/>
                <w:szCs w:val="18"/>
                <w:lang w:val="sr-Cyrl-CS"/>
              </w:rPr>
            </w:pPr>
          </w:p>
        </w:tc>
        <w:tc>
          <w:tcPr>
            <w:tcW w:w="604" w:type="pct"/>
            <w:shd w:val="clear" w:color="auto" w:fill="E7E6E6" w:themeFill="background2"/>
            <w:noWrap/>
            <w:vAlign w:val="center"/>
          </w:tcPr>
          <w:p w14:paraId="5F191650" w14:textId="77777777" w:rsidR="00B3473E" w:rsidRPr="00F27A03" w:rsidRDefault="00B3473E" w:rsidP="00A42963">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6079DE91" w14:textId="77777777" w:rsidR="00B3473E" w:rsidRPr="00F27A03" w:rsidRDefault="00B3473E" w:rsidP="00A42963">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3E5C42E8" w14:textId="77777777" w:rsidR="00B3473E" w:rsidRPr="00F27A03" w:rsidRDefault="00B3473E" w:rsidP="00A42963">
            <w:pPr>
              <w:jc w:val="center"/>
              <w:rPr>
                <w:rFonts w:eastAsia="Calibri" w:cstheme="minorHAnsi"/>
                <w:color w:val="002060"/>
                <w:sz w:val="18"/>
                <w:szCs w:val="18"/>
                <w:lang w:val="sr-Cyrl-CS"/>
              </w:rPr>
            </w:pPr>
          </w:p>
        </w:tc>
      </w:tr>
      <w:tr w:rsidR="00B3473E" w:rsidRPr="00F27A03" w14:paraId="310F14DD" w14:textId="77777777" w:rsidTr="00A42963">
        <w:trPr>
          <w:trHeight w:val="281"/>
          <w:jc w:val="center"/>
        </w:trPr>
        <w:tc>
          <w:tcPr>
            <w:tcW w:w="2590" w:type="pct"/>
            <w:noWrap/>
            <w:vAlign w:val="center"/>
            <w:hideMark/>
          </w:tcPr>
          <w:p w14:paraId="5EBC4644"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Салдо роба и услуга</w:t>
            </w:r>
          </w:p>
        </w:tc>
        <w:tc>
          <w:tcPr>
            <w:tcW w:w="603" w:type="pct"/>
            <w:tcBorders>
              <w:top w:val="nil"/>
              <w:left w:val="nil"/>
              <w:bottom w:val="nil"/>
              <w:right w:val="nil"/>
            </w:tcBorders>
            <w:shd w:val="clear" w:color="auto" w:fill="auto"/>
            <w:noWrap/>
            <w:vAlign w:val="center"/>
          </w:tcPr>
          <w:p w14:paraId="77E096F6" w14:textId="77777777" w:rsidR="00B3473E" w:rsidRPr="00F27A03" w:rsidRDefault="00B3473E" w:rsidP="00A42963">
            <w:pPr>
              <w:jc w:val="center"/>
              <w:rPr>
                <w:color w:val="002060"/>
                <w:sz w:val="18"/>
                <w:lang w:val="sr-Cyrl-CS"/>
              </w:rPr>
            </w:pPr>
            <w:r w:rsidRPr="00F27A03">
              <w:rPr>
                <w:color w:val="002060"/>
                <w:sz w:val="18"/>
                <w:lang w:val="sr-Cyrl-CS"/>
              </w:rPr>
              <w:t>-12,2</w:t>
            </w:r>
          </w:p>
        </w:tc>
        <w:tc>
          <w:tcPr>
            <w:tcW w:w="604" w:type="pct"/>
            <w:tcBorders>
              <w:top w:val="nil"/>
              <w:left w:val="nil"/>
              <w:bottom w:val="nil"/>
              <w:right w:val="nil"/>
            </w:tcBorders>
            <w:shd w:val="clear" w:color="auto" w:fill="auto"/>
            <w:noWrap/>
            <w:vAlign w:val="center"/>
          </w:tcPr>
          <w:p w14:paraId="7E0C49A8" w14:textId="77777777" w:rsidR="00B3473E" w:rsidRPr="00F27A03" w:rsidRDefault="00B3473E" w:rsidP="00A42963">
            <w:pPr>
              <w:jc w:val="center"/>
              <w:rPr>
                <w:color w:val="002060"/>
                <w:sz w:val="18"/>
                <w:lang w:val="sr-Cyrl-CS"/>
              </w:rPr>
            </w:pPr>
            <w:r w:rsidRPr="00F27A03">
              <w:rPr>
                <w:color w:val="002060"/>
                <w:sz w:val="18"/>
                <w:lang w:val="sr-Cyrl-CS"/>
              </w:rPr>
              <w:t>-10,9</w:t>
            </w:r>
          </w:p>
        </w:tc>
        <w:tc>
          <w:tcPr>
            <w:tcW w:w="603" w:type="pct"/>
            <w:tcBorders>
              <w:top w:val="nil"/>
              <w:left w:val="nil"/>
              <w:bottom w:val="nil"/>
              <w:right w:val="nil"/>
            </w:tcBorders>
            <w:shd w:val="clear" w:color="auto" w:fill="auto"/>
            <w:noWrap/>
            <w:vAlign w:val="center"/>
          </w:tcPr>
          <w:p w14:paraId="3872C09F" w14:textId="77777777" w:rsidR="00B3473E" w:rsidRPr="00F27A03" w:rsidRDefault="00B3473E" w:rsidP="00A42963">
            <w:pPr>
              <w:jc w:val="center"/>
              <w:rPr>
                <w:color w:val="002060"/>
                <w:sz w:val="18"/>
                <w:lang w:val="sr-Cyrl-CS"/>
              </w:rPr>
            </w:pPr>
            <w:r w:rsidRPr="00F27A03">
              <w:rPr>
                <w:color w:val="002060"/>
                <w:sz w:val="18"/>
                <w:lang w:val="sr-Cyrl-CS"/>
              </w:rPr>
              <w:t>-9,4</w:t>
            </w:r>
          </w:p>
        </w:tc>
        <w:tc>
          <w:tcPr>
            <w:tcW w:w="600" w:type="pct"/>
            <w:tcBorders>
              <w:top w:val="nil"/>
              <w:left w:val="nil"/>
              <w:bottom w:val="nil"/>
              <w:right w:val="nil"/>
            </w:tcBorders>
            <w:shd w:val="clear" w:color="auto" w:fill="auto"/>
            <w:noWrap/>
            <w:vAlign w:val="center"/>
          </w:tcPr>
          <w:p w14:paraId="255460B7" w14:textId="77777777" w:rsidR="00B3473E" w:rsidRPr="00F27A03" w:rsidRDefault="00B3473E" w:rsidP="00A42963">
            <w:pPr>
              <w:jc w:val="center"/>
              <w:rPr>
                <w:color w:val="002060"/>
                <w:sz w:val="18"/>
                <w:lang w:val="sr-Cyrl-CS"/>
              </w:rPr>
            </w:pPr>
            <w:r w:rsidRPr="00F27A03">
              <w:rPr>
                <w:color w:val="002060"/>
                <w:sz w:val="18"/>
                <w:lang w:val="sr-Cyrl-CS"/>
              </w:rPr>
              <w:t>-8,4</w:t>
            </w:r>
          </w:p>
        </w:tc>
      </w:tr>
      <w:tr w:rsidR="00B3473E" w:rsidRPr="00F27A03" w14:paraId="00278245" w14:textId="77777777" w:rsidTr="00A42963">
        <w:trPr>
          <w:trHeight w:val="281"/>
          <w:jc w:val="center"/>
        </w:trPr>
        <w:tc>
          <w:tcPr>
            <w:tcW w:w="2590" w:type="pct"/>
            <w:noWrap/>
            <w:vAlign w:val="center"/>
            <w:hideMark/>
          </w:tcPr>
          <w:p w14:paraId="2AA02798" w14:textId="77777777" w:rsidR="00B3473E" w:rsidRPr="00F27A03" w:rsidRDefault="00B3473E" w:rsidP="00A42963">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Салдо текућег рачуна</w:t>
            </w:r>
          </w:p>
        </w:tc>
        <w:tc>
          <w:tcPr>
            <w:tcW w:w="603" w:type="pct"/>
            <w:tcBorders>
              <w:top w:val="nil"/>
              <w:left w:val="nil"/>
              <w:bottom w:val="nil"/>
              <w:right w:val="nil"/>
            </w:tcBorders>
            <w:shd w:val="clear" w:color="auto" w:fill="auto"/>
            <w:noWrap/>
            <w:vAlign w:val="center"/>
          </w:tcPr>
          <w:p w14:paraId="5D1BCCBB" w14:textId="77777777" w:rsidR="00B3473E" w:rsidRPr="00F27A03" w:rsidRDefault="00B3473E" w:rsidP="00A42963">
            <w:pPr>
              <w:jc w:val="center"/>
              <w:rPr>
                <w:color w:val="002060"/>
                <w:sz w:val="18"/>
                <w:lang w:val="sr-Cyrl-CS"/>
              </w:rPr>
            </w:pPr>
            <w:r w:rsidRPr="00F27A03">
              <w:rPr>
                <w:color w:val="002060"/>
                <w:sz w:val="18"/>
                <w:lang w:val="sr-Cyrl-CS"/>
              </w:rPr>
              <w:t>-9,0</w:t>
            </w:r>
          </w:p>
        </w:tc>
        <w:tc>
          <w:tcPr>
            <w:tcW w:w="604" w:type="pct"/>
            <w:tcBorders>
              <w:top w:val="nil"/>
              <w:left w:val="nil"/>
              <w:bottom w:val="nil"/>
              <w:right w:val="nil"/>
            </w:tcBorders>
            <w:shd w:val="clear" w:color="auto" w:fill="auto"/>
            <w:noWrap/>
            <w:vAlign w:val="center"/>
          </w:tcPr>
          <w:p w14:paraId="0E8A0BF6" w14:textId="77777777" w:rsidR="00B3473E" w:rsidRPr="00F27A03" w:rsidRDefault="00B3473E" w:rsidP="00A42963">
            <w:pPr>
              <w:jc w:val="center"/>
              <w:rPr>
                <w:color w:val="002060"/>
                <w:sz w:val="18"/>
                <w:lang w:val="sr-Cyrl-CS"/>
              </w:rPr>
            </w:pPr>
            <w:r w:rsidRPr="00F27A03">
              <w:rPr>
                <w:color w:val="002060"/>
                <w:sz w:val="18"/>
                <w:lang w:val="sr-Cyrl-CS"/>
              </w:rPr>
              <w:t>-8,5</w:t>
            </w:r>
          </w:p>
        </w:tc>
        <w:tc>
          <w:tcPr>
            <w:tcW w:w="603" w:type="pct"/>
            <w:tcBorders>
              <w:top w:val="nil"/>
              <w:left w:val="nil"/>
              <w:bottom w:val="nil"/>
              <w:right w:val="nil"/>
            </w:tcBorders>
            <w:shd w:val="clear" w:color="auto" w:fill="auto"/>
            <w:noWrap/>
            <w:vAlign w:val="center"/>
          </w:tcPr>
          <w:p w14:paraId="60F990AA" w14:textId="77777777" w:rsidR="00B3473E" w:rsidRPr="00F27A03" w:rsidRDefault="00B3473E" w:rsidP="00A42963">
            <w:pPr>
              <w:jc w:val="center"/>
              <w:rPr>
                <w:color w:val="002060"/>
                <w:sz w:val="18"/>
                <w:lang w:val="sr-Cyrl-CS"/>
              </w:rPr>
            </w:pPr>
            <w:r w:rsidRPr="00F27A03">
              <w:rPr>
                <w:color w:val="002060"/>
                <w:sz w:val="18"/>
                <w:lang w:val="sr-Cyrl-CS"/>
              </w:rPr>
              <w:t>-6,7</w:t>
            </w:r>
          </w:p>
        </w:tc>
        <w:tc>
          <w:tcPr>
            <w:tcW w:w="600" w:type="pct"/>
            <w:tcBorders>
              <w:top w:val="nil"/>
              <w:left w:val="nil"/>
              <w:bottom w:val="nil"/>
              <w:right w:val="nil"/>
            </w:tcBorders>
            <w:shd w:val="clear" w:color="auto" w:fill="auto"/>
            <w:noWrap/>
            <w:vAlign w:val="center"/>
          </w:tcPr>
          <w:p w14:paraId="612FC1B7" w14:textId="77777777" w:rsidR="00B3473E" w:rsidRPr="00F27A03" w:rsidRDefault="00B3473E" w:rsidP="00A42963">
            <w:pPr>
              <w:jc w:val="center"/>
              <w:rPr>
                <w:color w:val="002060"/>
                <w:sz w:val="18"/>
                <w:lang w:val="sr-Cyrl-CS"/>
              </w:rPr>
            </w:pPr>
            <w:r w:rsidRPr="00F27A03">
              <w:rPr>
                <w:color w:val="002060"/>
                <w:sz w:val="18"/>
                <w:lang w:val="sr-Cyrl-CS"/>
              </w:rPr>
              <w:t>-6,0</w:t>
            </w:r>
          </w:p>
        </w:tc>
      </w:tr>
      <w:tr w:rsidR="00B3473E" w:rsidRPr="00F27A03" w14:paraId="690DC52F" w14:textId="77777777" w:rsidTr="00A42963">
        <w:trPr>
          <w:trHeight w:val="283"/>
          <w:jc w:val="center"/>
        </w:trPr>
        <w:tc>
          <w:tcPr>
            <w:tcW w:w="2590" w:type="pct"/>
            <w:shd w:val="clear" w:color="auto" w:fill="E7E6E6" w:themeFill="background2"/>
            <w:noWrap/>
            <w:vAlign w:val="center"/>
            <w:hideMark/>
          </w:tcPr>
          <w:p w14:paraId="06BD3D0E" w14:textId="77777777" w:rsidR="00B3473E" w:rsidRPr="00F27A03" w:rsidRDefault="00B3473E" w:rsidP="00953528">
            <w:pPr>
              <w:jc w:val="left"/>
              <w:rPr>
                <w:rFonts w:eastAsia="Calibri" w:cstheme="minorHAnsi"/>
                <w:bCs/>
                <w:iCs/>
                <w:color w:val="002060"/>
                <w:sz w:val="18"/>
                <w:szCs w:val="18"/>
                <w:lang w:val="sr-Cyrl-CS"/>
              </w:rPr>
            </w:pPr>
            <w:r w:rsidRPr="00F27A03">
              <w:rPr>
                <w:rFonts w:eastAsia="Calibri" w:cstheme="minorHAnsi"/>
                <w:iCs/>
                <w:color w:val="002060"/>
                <w:sz w:val="18"/>
                <w:szCs w:val="18"/>
                <w:lang w:val="sr-Cyrl-CS"/>
              </w:rPr>
              <w:t>Фискални индикатори, % БДП</w:t>
            </w:r>
          </w:p>
        </w:tc>
        <w:tc>
          <w:tcPr>
            <w:tcW w:w="603" w:type="pct"/>
            <w:shd w:val="clear" w:color="auto" w:fill="E7E6E6" w:themeFill="background2"/>
            <w:noWrap/>
            <w:vAlign w:val="center"/>
          </w:tcPr>
          <w:p w14:paraId="24DBE71B" w14:textId="77777777" w:rsidR="00B3473E" w:rsidRPr="00F27A03" w:rsidRDefault="00B3473E" w:rsidP="00A42963">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233DAE53" w14:textId="77777777" w:rsidR="00B3473E" w:rsidRPr="00F27A03" w:rsidRDefault="00B3473E" w:rsidP="00A42963">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1055613D" w14:textId="77777777" w:rsidR="00B3473E" w:rsidRPr="00F27A03" w:rsidRDefault="00B3473E" w:rsidP="00A42963">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36800A09" w14:textId="77777777" w:rsidR="00B3473E" w:rsidRPr="00F27A03" w:rsidRDefault="00B3473E" w:rsidP="00A42963">
            <w:pPr>
              <w:jc w:val="center"/>
              <w:rPr>
                <w:rFonts w:eastAsia="Calibri" w:cstheme="minorHAnsi"/>
                <w:color w:val="002060"/>
                <w:sz w:val="18"/>
                <w:szCs w:val="18"/>
                <w:lang w:val="sr-Cyrl-CS"/>
              </w:rPr>
            </w:pPr>
          </w:p>
        </w:tc>
      </w:tr>
      <w:tr w:rsidR="00B3473E" w:rsidRPr="00F27A03" w14:paraId="2C59389D" w14:textId="77777777" w:rsidTr="00A42963">
        <w:trPr>
          <w:trHeight w:val="281"/>
          <w:jc w:val="center"/>
        </w:trPr>
        <w:tc>
          <w:tcPr>
            <w:tcW w:w="2590" w:type="pct"/>
            <w:noWrap/>
            <w:vAlign w:val="center"/>
            <w:hideMark/>
          </w:tcPr>
          <w:p w14:paraId="5052905D" w14:textId="77777777" w:rsidR="00B3473E" w:rsidRPr="00F27A03" w:rsidRDefault="00B3473E" w:rsidP="00953528">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Фискални резултат опште државе</w:t>
            </w:r>
          </w:p>
        </w:tc>
        <w:tc>
          <w:tcPr>
            <w:tcW w:w="603" w:type="pct"/>
            <w:shd w:val="clear" w:color="auto" w:fill="auto"/>
            <w:noWrap/>
            <w:vAlign w:val="center"/>
          </w:tcPr>
          <w:p w14:paraId="0A791608" w14:textId="77777777" w:rsidR="00B3473E" w:rsidRPr="00F27A03" w:rsidRDefault="00B3473E" w:rsidP="00A42963">
            <w:pPr>
              <w:jc w:val="center"/>
              <w:rPr>
                <w:color w:val="002060"/>
                <w:sz w:val="18"/>
                <w:lang w:val="sr-Cyrl-CS"/>
              </w:rPr>
            </w:pPr>
            <w:r w:rsidRPr="00F27A03">
              <w:rPr>
                <w:color w:val="002060"/>
                <w:sz w:val="18"/>
                <w:lang w:val="sr-Cyrl-CS"/>
              </w:rPr>
              <w:t>-3,8</w:t>
            </w:r>
          </w:p>
        </w:tc>
        <w:tc>
          <w:tcPr>
            <w:tcW w:w="604" w:type="pct"/>
            <w:shd w:val="clear" w:color="auto" w:fill="auto"/>
            <w:noWrap/>
            <w:vAlign w:val="center"/>
          </w:tcPr>
          <w:p w14:paraId="624EE701" w14:textId="77777777" w:rsidR="00B3473E" w:rsidRPr="00F27A03" w:rsidRDefault="00B3473E" w:rsidP="00A42963">
            <w:pPr>
              <w:jc w:val="center"/>
              <w:rPr>
                <w:color w:val="002060"/>
                <w:sz w:val="18"/>
                <w:lang w:val="sr-Cyrl-CS"/>
              </w:rPr>
            </w:pPr>
            <w:r w:rsidRPr="00F27A03">
              <w:rPr>
                <w:color w:val="002060"/>
                <w:sz w:val="18"/>
                <w:lang w:val="sr-Cyrl-CS"/>
              </w:rPr>
              <w:t>-3,3</w:t>
            </w:r>
          </w:p>
        </w:tc>
        <w:tc>
          <w:tcPr>
            <w:tcW w:w="603" w:type="pct"/>
            <w:shd w:val="clear" w:color="auto" w:fill="auto"/>
            <w:noWrap/>
            <w:vAlign w:val="center"/>
          </w:tcPr>
          <w:p w14:paraId="0800F0C0" w14:textId="77777777" w:rsidR="00B3473E" w:rsidRPr="00F27A03" w:rsidRDefault="00B3473E" w:rsidP="00A42963">
            <w:pPr>
              <w:jc w:val="center"/>
              <w:rPr>
                <w:color w:val="002060"/>
                <w:sz w:val="18"/>
                <w:lang w:val="sr-Cyrl-CS"/>
              </w:rPr>
            </w:pPr>
            <w:r w:rsidRPr="00F27A03">
              <w:rPr>
                <w:color w:val="002060"/>
                <w:sz w:val="18"/>
                <w:lang w:val="sr-Cyrl-CS"/>
              </w:rPr>
              <w:t>-2,2</w:t>
            </w:r>
          </w:p>
        </w:tc>
        <w:tc>
          <w:tcPr>
            <w:tcW w:w="600" w:type="pct"/>
            <w:shd w:val="clear" w:color="auto" w:fill="auto"/>
            <w:noWrap/>
            <w:vAlign w:val="center"/>
          </w:tcPr>
          <w:p w14:paraId="2720B1FF" w14:textId="77777777" w:rsidR="00B3473E" w:rsidRPr="00F27A03" w:rsidRDefault="00B3473E" w:rsidP="00A42963">
            <w:pPr>
              <w:jc w:val="center"/>
              <w:rPr>
                <w:color w:val="002060"/>
                <w:sz w:val="18"/>
                <w:lang w:val="sr-Cyrl-CS"/>
              </w:rPr>
            </w:pPr>
            <w:r w:rsidRPr="00F27A03">
              <w:rPr>
                <w:color w:val="002060"/>
                <w:sz w:val="18"/>
                <w:lang w:val="sr-Cyrl-CS"/>
              </w:rPr>
              <w:t>-1,4</w:t>
            </w:r>
          </w:p>
        </w:tc>
      </w:tr>
      <w:tr w:rsidR="00B3473E" w:rsidRPr="00F27A03" w14:paraId="5C4D4D5E" w14:textId="77777777" w:rsidTr="00A42963">
        <w:trPr>
          <w:trHeight w:val="281"/>
          <w:jc w:val="center"/>
        </w:trPr>
        <w:tc>
          <w:tcPr>
            <w:tcW w:w="2590" w:type="pct"/>
            <w:noWrap/>
            <w:vAlign w:val="center"/>
            <w:hideMark/>
          </w:tcPr>
          <w:p w14:paraId="75DDA29E" w14:textId="77777777" w:rsidR="00B3473E" w:rsidRPr="00F27A03" w:rsidRDefault="00B3473E" w:rsidP="00953528">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Консолидовани приходи</w:t>
            </w:r>
          </w:p>
        </w:tc>
        <w:tc>
          <w:tcPr>
            <w:tcW w:w="603" w:type="pct"/>
            <w:shd w:val="clear" w:color="auto" w:fill="auto"/>
            <w:noWrap/>
            <w:vAlign w:val="center"/>
          </w:tcPr>
          <w:p w14:paraId="52B48175" w14:textId="77777777" w:rsidR="00B3473E" w:rsidRPr="00F27A03" w:rsidRDefault="00B3473E" w:rsidP="00A42963">
            <w:pPr>
              <w:jc w:val="center"/>
              <w:rPr>
                <w:color w:val="002060"/>
                <w:sz w:val="18"/>
                <w:lang w:val="sr-Cyrl-CS"/>
              </w:rPr>
            </w:pPr>
            <w:r w:rsidRPr="00F27A03">
              <w:rPr>
                <w:color w:val="002060"/>
                <w:sz w:val="18"/>
                <w:lang w:val="sr-Cyrl-CS"/>
              </w:rPr>
              <w:t>43,0</w:t>
            </w:r>
          </w:p>
        </w:tc>
        <w:tc>
          <w:tcPr>
            <w:tcW w:w="604" w:type="pct"/>
            <w:shd w:val="clear" w:color="auto" w:fill="auto"/>
            <w:noWrap/>
            <w:vAlign w:val="center"/>
          </w:tcPr>
          <w:p w14:paraId="71D73B4B" w14:textId="77777777" w:rsidR="00B3473E" w:rsidRPr="00F27A03" w:rsidRDefault="00B3473E" w:rsidP="00A42963">
            <w:pPr>
              <w:jc w:val="center"/>
              <w:rPr>
                <w:color w:val="002060"/>
                <w:sz w:val="18"/>
                <w:lang w:val="sr-Cyrl-CS"/>
              </w:rPr>
            </w:pPr>
            <w:r w:rsidRPr="00F27A03">
              <w:rPr>
                <w:color w:val="002060"/>
                <w:sz w:val="18"/>
                <w:lang w:val="sr-Cyrl-CS"/>
              </w:rPr>
              <w:t>40,8</w:t>
            </w:r>
          </w:p>
        </w:tc>
        <w:tc>
          <w:tcPr>
            <w:tcW w:w="603" w:type="pct"/>
            <w:shd w:val="clear" w:color="auto" w:fill="auto"/>
            <w:noWrap/>
            <w:vAlign w:val="center"/>
          </w:tcPr>
          <w:p w14:paraId="690AAB9F" w14:textId="77777777" w:rsidR="00B3473E" w:rsidRPr="00F27A03" w:rsidRDefault="00B3473E" w:rsidP="00A42963">
            <w:pPr>
              <w:jc w:val="center"/>
              <w:rPr>
                <w:color w:val="002060"/>
                <w:sz w:val="18"/>
                <w:lang w:val="sr-Cyrl-CS"/>
              </w:rPr>
            </w:pPr>
            <w:r w:rsidRPr="00F27A03">
              <w:rPr>
                <w:color w:val="002060"/>
                <w:sz w:val="18"/>
                <w:lang w:val="sr-Cyrl-CS"/>
              </w:rPr>
              <w:t>40,3</w:t>
            </w:r>
          </w:p>
        </w:tc>
        <w:tc>
          <w:tcPr>
            <w:tcW w:w="600" w:type="pct"/>
            <w:shd w:val="clear" w:color="auto" w:fill="auto"/>
            <w:noWrap/>
            <w:vAlign w:val="center"/>
          </w:tcPr>
          <w:p w14:paraId="5966EADF" w14:textId="77777777" w:rsidR="00B3473E" w:rsidRPr="00F27A03" w:rsidRDefault="00B3473E" w:rsidP="00A42963">
            <w:pPr>
              <w:jc w:val="center"/>
              <w:rPr>
                <w:color w:val="002060"/>
                <w:sz w:val="18"/>
                <w:lang w:val="sr-Cyrl-CS"/>
              </w:rPr>
            </w:pPr>
            <w:r w:rsidRPr="00F27A03">
              <w:rPr>
                <w:color w:val="002060"/>
                <w:sz w:val="18"/>
                <w:lang w:val="sr-Cyrl-CS"/>
              </w:rPr>
              <w:t>39,6</w:t>
            </w:r>
          </w:p>
        </w:tc>
      </w:tr>
      <w:tr w:rsidR="00B3473E" w:rsidRPr="00F27A03" w14:paraId="4285CADD" w14:textId="77777777" w:rsidTr="00A42963">
        <w:trPr>
          <w:trHeight w:val="281"/>
          <w:jc w:val="center"/>
        </w:trPr>
        <w:tc>
          <w:tcPr>
            <w:tcW w:w="2590" w:type="pct"/>
            <w:noWrap/>
            <w:vAlign w:val="center"/>
            <w:hideMark/>
          </w:tcPr>
          <w:p w14:paraId="1C9DFF9E" w14:textId="77777777" w:rsidR="00B3473E" w:rsidRPr="00F27A03" w:rsidRDefault="00B3473E" w:rsidP="00953528">
            <w:pPr>
              <w:ind w:left="113"/>
              <w:jc w:val="left"/>
              <w:rPr>
                <w:rFonts w:eastAsia="Calibri" w:cstheme="minorHAnsi"/>
                <w:color w:val="002060"/>
                <w:sz w:val="18"/>
                <w:szCs w:val="18"/>
                <w:lang w:val="sr-Cyrl-CS"/>
              </w:rPr>
            </w:pPr>
            <w:r w:rsidRPr="00F27A03">
              <w:rPr>
                <w:rFonts w:eastAsia="Calibri" w:cstheme="minorHAnsi"/>
                <w:color w:val="002060"/>
                <w:sz w:val="18"/>
                <w:szCs w:val="18"/>
                <w:lang w:val="sr-Cyrl-CS"/>
              </w:rPr>
              <w:t>Консолидовани расходи</w:t>
            </w:r>
          </w:p>
        </w:tc>
        <w:tc>
          <w:tcPr>
            <w:tcW w:w="603" w:type="pct"/>
            <w:shd w:val="clear" w:color="auto" w:fill="auto"/>
            <w:noWrap/>
            <w:vAlign w:val="center"/>
          </w:tcPr>
          <w:p w14:paraId="74641C86" w14:textId="77777777" w:rsidR="00B3473E" w:rsidRPr="00F27A03" w:rsidRDefault="00B3473E" w:rsidP="00A42963">
            <w:pPr>
              <w:jc w:val="center"/>
              <w:rPr>
                <w:color w:val="002060"/>
                <w:sz w:val="18"/>
                <w:lang w:val="sr-Cyrl-CS"/>
              </w:rPr>
            </w:pPr>
            <w:r w:rsidRPr="00F27A03">
              <w:rPr>
                <w:color w:val="002060"/>
                <w:sz w:val="18"/>
                <w:lang w:val="sr-Cyrl-CS"/>
              </w:rPr>
              <w:t>46,8</w:t>
            </w:r>
          </w:p>
        </w:tc>
        <w:tc>
          <w:tcPr>
            <w:tcW w:w="604" w:type="pct"/>
            <w:shd w:val="clear" w:color="auto" w:fill="auto"/>
            <w:noWrap/>
            <w:vAlign w:val="center"/>
          </w:tcPr>
          <w:p w14:paraId="3FA72F80" w14:textId="77777777" w:rsidR="00B3473E" w:rsidRPr="00F27A03" w:rsidRDefault="00B3473E" w:rsidP="00A42963">
            <w:pPr>
              <w:jc w:val="center"/>
              <w:rPr>
                <w:color w:val="002060"/>
                <w:sz w:val="18"/>
                <w:lang w:val="sr-Cyrl-CS"/>
              </w:rPr>
            </w:pPr>
            <w:r w:rsidRPr="00F27A03">
              <w:rPr>
                <w:color w:val="002060"/>
                <w:sz w:val="18"/>
                <w:lang w:val="sr-Cyrl-CS"/>
              </w:rPr>
              <w:t>44,1</w:t>
            </w:r>
          </w:p>
        </w:tc>
        <w:tc>
          <w:tcPr>
            <w:tcW w:w="603" w:type="pct"/>
            <w:shd w:val="clear" w:color="auto" w:fill="auto"/>
            <w:noWrap/>
            <w:vAlign w:val="center"/>
          </w:tcPr>
          <w:p w14:paraId="0BD60DDB" w14:textId="77777777" w:rsidR="00B3473E" w:rsidRPr="00F27A03" w:rsidRDefault="00B3473E" w:rsidP="00A42963">
            <w:pPr>
              <w:jc w:val="center"/>
              <w:rPr>
                <w:color w:val="002060"/>
                <w:sz w:val="18"/>
                <w:lang w:val="sr-Cyrl-CS"/>
              </w:rPr>
            </w:pPr>
            <w:r w:rsidRPr="00F27A03">
              <w:rPr>
                <w:color w:val="002060"/>
                <w:sz w:val="18"/>
                <w:lang w:val="sr-Cyrl-CS"/>
              </w:rPr>
              <w:t>42,5</w:t>
            </w:r>
          </w:p>
        </w:tc>
        <w:tc>
          <w:tcPr>
            <w:tcW w:w="600" w:type="pct"/>
            <w:shd w:val="clear" w:color="auto" w:fill="auto"/>
            <w:noWrap/>
            <w:vAlign w:val="center"/>
          </w:tcPr>
          <w:p w14:paraId="2DDE418F" w14:textId="77777777" w:rsidR="00B3473E" w:rsidRPr="00F27A03" w:rsidRDefault="00B3473E" w:rsidP="00A42963">
            <w:pPr>
              <w:jc w:val="center"/>
              <w:rPr>
                <w:color w:val="002060"/>
                <w:sz w:val="18"/>
                <w:lang w:val="sr-Cyrl-CS"/>
              </w:rPr>
            </w:pPr>
            <w:r w:rsidRPr="00F27A03">
              <w:rPr>
                <w:color w:val="002060"/>
                <w:sz w:val="18"/>
                <w:lang w:val="sr-Cyrl-CS"/>
              </w:rPr>
              <w:t>41,0</w:t>
            </w:r>
          </w:p>
        </w:tc>
      </w:tr>
      <w:tr w:rsidR="00B3473E" w:rsidRPr="00F27A03" w14:paraId="6FB0CA87" w14:textId="77777777" w:rsidTr="00A42963">
        <w:trPr>
          <w:trHeight w:val="281"/>
          <w:jc w:val="center"/>
        </w:trPr>
        <w:tc>
          <w:tcPr>
            <w:tcW w:w="2590" w:type="pct"/>
            <w:tcBorders>
              <w:bottom w:val="single" w:sz="4" w:space="0" w:color="002060"/>
            </w:tcBorders>
            <w:noWrap/>
            <w:vAlign w:val="center"/>
            <w:hideMark/>
          </w:tcPr>
          <w:p w14:paraId="21C457CE" w14:textId="77777777" w:rsidR="00B3473E" w:rsidRPr="00F27A03" w:rsidRDefault="00B3473E" w:rsidP="00953528">
            <w:pPr>
              <w:ind w:left="113"/>
              <w:jc w:val="left"/>
              <w:rPr>
                <w:rFonts w:eastAsia="Calibri" w:cstheme="minorHAnsi"/>
                <w:bCs/>
                <w:color w:val="002060"/>
                <w:sz w:val="18"/>
                <w:szCs w:val="18"/>
                <w:lang w:val="sr-Cyrl-CS"/>
              </w:rPr>
            </w:pPr>
            <w:r w:rsidRPr="00F27A03">
              <w:rPr>
                <w:rFonts w:eastAsia="Calibri" w:cstheme="minorHAnsi"/>
                <w:color w:val="002060"/>
                <w:sz w:val="18"/>
                <w:szCs w:val="18"/>
                <w:lang w:val="sr-Cyrl-CS"/>
              </w:rPr>
              <w:t>Бруто дуг сектора опште државе</w:t>
            </w:r>
          </w:p>
        </w:tc>
        <w:tc>
          <w:tcPr>
            <w:tcW w:w="603" w:type="pct"/>
            <w:tcBorders>
              <w:bottom w:val="single" w:sz="4" w:space="0" w:color="auto"/>
            </w:tcBorders>
            <w:shd w:val="clear" w:color="auto" w:fill="auto"/>
            <w:noWrap/>
            <w:vAlign w:val="center"/>
          </w:tcPr>
          <w:p w14:paraId="0469334F" w14:textId="77777777" w:rsidR="00B3473E" w:rsidRPr="00F27A03" w:rsidRDefault="00B3473E" w:rsidP="00A42963">
            <w:pPr>
              <w:jc w:val="center"/>
              <w:rPr>
                <w:color w:val="002060"/>
                <w:sz w:val="18"/>
                <w:lang w:val="sr-Cyrl-CS"/>
              </w:rPr>
            </w:pPr>
            <w:r w:rsidRPr="00F27A03">
              <w:rPr>
                <w:color w:val="002060"/>
                <w:sz w:val="18"/>
                <w:lang w:val="sr-Cyrl-CS"/>
              </w:rPr>
              <w:t>56,9</w:t>
            </w:r>
          </w:p>
        </w:tc>
        <w:tc>
          <w:tcPr>
            <w:tcW w:w="604" w:type="pct"/>
            <w:tcBorders>
              <w:bottom w:val="single" w:sz="4" w:space="0" w:color="auto"/>
            </w:tcBorders>
            <w:shd w:val="clear" w:color="auto" w:fill="auto"/>
            <w:noWrap/>
            <w:vAlign w:val="center"/>
          </w:tcPr>
          <w:p w14:paraId="52E21D63" w14:textId="77777777" w:rsidR="00B3473E" w:rsidRPr="00F27A03" w:rsidRDefault="00B3473E" w:rsidP="00A42963">
            <w:pPr>
              <w:jc w:val="center"/>
              <w:rPr>
                <w:color w:val="002060"/>
                <w:sz w:val="18"/>
                <w:lang w:val="sr-Cyrl-CS"/>
              </w:rPr>
            </w:pPr>
            <w:r w:rsidRPr="00F27A03">
              <w:rPr>
                <w:color w:val="002060"/>
                <w:sz w:val="18"/>
                <w:lang w:val="sr-Cyrl-CS"/>
              </w:rPr>
              <w:t>56,1</w:t>
            </w:r>
          </w:p>
        </w:tc>
        <w:tc>
          <w:tcPr>
            <w:tcW w:w="603" w:type="pct"/>
            <w:tcBorders>
              <w:bottom w:val="single" w:sz="4" w:space="0" w:color="auto"/>
            </w:tcBorders>
            <w:shd w:val="clear" w:color="auto" w:fill="auto"/>
            <w:noWrap/>
            <w:vAlign w:val="center"/>
          </w:tcPr>
          <w:p w14:paraId="478E47F0" w14:textId="77777777" w:rsidR="00B3473E" w:rsidRPr="00F27A03" w:rsidRDefault="00B3473E" w:rsidP="00A42963">
            <w:pPr>
              <w:jc w:val="center"/>
              <w:rPr>
                <w:color w:val="002060"/>
                <w:sz w:val="18"/>
                <w:lang w:val="sr-Cyrl-CS"/>
              </w:rPr>
            </w:pPr>
            <w:r w:rsidRPr="00F27A03">
              <w:rPr>
                <w:color w:val="002060"/>
                <w:sz w:val="18"/>
                <w:lang w:val="sr-Cyrl-CS"/>
              </w:rPr>
              <w:t>55,1</w:t>
            </w:r>
          </w:p>
        </w:tc>
        <w:tc>
          <w:tcPr>
            <w:tcW w:w="600" w:type="pct"/>
            <w:tcBorders>
              <w:bottom w:val="single" w:sz="4" w:space="0" w:color="auto"/>
            </w:tcBorders>
            <w:shd w:val="clear" w:color="auto" w:fill="auto"/>
            <w:noWrap/>
            <w:vAlign w:val="center"/>
          </w:tcPr>
          <w:p w14:paraId="386AAE62" w14:textId="77777777" w:rsidR="00B3473E" w:rsidRPr="00F27A03" w:rsidRDefault="00B3473E" w:rsidP="00A42963">
            <w:pPr>
              <w:jc w:val="center"/>
              <w:rPr>
                <w:color w:val="002060"/>
                <w:sz w:val="18"/>
                <w:lang w:val="sr-Cyrl-CS"/>
              </w:rPr>
            </w:pPr>
            <w:r w:rsidRPr="00F27A03">
              <w:rPr>
                <w:color w:val="002060"/>
                <w:sz w:val="18"/>
                <w:lang w:val="sr-Cyrl-CS"/>
              </w:rPr>
              <w:t>54,0</w:t>
            </w:r>
          </w:p>
        </w:tc>
      </w:tr>
      <w:bookmarkEnd w:id="49"/>
      <w:bookmarkEnd w:id="50"/>
      <w:bookmarkEnd w:id="51"/>
    </w:tbl>
    <w:p w14:paraId="70A7E214" w14:textId="77777777" w:rsidR="00BB2F03" w:rsidRPr="00F27A03" w:rsidRDefault="00BB2F03" w:rsidP="00D751D5">
      <w:pPr>
        <w:jc w:val="left"/>
        <w:rPr>
          <w:rFonts w:cstheme="minorHAnsi"/>
          <w:sz w:val="16"/>
          <w:szCs w:val="16"/>
          <w:lang w:val="sr-Cyrl-CS"/>
        </w:rPr>
      </w:pPr>
    </w:p>
    <w:p w14:paraId="7398FC51" w14:textId="77777777" w:rsidR="00BB2F03" w:rsidRPr="00F27A03" w:rsidRDefault="00BB2F03" w:rsidP="00D751D5">
      <w:pPr>
        <w:jc w:val="left"/>
        <w:rPr>
          <w:rFonts w:cstheme="minorHAnsi"/>
          <w:sz w:val="16"/>
          <w:szCs w:val="16"/>
          <w:lang w:val="sr-Cyrl-CS"/>
        </w:rPr>
        <w:sectPr w:rsidR="00BB2F03" w:rsidRPr="00F27A03" w:rsidSect="001A0255">
          <w:footerReference w:type="default" r:id="rId187"/>
          <w:pgSz w:w="12240" w:h="15840" w:code="1"/>
          <w:pgMar w:top="1440" w:right="1440" w:bottom="1440" w:left="1440" w:header="720" w:footer="720" w:gutter="0"/>
          <w:cols w:space="720"/>
          <w:docGrid w:linePitch="360"/>
        </w:sectPr>
      </w:pPr>
    </w:p>
    <w:p w14:paraId="3B71745B" w14:textId="77777777" w:rsidR="00AA5F62" w:rsidRPr="00F27A03" w:rsidRDefault="00AA5F62" w:rsidP="00C91F83">
      <w:pPr>
        <w:spacing w:after="0"/>
        <w:ind w:left="567"/>
        <w:rPr>
          <w:color w:val="2F5496" w:themeColor="accent1" w:themeShade="BF"/>
          <w:sz w:val="14"/>
          <w:szCs w:val="26"/>
          <w:lang w:val="sr-Cyrl-CS"/>
        </w:rPr>
      </w:pPr>
      <w:bookmarkStart w:id="52" w:name="_Toc72394589"/>
      <w:bookmarkStart w:id="53" w:name="_Toc86923731"/>
    </w:p>
    <w:p w14:paraId="0A89A672" w14:textId="77777777" w:rsidR="00AA5F62" w:rsidRPr="00F27A03" w:rsidRDefault="00AA5F62" w:rsidP="00C91F83">
      <w:pPr>
        <w:keepNext/>
        <w:keepLines/>
        <w:spacing w:before="40"/>
        <w:outlineLvl w:val="0"/>
        <w:rPr>
          <w:rFonts w:eastAsiaTheme="majorEastAsia" w:cstheme="minorHAnsi"/>
          <w:color w:val="002060"/>
          <w:sz w:val="24"/>
          <w:szCs w:val="26"/>
          <w:lang w:val="sr-Cyrl-CS"/>
        </w:rPr>
      </w:pPr>
      <w:bookmarkStart w:id="54" w:name="_Toc119326602"/>
      <w:r w:rsidRPr="00F27A03">
        <w:rPr>
          <w:rFonts w:eastAsiaTheme="majorEastAsia" w:cstheme="minorHAnsi"/>
          <w:color w:val="002060"/>
          <w:sz w:val="24"/>
          <w:szCs w:val="26"/>
          <w:lang w:val="sr-Cyrl-CS"/>
        </w:rPr>
        <w:t>Прилог 2 – Фискални оквир опште државе у 2023. години</w:t>
      </w:r>
      <w:bookmarkEnd w:id="54"/>
    </w:p>
    <w:tbl>
      <w:tblPr>
        <w:tblStyle w:val="ListTable1Light-Accent3"/>
        <w:tblW w:w="5000" w:type="pct"/>
        <w:tblLook w:val="04A0" w:firstRow="1" w:lastRow="0" w:firstColumn="1" w:lastColumn="0" w:noHBand="0" w:noVBand="1"/>
      </w:tblPr>
      <w:tblGrid>
        <w:gridCol w:w="2925"/>
        <w:gridCol w:w="1048"/>
        <w:gridCol w:w="1048"/>
        <w:gridCol w:w="1059"/>
        <w:gridCol w:w="1024"/>
        <w:gridCol w:w="1094"/>
        <w:gridCol w:w="1038"/>
        <w:gridCol w:w="1094"/>
        <w:gridCol w:w="1094"/>
        <w:gridCol w:w="1094"/>
        <w:gridCol w:w="1094"/>
        <w:gridCol w:w="1094"/>
      </w:tblGrid>
      <w:tr w:rsidR="00AA5F62" w:rsidRPr="00F27A03" w14:paraId="0A6ADA0C" w14:textId="77777777" w:rsidTr="00C91F83">
        <w:trPr>
          <w:cnfStyle w:val="100000000000" w:firstRow="1" w:lastRow="0" w:firstColumn="0" w:lastColumn="0" w:oddVBand="0" w:evenVBand="0" w:oddHBand="0" w:evenHBand="0" w:firstRowFirstColumn="0" w:firstRowLastColumn="0" w:lastRowFirstColumn="0" w:lastRowLastColumn="0"/>
          <w:trHeight w:val="687"/>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auto"/>
              <w:bottom w:val="single" w:sz="4" w:space="0" w:color="auto"/>
            </w:tcBorders>
            <w:noWrap/>
            <w:hideMark/>
          </w:tcPr>
          <w:p w14:paraId="5DC31FA8" w14:textId="77777777" w:rsidR="00AA5F62" w:rsidRPr="00F27A03" w:rsidRDefault="00AA5F62" w:rsidP="00C91F83">
            <w:pPr>
              <w:tabs>
                <w:tab w:val="center" w:pos="4680"/>
                <w:tab w:val="right" w:pos="9360"/>
              </w:tabs>
              <w:rPr>
                <w:rFonts w:ascii="Calibri" w:hAnsi="Calibri" w:cs="Calibri"/>
                <w:color w:val="002060"/>
                <w:sz w:val="14"/>
                <w:szCs w:val="14"/>
                <w:lang w:val="sr-Cyrl-CS"/>
              </w:rPr>
            </w:pPr>
            <w:r w:rsidRPr="00F27A03">
              <w:rPr>
                <w:rFonts w:ascii="Calibri" w:hAnsi="Calibri" w:cs="Calibri"/>
                <w:color w:val="002060"/>
                <w:sz w:val="14"/>
                <w:szCs w:val="14"/>
                <w:lang w:val="sr-Cyrl-CS"/>
              </w:rPr>
              <w:t> </w:t>
            </w:r>
          </w:p>
        </w:tc>
        <w:tc>
          <w:tcPr>
            <w:tcW w:w="356" w:type="pct"/>
            <w:tcBorders>
              <w:top w:val="single" w:sz="4" w:space="0" w:color="auto"/>
              <w:bottom w:val="single" w:sz="4" w:space="0" w:color="auto"/>
            </w:tcBorders>
            <w:vAlign w:val="center"/>
            <w:hideMark/>
          </w:tcPr>
          <w:p w14:paraId="21A24B5F"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Општа држава*</w:t>
            </w:r>
          </w:p>
        </w:tc>
        <w:tc>
          <w:tcPr>
            <w:tcW w:w="356" w:type="pct"/>
            <w:tcBorders>
              <w:top w:val="single" w:sz="4" w:space="0" w:color="auto"/>
              <w:bottom w:val="single" w:sz="4" w:space="0" w:color="auto"/>
            </w:tcBorders>
            <w:vAlign w:val="center"/>
            <w:hideMark/>
          </w:tcPr>
          <w:p w14:paraId="6A323F18"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Буџет Републике</w:t>
            </w:r>
          </w:p>
        </w:tc>
        <w:tc>
          <w:tcPr>
            <w:tcW w:w="360" w:type="pct"/>
            <w:tcBorders>
              <w:top w:val="single" w:sz="4" w:space="0" w:color="auto"/>
              <w:bottom w:val="single" w:sz="4" w:space="0" w:color="auto"/>
            </w:tcBorders>
            <w:vAlign w:val="center"/>
            <w:hideMark/>
          </w:tcPr>
          <w:p w14:paraId="24AB75C7"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Јединице локалне самоуправе</w:t>
            </w:r>
          </w:p>
        </w:tc>
        <w:tc>
          <w:tcPr>
            <w:tcW w:w="348" w:type="pct"/>
            <w:tcBorders>
              <w:top w:val="single" w:sz="4" w:space="0" w:color="auto"/>
              <w:bottom w:val="single" w:sz="4" w:space="0" w:color="auto"/>
            </w:tcBorders>
            <w:vAlign w:val="center"/>
            <w:hideMark/>
          </w:tcPr>
          <w:p w14:paraId="60D22902"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Градови и општине</w:t>
            </w:r>
          </w:p>
        </w:tc>
        <w:tc>
          <w:tcPr>
            <w:tcW w:w="372" w:type="pct"/>
            <w:tcBorders>
              <w:top w:val="single" w:sz="4" w:space="0" w:color="auto"/>
              <w:bottom w:val="single" w:sz="4" w:space="0" w:color="auto"/>
            </w:tcBorders>
            <w:noWrap/>
            <w:vAlign w:val="center"/>
            <w:hideMark/>
          </w:tcPr>
          <w:p w14:paraId="797C2A22"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AП Војводина</w:t>
            </w:r>
          </w:p>
        </w:tc>
        <w:tc>
          <w:tcPr>
            <w:tcW w:w="353" w:type="pct"/>
            <w:tcBorders>
              <w:top w:val="single" w:sz="4" w:space="0" w:color="auto"/>
              <w:bottom w:val="single" w:sz="4" w:space="0" w:color="auto"/>
            </w:tcBorders>
            <w:vAlign w:val="center"/>
            <w:hideMark/>
          </w:tcPr>
          <w:p w14:paraId="2B695696"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ЈП „Путеви Србије” и Коридори Србије д.о.о.</w:t>
            </w:r>
          </w:p>
        </w:tc>
        <w:tc>
          <w:tcPr>
            <w:tcW w:w="372" w:type="pct"/>
            <w:tcBorders>
              <w:top w:val="single" w:sz="4" w:space="0" w:color="auto"/>
              <w:bottom w:val="single" w:sz="4" w:space="0" w:color="auto"/>
            </w:tcBorders>
            <w:noWrap/>
            <w:vAlign w:val="center"/>
            <w:hideMark/>
          </w:tcPr>
          <w:p w14:paraId="032B7244"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ООСО</w:t>
            </w:r>
          </w:p>
        </w:tc>
        <w:tc>
          <w:tcPr>
            <w:tcW w:w="372" w:type="pct"/>
            <w:tcBorders>
              <w:top w:val="single" w:sz="4" w:space="0" w:color="auto"/>
              <w:bottom w:val="single" w:sz="4" w:space="0" w:color="auto"/>
            </w:tcBorders>
            <w:noWrap/>
            <w:vAlign w:val="center"/>
            <w:hideMark/>
          </w:tcPr>
          <w:p w14:paraId="34CB4FE7"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Фонд ПИО</w:t>
            </w:r>
          </w:p>
        </w:tc>
        <w:tc>
          <w:tcPr>
            <w:tcW w:w="372" w:type="pct"/>
            <w:tcBorders>
              <w:top w:val="single" w:sz="4" w:space="0" w:color="auto"/>
              <w:bottom w:val="single" w:sz="4" w:space="0" w:color="auto"/>
            </w:tcBorders>
            <w:noWrap/>
            <w:vAlign w:val="center"/>
            <w:hideMark/>
          </w:tcPr>
          <w:p w14:paraId="76C52968"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РФЗО</w:t>
            </w:r>
          </w:p>
        </w:tc>
        <w:tc>
          <w:tcPr>
            <w:tcW w:w="372" w:type="pct"/>
            <w:tcBorders>
              <w:top w:val="single" w:sz="4" w:space="0" w:color="auto"/>
              <w:bottom w:val="single" w:sz="4" w:space="0" w:color="auto"/>
            </w:tcBorders>
            <w:noWrap/>
            <w:vAlign w:val="center"/>
            <w:hideMark/>
          </w:tcPr>
          <w:p w14:paraId="04D27F7C"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НСЗ</w:t>
            </w:r>
          </w:p>
        </w:tc>
        <w:tc>
          <w:tcPr>
            <w:tcW w:w="372" w:type="pct"/>
            <w:tcBorders>
              <w:top w:val="single" w:sz="4" w:space="0" w:color="auto"/>
              <w:bottom w:val="single" w:sz="4" w:space="0" w:color="auto"/>
            </w:tcBorders>
            <w:noWrap/>
            <w:vAlign w:val="center"/>
            <w:hideMark/>
          </w:tcPr>
          <w:p w14:paraId="1A715F89" w14:textId="77777777" w:rsidR="00AA5F62" w:rsidRPr="00F27A03" w:rsidRDefault="00AA5F62" w:rsidP="00A4296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27A03">
              <w:rPr>
                <w:rFonts w:ascii="Calibri" w:hAnsi="Calibri" w:cs="Calibri"/>
                <w:b w:val="0"/>
                <w:color w:val="002060"/>
                <w:sz w:val="14"/>
                <w:szCs w:val="14"/>
                <w:lang w:val="sr-Cyrl-CS"/>
              </w:rPr>
              <w:t>Фонд СОВО</w:t>
            </w:r>
          </w:p>
        </w:tc>
      </w:tr>
      <w:tr w:rsidR="00AA5F62" w:rsidRPr="00F27A03" w14:paraId="511F6416" w14:textId="77777777" w:rsidTr="00C91F83">
        <w:trPr>
          <w:cnfStyle w:val="000000100000" w:firstRow="0" w:lastRow="0" w:firstColumn="0" w:lastColumn="0" w:oddVBand="0" w:evenVBand="0" w:oddHBand="1"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auto"/>
              <w:bottom w:val="single" w:sz="4" w:space="0" w:color="auto"/>
            </w:tcBorders>
            <w:shd w:val="clear" w:color="auto" w:fill="auto"/>
            <w:noWrap/>
            <w:hideMark/>
          </w:tcPr>
          <w:p w14:paraId="403BB894" w14:textId="77777777" w:rsidR="00AA5F62" w:rsidRPr="00F27A03" w:rsidRDefault="00AA5F62" w:rsidP="00C91F83">
            <w:pPr>
              <w:tabs>
                <w:tab w:val="center" w:pos="4680"/>
                <w:tab w:val="right" w:pos="9360"/>
              </w:tabs>
              <w:rPr>
                <w:rFonts w:ascii="Calibri" w:hAnsi="Calibri" w:cs="Calibri"/>
                <w:color w:val="002060"/>
                <w:sz w:val="14"/>
                <w:szCs w:val="14"/>
                <w:lang w:val="sr-Cyrl-CS"/>
              </w:rPr>
            </w:pPr>
            <w:r w:rsidRPr="00F27A03">
              <w:rPr>
                <w:rFonts w:ascii="Calibri" w:hAnsi="Calibri" w:cs="Calibri"/>
                <w:color w:val="002060"/>
                <w:sz w:val="14"/>
                <w:szCs w:val="14"/>
                <w:lang w:val="sr-Cyrl-CS"/>
              </w:rPr>
              <w:t> </w:t>
            </w:r>
          </w:p>
        </w:tc>
        <w:tc>
          <w:tcPr>
            <w:tcW w:w="356" w:type="pct"/>
            <w:tcBorders>
              <w:top w:val="single" w:sz="4" w:space="0" w:color="auto"/>
              <w:bottom w:val="single" w:sz="4" w:space="0" w:color="auto"/>
            </w:tcBorders>
            <w:shd w:val="clear" w:color="auto" w:fill="auto"/>
            <w:hideMark/>
          </w:tcPr>
          <w:p w14:paraId="4E24E4C6"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1=2+3+6+7</w:t>
            </w:r>
          </w:p>
        </w:tc>
        <w:tc>
          <w:tcPr>
            <w:tcW w:w="356" w:type="pct"/>
            <w:tcBorders>
              <w:top w:val="single" w:sz="4" w:space="0" w:color="auto"/>
              <w:bottom w:val="single" w:sz="4" w:space="0" w:color="auto"/>
            </w:tcBorders>
            <w:shd w:val="clear" w:color="auto" w:fill="auto"/>
            <w:hideMark/>
          </w:tcPr>
          <w:p w14:paraId="7869660E"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2</w:t>
            </w:r>
          </w:p>
        </w:tc>
        <w:tc>
          <w:tcPr>
            <w:tcW w:w="360" w:type="pct"/>
            <w:tcBorders>
              <w:top w:val="single" w:sz="4" w:space="0" w:color="auto"/>
              <w:bottom w:val="single" w:sz="4" w:space="0" w:color="auto"/>
            </w:tcBorders>
            <w:shd w:val="clear" w:color="auto" w:fill="auto"/>
            <w:hideMark/>
          </w:tcPr>
          <w:p w14:paraId="7E7D1706"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3=4+5</w:t>
            </w:r>
          </w:p>
        </w:tc>
        <w:tc>
          <w:tcPr>
            <w:tcW w:w="348" w:type="pct"/>
            <w:tcBorders>
              <w:top w:val="single" w:sz="4" w:space="0" w:color="auto"/>
              <w:bottom w:val="single" w:sz="4" w:space="0" w:color="auto"/>
            </w:tcBorders>
            <w:shd w:val="clear" w:color="auto" w:fill="auto"/>
            <w:hideMark/>
          </w:tcPr>
          <w:p w14:paraId="1FE94FC5"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4</w:t>
            </w:r>
          </w:p>
        </w:tc>
        <w:tc>
          <w:tcPr>
            <w:tcW w:w="372" w:type="pct"/>
            <w:tcBorders>
              <w:top w:val="single" w:sz="4" w:space="0" w:color="auto"/>
              <w:bottom w:val="single" w:sz="4" w:space="0" w:color="auto"/>
            </w:tcBorders>
            <w:shd w:val="clear" w:color="auto" w:fill="auto"/>
            <w:noWrap/>
            <w:hideMark/>
          </w:tcPr>
          <w:p w14:paraId="54A60584"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5</w:t>
            </w:r>
          </w:p>
        </w:tc>
        <w:tc>
          <w:tcPr>
            <w:tcW w:w="353" w:type="pct"/>
            <w:tcBorders>
              <w:top w:val="single" w:sz="4" w:space="0" w:color="auto"/>
              <w:bottom w:val="single" w:sz="4" w:space="0" w:color="auto"/>
            </w:tcBorders>
            <w:shd w:val="clear" w:color="auto" w:fill="auto"/>
            <w:noWrap/>
            <w:hideMark/>
          </w:tcPr>
          <w:p w14:paraId="002E87B4"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6</w:t>
            </w:r>
          </w:p>
        </w:tc>
        <w:tc>
          <w:tcPr>
            <w:tcW w:w="372" w:type="pct"/>
            <w:tcBorders>
              <w:top w:val="single" w:sz="4" w:space="0" w:color="auto"/>
              <w:bottom w:val="single" w:sz="4" w:space="0" w:color="auto"/>
            </w:tcBorders>
            <w:shd w:val="clear" w:color="auto" w:fill="auto"/>
            <w:noWrap/>
            <w:hideMark/>
          </w:tcPr>
          <w:p w14:paraId="1418A357"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7=8+9+10+11</w:t>
            </w:r>
          </w:p>
        </w:tc>
        <w:tc>
          <w:tcPr>
            <w:tcW w:w="372" w:type="pct"/>
            <w:tcBorders>
              <w:top w:val="single" w:sz="4" w:space="0" w:color="auto"/>
              <w:bottom w:val="single" w:sz="4" w:space="0" w:color="auto"/>
            </w:tcBorders>
            <w:shd w:val="clear" w:color="auto" w:fill="auto"/>
            <w:noWrap/>
            <w:hideMark/>
          </w:tcPr>
          <w:p w14:paraId="103EF4C3"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8</w:t>
            </w:r>
          </w:p>
        </w:tc>
        <w:tc>
          <w:tcPr>
            <w:tcW w:w="372" w:type="pct"/>
            <w:tcBorders>
              <w:top w:val="single" w:sz="4" w:space="0" w:color="auto"/>
              <w:bottom w:val="single" w:sz="4" w:space="0" w:color="auto"/>
            </w:tcBorders>
            <w:shd w:val="clear" w:color="auto" w:fill="auto"/>
            <w:noWrap/>
            <w:hideMark/>
          </w:tcPr>
          <w:p w14:paraId="5A408881" w14:textId="77777777" w:rsidR="00AA5F62" w:rsidRPr="00F27A03" w:rsidRDefault="00AA5F62" w:rsidP="00A4296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9</w:t>
            </w:r>
          </w:p>
        </w:tc>
        <w:tc>
          <w:tcPr>
            <w:tcW w:w="372" w:type="pct"/>
            <w:tcBorders>
              <w:top w:val="single" w:sz="4" w:space="0" w:color="auto"/>
              <w:bottom w:val="single" w:sz="4" w:space="0" w:color="auto"/>
            </w:tcBorders>
            <w:shd w:val="clear" w:color="auto" w:fill="auto"/>
            <w:noWrap/>
            <w:hideMark/>
          </w:tcPr>
          <w:p w14:paraId="78C19A94" w14:textId="77777777" w:rsidR="00AA5F62" w:rsidRPr="00F27A03" w:rsidRDefault="00AA5F62" w:rsidP="00A4296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10</w:t>
            </w:r>
          </w:p>
        </w:tc>
        <w:tc>
          <w:tcPr>
            <w:tcW w:w="372" w:type="pct"/>
            <w:tcBorders>
              <w:top w:val="single" w:sz="4" w:space="0" w:color="auto"/>
              <w:bottom w:val="single" w:sz="4" w:space="0" w:color="auto"/>
            </w:tcBorders>
            <w:shd w:val="clear" w:color="auto" w:fill="auto"/>
            <w:noWrap/>
            <w:hideMark/>
          </w:tcPr>
          <w:p w14:paraId="36540A64" w14:textId="77777777" w:rsidR="00AA5F62" w:rsidRPr="00F27A03" w:rsidRDefault="00AA5F62" w:rsidP="00A4296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27A03">
              <w:rPr>
                <w:rFonts w:ascii="Calibri" w:hAnsi="Calibri" w:cs="Calibri"/>
                <w:color w:val="002060"/>
                <w:sz w:val="14"/>
                <w:szCs w:val="14"/>
                <w:lang w:val="sr-Cyrl-CS"/>
              </w:rPr>
              <w:t>11</w:t>
            </w:r>
          </w:p>
        </w:tc>
      </w:tr>
      <w:tr w:rsidR="00AA5F62" w:rsidRPr="00F27A03" w14:paraId="2F18B572"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auto"/>
            </w:tcBorders>
            <w:shd w:val="clear" w:color="auto" w:fill="BFBFBF" w:themeFill="background1" w:themeFillShade="BF"/>
            <w:noWrap/>
            <w:vAlign w:val="bottom"/>
            <w:hideMark/>
          </w:tcPr>
          <w:p w14:paraId="3C4F7DF4" w14:textId="77777777" w:rsidR="00AA5F62" w:rsidRPr="00F27A03" w:rsidRDefault="00AA5F62" w:rsidP="00A42963">
            <w:pPr>
              <w:tabs>
                <w:tab w:val="center" w:pos="4680"/>
                <w:tab w:val="right" w:pos="9360"/>
              </w:tabs>
              <w:rPr>
                <w:rFonts w:cstheme="minorHAnsi"/>
                <w:color w:val="002060"/>
                <w:sz w:val="14"/>
                <w:szCs w:val="14"/>
                <w:lang w:val="sr-Cyrl-CS"/>
              </w:rPr>
            </w:pPr>
            <w:r w:rsidRPr="00F27A03">
              <w:rPr>
                <w:rFonts w:cstheme="minorHAnsi"/>
                <w:color w:val="002060"/>
                <w:sz w:val="14"/>
                <w:szCs w:val="14"/>
                <w:lang w:val="sr-Cyrl-CS"/>
              </w:rPr>
              <w:t>Јавни приходи</w:t>
            </w:r>
          </w:p>
        </w:tc>
        <w:tc>
          <w:tcPr>
            <w:tcW w:w="356" w:type="pct"/>
            <w:tcBorders>
              <w:top w:val="single" w:sz="4" w:space="0" w:color="auto"/>
            </w:tcBorders>
            <w:shd w:val="clear" w:color="auto" w:fill="BFBFBF" w:themeFill="background1" w:themeFillShade="BF"/>
            <w:noWrap/>
            <w:hideMark/>
          </w:tcPr>
          <w:p w14:paraId="509FCAF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3.283,4</w:t>
            </w:r>
          </w:p>
        </w:tc>
        <w:tc>
          <w:tcPr>
            <w:tcW w:w="356" w:type="pct"/>
            <w:tcBorders>
              <w:top w:val="single" w:sz="4" w:space="0" w:color="auto"/>
            </w:tcBorders>
            <w:shd w:val="clear" w:color="auto" w:fill="BFBFBF" w:themeFill="background1" w:themeFillShade="BF"/>
            <w:noWrap/>
            <w:hideMark/>
          </w:tcPr>
          <w:p w14:paraId="1D39361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1.793,6</w:t>
            </w:r>
          </w:p>
        </w:tc>
        <w:tc>
          <w:tcPr>
            <w:tcW w:w="360" w:type="pct"/>
            <w:tcBorders>
              <w:top w:val="single" w:sz="4" w:space="0" w:color="auto"/>
            </w:tcBorders>
            <w:shd w:val="clear" w:color="auto" w:fill="BFBFBF" w:themeFill="background1" w:themeFillShade="BF"/>
            <w:noWrap/>
            <w:hideMark/>
          </w:tcPr>
          <w:p w14:paraId="36DD3FE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423,9</w:t>
            </w:r>
          </w:p>
        </w:tc>
        <w:tc>
          <w:tcPr>
            <w:tcW w:w="348" w:type="pct"/>
            <w:tcBorders>
              <w:top w:val="single" w:sz="4" w:space="0" w:color="auto"/>
            </w:tcBorders>
            <w:shd w:val="clear" w:color="auto" w:fill="BFBFBF" w:themeFill="background1" w:themeFillShade="BF"/>
            <w:noWrap/>
            <w:hideMark/>
          </w:tcPr>
          <w:p w14:paraId="60E9BDE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382,7</w:t>
            </w:r>
          </w:p>
        </w:tc>
        <w:tc>
          <w:tcPr>
            <w:tcW w:w="372" w:type="pct"/>
            <w:tcBorders>
              <w:top w:val="single" w:sz="4" w:space="0" w:color="auto"/>
            </w:tcBorders>
            <w:shd w:val="clear" w:color="auto" w:fill="BFBFBF" w:themeFill="background1" w:themeFillShade="BF"/>
            <w:noWrap/>
            <w:hideMark/>
          </w:tcPr>
          <w:p w14:paraId="02268B0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41,2</w:t>
            </w:r>
          </w:p>
        </w:tc>
        <w:tc>
          <w:tcPr>
            <w:tcW w:w="353" w:type="pct"/>
            <w:tcBorders>
              <w:top w:val="single" w:sz="4" w:space="0" w:color="auto"/>
            </w:tcBorders>
            <w:shd w:val="clear" w:color="auto" w:fill="BFBFBF" w:themeFill="background1" w:themeFillShade="BF"/>
            <w:noWrap/>
            <w:hideMark/>
          </w:tcPr>
          <w:p w14:paraId="1BB1468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43,7</w:t>
            </w:r>
          </w:p>
        </w:tc>
        <w:tc>
          <w:tcPr>
            <w:tcW w:w="372" w:type="pct"/>
            <w:tcBorders>
              <w:top w:val="single" w:sz="4" w:space="0" w:color="auto"/>
            </w:tcBorders>
            <w:shd w:val="clear" w:color="auto" w:fill="BFBFBF" w:themeFill="background1" w:themeFillShade="BF"/>
            <w:noWrap/>
            <w:hideMark/>
          </w:tcPr>
          <w:p w14:paraId="7AEC0DA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1.022,2</w:t>
            </w:r>
          </w:p>
        </w:tc>
        <w:tc>
          <w:tcPr>
            <w:tcW w:w="372" w:type="pct"/>
            <w:tcBorders>
              <w:top w:val="single" w:sz="4" w:space="0" w:color="auto"/>
            </w:tcBorders>
            <w:shd w:val="clear" w:color="auto" w:fill="BFBFBF" w:themeFill="background1" w:themeFillShade="BF"/>
            <w:noWrap/>
            <w:hideMark/>
          </w:tcPr>
          <w:p w14:paraId="4CD4914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699,1</w:t>
            </w:r>
          </w:p>
        </w:tc>
        <w:tc>
          <w:tcPr>
            <w:tcW w:w="372" w:type="pct"/>
            <w:tcBorders>
              <w:top w:val="single" w:sz="4" w:space="0" w:color="auto"/>
            </w:tcBorders>
            <w:shd w:val="clear" w:color="auto" w:fill="BFBFBF" w:themeFill="background1" w:themeFillShade="BF"/>
            <w:noWrap/>
            <w:hideMark/>
          </w:tcPr>
          <w:p w14:paraId="11D5B03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296,4</w:t>
            </w:r>
          </w:p>
        </w:tc>
        <w:tc>
          <w:tcPr>
            <w:tcW w:w="372" w:type="pct"/>
            <w:tcBorders>
              <w:top w:val="single" w:sz="4" w:space="0" w:color="auto"/>
            </w:tcBorders>
            <w:shd w:val="clear" w:color="auto" w:fill="BFBFBF" w:themeFill="background1" w:themeFillShade="BF"/>
            <w:noWrap/>
            <w:hideMark/>
          </w:tcPr>
          <w:p w14:paraId="4DD56DD7"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22,7</w:t>
            </w:r>
          </w:p>
        </w:tc>
        <w:tc>
          <w:tcPr>
            <w:tcW w:w="372" w:type="pct"/>
            <w:tcBorders>
              <w:top w:val="single" w:sz="4" w:space="0" w:color="auto"/>
            </w:tcBorders>
            <w:shd w:val="clear" w:color="auto" w:fill="BFBFBF" w:themeFill="background1" w:themeFillShade="BF"/>
            <w:noWrap/>
            <w:hideMark/>
          </w:tcPr>
          <w:p w14:paraId="0FE3BEBB"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4,0</w:t>
            </w:r>
          </w:p>
        </w:tc>
      </w:tr>
      <w:tr w:rsidR="00AA5F62" w:rsidRPr="00F27A03" w14:paraId="74E600ED"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1F5A204"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Текући приходи</w:t>
            </w:r>
          </w:p>
        </w:tc>
        <w:tc>
          <w:tcPr>
            <w:tcW w:w="356" w:type="pct"/>
            <w:tcBorders>
              <w:top w:val="nil"/>
            </w:tcBorders>
            <w:shd w:val="clear" w:color="auto" w:fill="FFFFFF" w:themeFill="background1"/>
            <w:noWrap/>
            <w:hideMark/>
          </w:tcPr>
          <w:p w14:paraId="275557D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3.230,4</w:t>
            </w:r>
          </w:p>
        </w:tc>
        <w:tc>
          <w:tcPr>
            <w:tcW w:w="356" w:type="pct"/>
            <w:tcBorders>
              <w:top w:val="nil"/>
            </w:tcBorders>
            <w:shd w:val="clear" w:color="auto" w:fill="FFFFFF" w:themeFill="background1"/>
            <w:noWrap/>
            <w:hideMark/>
          </w:tcPr>
          <w:p w14:paraId="101855B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1.743,1</w:t>
            </w:r>
          </w:p>
        </w:tc>
        <w:tc>
          <w:tcPr>
            <w:tcW w:w="360" w:type="pct"/>
            <w:tcBorders>
              <w:top w:val="nil"/>
            </w:tcBorders>
            <w:shd w:val="clear" w:color="auto" w:fill="FFFFFF" w:themeFill="background1"/>
            <w:noWrap/>
            <w:hideMark/>
          </w:tcPr>
          <w:p w14:paraId="109BEE5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421,9</w:t>
            </w:r>
          </w:p>
        </w:tc>
        <w:tc>
          <w:tcPr>
            <w:tcW w:w="348" w:type="pct"/>
            <w:tcBorders>
              <w:top w:val="nil"/>
            </w:tcBorders>
            <w:shd w:val="clear" w:color="auto" w:fill="FFFFFF" w:themeFill="background1"/>
            <w:noWrap/>
            <w:hideMark/>
          </w:tcPr>
          <w:p w14:paraId="491382A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380,7</w:t>
            </w:r>
          </w:p>
        </w:tc>
        <w:tc>
          <w:tcPr>
            <w:tcW w:w="372" w:type="pct"/>
            <w:tcBorders>
              <w:top w:val="nil"/>
            </w:tcBorders>
            <w:shd w:val="clear" w:color="auto" w:fill="FFFFFF" w:themeFill="background1"/>
            <w:noWrap/>
            <w:hideMark/>
          </w:tcPr>
          <w:p w14:paraId="0C8834F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41,2</w:t>
            </w:r>
          </w:p>
        </w:tc>
        <w:tc>
          <w:tcPr>
            <w:tcW w:w="353" w:type="pct"/>
            <w:tcBorders>
              <w:top w:val="nil"/>
            </w:tcBorders>
            <w:shd w:val="clear" w:color="auto" w:fill="FFFFFF" w:themeFill="background1"/>
            <w:noWrap/>
            <w:hideMark/>
          </w:tcPr>
          <w:p w14:paraId="6064713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43,7</w:t>
            </w:r>
          </w:p>
        </w:tc>
        <w:tc>
          <w:tcPr>
            <w:tcW w:w="372" w:type="pct"/>
            <w:tcBorders>
              <w:top w:val="nil"/>
            </w:tcBorders>
            <w:shd w:val="clear" w:color="auto" w:fill="FFFFFF" w:themeFill="background1"/>
            <w:noWrap/>
            <w:hideMark/>
          </w:tcPr>
          <w:p w14:paraId="08595A5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1.021,7</w:t>
            </w:r>
          </w:p>
        </w:tc>
        <w:tc>
          <w:tcPr>
            <w:tcW w:w="372" w:type="pct"/>
            <w:tcBorders>
              <w:top w:val="nil"/>
            </w:tcBorders>
            <w:shd w:val="clear" w:color="auto" w:fill="FFFFFF" w:themeFill="background1"/>
            <w:noWrap/>
            <w:hideMark/>
          </w:tcPr>
          <w:p w14:paraId="66EBE7B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699,1</w:t>
            </w:r>
          </w:p>
        </w:tc>
        <w:tc>
          <w:tcPr>
            <w:tcW w:w="372" w:type="pct"/>
            <w:tcBorders>
              <w:top w:val="nil"/>
            </w:tcBorders>
            <w:shd w:val="clear" w:color="auto" w:fill="FFFFFF" w:themeFill="background1"/>
            <w:noWrap/>
            <w:hideMark/>
          </w:tcPr>
          <w:p w14:paraId="03253A1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296,4</w:t>
            </w:r>
          </w:p>
        </w:tc>
        <w:tc>
          <w:tcPr>
            <w:tcW w:w="372" w:type="pct"/>
            <w:tcBorders>
              <w:top w:val="nil"/>
            </w:tcBorders>
            <w:shd w:val="clear" w:color="auto" w:fill="FFFFFF" w:themeFill="background1"/>
            <w:noWrap/>
            <w:hideMark/>
          </w:tcPr>
          <w:p w14:paraId="46323954"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22,2</w:t>
            </w:r>
          </w:p>
        </w:tc>
        <w:tc>
          <w:tcPr>
            <w:tcW w:w="372" w:type="pct"/>
            <w:tcBorders>
              <w:top w:val="nil"/>
            </w:tcBorders>
            <w:shd w:val="clear" w:color="auto" w:fill="FFFFFF" w:themeFill="background1"/>
            <w:noWrap/>
            <w:hideMark/>
          </w:tcPr>
          <w:p w14:paraId="0FCE3578"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4,0</w:t>
            </w:r>
          </w:p>
        </w:tc>
      </w:tr>
      <w:tr w:rsidR="00AA5F62" w:rsidRPr="00F27A03" w14:paraId="7154F313"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6BE771D"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Порески приходи</w:t>
            </w:r>
          </w:p>
        </w:tc>
        <w:tc>
          <w:tcPr>
            <w:tcW w:w="356" w:type="pct"/>
            <w:tcBorders>
              <w:top w:val="nil"/>
            </w:tcBorders>
            <w:shd w:val="clear" w:color="auto" w:fill="FFFFFF" w:themeFill="background1"/>
            <w:noWrap/>
            <w:hideMark/>
          </w:tcPr>
          <w:p w14:paraId="43EC667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2.936,1</w:t>
            </w:r>
          </w:p>
        </w:tc>
        <w:tc>
          <w:tcPr>
            <w:tcW w:w="356" w:type="pct"/>
            <w:tcBorders>
              <w:top w:val="nil"/>
            </w:tcBorders>
            <w:shd w:val="clear" w:color="auto" w:fill="FFFFFF" w:themeFill="background1"/>
            <w:noWrap/>
            <w:hideMark/>
          </w:tcPr>
          <w:p w14:paraId="5F24597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1.592,8</w:t>
            </w:r>
          </w:p>
        </w:tc>
        <w:tc>
          <w:tcPr>
            <w:tcW w:w="360" w:type="pct"/>
            <w:tcBorders>
              <w:top w:val="nil"/>
            </w:tcBorders>
            <w:shd w:val="clear" w:color="auto" w:fill="FFFFFF" w:themeFill="background1"/>
            <w:noWrap/>
            <w:hideMark/>
          </w:tcPr>
          <w:p w14:paraId="10883F5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334,6</w:t>
            </w:r>
          </w:p>
        </w:tc>
        <w:tc>
          <w:tcPr>
            <w:tcW w:w="348" w:type="pct"/>
            <w:tcBorders>
              <w:top w:val="nil"/>
            </w:tcBorders>
            <w:shd w:val="clear" w:color="auto" w:fill="FFFFFF" w:themeFill="background1"/>
            <w:noWrap/>
            <w:hideMark/>
          </w:tcPr>
          <w:p w14:paraId="55F18BD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300,1</w:t>
            </w:r>
          </w:p>
        </w:tc>
        <w:tc>
          <w:tcPr>
            <w:tcW w:w="372" w:type="pct"/>
            <w:tcBorders>
              <w:top w:val="nil"/>
            </w:tcBorders>
            <w:shd w:val="clear" w:color="auto" w:fill="FFFFFF" w:themeFill="background1"/>
            <w:noWrap/>
            <w:hideMark/>
          </w:tcPr>
          <w:p w14:paraId="2E8DD42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34,5</w:t>
            </w:r>
          </w:p>
        </w:tc>
        <w:tc>
          <w:tcPr>
            <w:tcW w:w="353" w:type="pct"/>
            <w:tcBorders>
              <w:top w:val="nil"/>
            </w:tcBorders>
            <w:shd w:val="clear" w:color="auto" w:fill="FFFFFF" w:themeFill="background1"/>
            <w:noWrap/>
          </w:tcPr>
          <w:p w14:paraId="120FAB7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E32A86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1.008,7</w:t>
            </w:r>
          </w:p>
        </w:tc>
        <w:tc>
          <w:tcPr>
            <w:tcW w:w="372" w:type="pct"/>
            <w:tcBorders>
              <w:top w:val="nil"/>
            </w:tcBorders>
            <w:shd w:val="clear" w:color="auto" w:fill="FFFFFF" w:themeFill="background1"/>
            <w:noWrap/>
            <w:hideMark/>
          </w:tcPr>
          <w:p w14:paraId="7873A15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698,0</w:t>
            </w:r>
          </w:p>
        </w:tc>
        <w:tc>
          <w:tcPr>
            <w:tcW w:w="372" w:type="pct"/>
            <w:tcBorders>
              <w:top w:val="nil"/>
            </w:tcBorders>
            <w:shd w:val="clear" w:color="auto" w:fill="FFFFFF" w:themeFill="background1"/>
            <w:noWrap/>
            <w:hideMark/>
          </w:tcPr>
          <w:p w14:paraId="0701F86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286,4</w:t>
            </w:r>
          </w:p>
        </w:tc>
        <w:tc>
          <w:tcPr>
            <w:tcW w:w="372" w:type="pct"/>
            <w:tcBorders>
              <w:top w:val="nil"/>
            </w:tcBorders>
            <w:shd w:val="clear" w:color="auto" w:fill="FFFFFF" w:themeFill="background1"/>
            <w:noWrap/>
            <w:hideMark/>
          </w:tcPr>
          <w:p w14:paraId="71A340E3"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21,0</w:t>
            </w:r>
          </w:p>
        </w:tc>
        <w:tc>
          <w:tcPr>
            <w:tcW w:w="372" w:type="pct"/>
            <w:tcBorders>
              <w:top w:val="nil"/>
            </w:tcBorders>
            <w:shd w:val="clear" w:color="auto" w:fill="FFFFFF" w:themeFill="background1"/>
            <w:noWrap/>
            <w:hideMark/>
          </w:tcPr>
          <w:p w14:paraId="1EFD2A85"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3,3</w:t>
            </w:r>
          </w:p>
        </w:tc>
      </w:tr>
      <w:tr w:rsidR="00AA5F62" w:rsidRPr="00F27A03" w14:paraId="513ADF62"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2FE1A09"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Порез на доходак</w:t>
            </w:r>
          </w:p>
        </w:tc>
        <w:tc>
          <w:tcPr>
            <w:tcW w:w="356" w:type="pct"/>
            <w:tcBorders>
              <w:top w:val="nil"/>
            </w:tcBorders>
            <w:shd w:val="clear" w:color="auto" w:fill="FFFFFF" w:themeFill="background1"/>
            <w:noWrap/>
            <w:hideMark/>
          </w:tcPr>
          <w:p w14:paraId="4939A81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325,3</w:t>
            </w:r>
          </w:p>
        </w:tc>
        <w:tc>
          <w:tcPr>
            <w:tcW w:w="356" w:type="pct"/>
            <w:tcBorders>
              <w:top w:val="nil"/>
            </w:tcBorders>
            <w:shd w:val="clear" w:color="auto" w:fill="FFFFFF" w:themeFill="background1"/>
            <w:noWrap/>
            <w:hideMark/>
          </w:tcPr>
          <w:p w14:paraId="43F2EFA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107,8</w:t>
            </w:r>
          </w:p>
        </w:tc>
        <w:tc>
          <w:tcPr>
            <w:tcW w:w="360" w:type="pct"/>
            <w:tcBorders>
              <w:top w:val="nil"/>
            </w:tcBorders>
            <w:shd w:val="clear" w:color="auto" w:fill="FFFFFF" w:themeFill="background1"/>
            <w:noWrap/>
            <w:hideMark/>
          </w:tcPr>
          <w:p w14:paraId="59E1677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217,4</w:t>
            </w:r>
          </w:p>
        </w:tc>
        <w:tc>
          <w:tcPr>
            <w:tcW w:w="348" w:type="pct"/>
            <w:tcBorders>
              <w:top w:val="nil"/>
            </w:tcBorders>
            <w:shd w:val="clear" w:color="auto" w:fill="FFFFFF" w:themeFill="background1"/>
            <w:noWrap/>
            <w:hideMark/>
          </w:tcPr>
          <w:p w14:paraId="374BDD4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206,8</w:t>
            </w:r>
          </w:p>
        </w:tc>
        <w:tc>
          <w:tcPr>
            <w:tcW w:w="372" w:type="pct"/>
            <w:tcBorders>
              <w:top w:val="nil"/>
            </w:tcBorders>
            <w:shd w:val="clear" w:color="auto" w:fill="FFFFFF" w:themeFill="background1"/>
            <w:noWrap/>
            <w:hideMark/>
          </w:tcPr>
          <w:p w14:paraId="7474055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10,7</w:t>
            </w:r>
          </w:p>
        </w:tc>
        <w:tc>
          <w:tcPr>
            <w:tcW w:w="353" w:type="pct"/>
            <w:tcBorders>
              <w:top w:val="nil"/>
            </w:tcBorders>
            <w:shd w:val="clear" w:color="auto" w:fill="FFFFFF" w:themeFill="background1"/>
            <w:noWrap/>
          </w:tcPr>
          <w:p w14:paraId="21FCD43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B64EE4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A17215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467F6E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376E682"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3760216"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7B4AF9B9"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A9880D3"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Доприноси</w:t>
            </w:r>
          </w:p>
        </w:tc>
        <w:tc>
          <w:tcPr>
            <w:tcW w:w="356" w:type="pct"/>
            <w:tcBorders>
              <w:top w:val="nil"/>
            </w:tcBorders>
            <w:shd w:val="clear" w:color="auto" w:fill="FFFFFF" w:themeFill="background1"/>
            <w:noWrap/>
            <w:hideMark/>
          </w:tcPr>
          <w:p w14:paraId="279310C5"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1.008,7</w:t>
            </w:r>
          </w:p>
        </w:tc>
        <w:tc>
          <w:tcPr>
            <w:tcW w:w="356" w:type="pct"/>
            <w:tcBorders>
              <w:top w:val="nil"/>
            </w:tcBorders>
            <w:shd w:val="clear" w:color="auto" w:fill="FFFFFF" w:themeFill="background1"/>
            <w:noWrap/>
            <w:hideMark/>
          </w:tcPr>
          <w:p w14:paraId="4FF7218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56CEB26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529E07C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39C731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tcPr>
          <w:p w14:paraId="73F9375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ACCDE9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1.008,7</w:t>
            </w:r>
          </w:p>
        </w:tc>
        <w:tc>
          <w:tcPr>
            <w:tcW w:w="372" w:type="pct"/>
            <w:tcBorders>
              <w:top w:val="nil"/>
            </w:tcBorders>
            <w:shd w:val="clear" w:color="auto" w:fill="FFFFFF" w:themeFill="background1"/>
            <w:noWrap/>
            <w:hideMark/>
          </w:tcPr>
          <w:p w14:paraId="60844CE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698,0</w:t>
            </w:r>
          </w:p>
        </w:tc>
        <w:tc>
          <w:tcPr>
            <w:tcW w:w="372" w:type="pct"/>
            <w:tcBorders>
              <w:top w:val="nil"/>
            </w:tcBorders>
            <w:shd w:val="clear" w:color="auto" w:fill="FFFFFF" w:themeFill="background1"/>
            <w:noWrap/>
            <w:hideMark/>
          </w:tcPr>
          <w:p w14:paraId="4E87120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286,4</w:t>
            </w:r>
          </w:p>
        </w:tc>
        <w:tc>
          <w:tcPr>
            <w:tcW w:w="372" w:type="pct"/>
            <w:tcBorders>
              <w:top w:val="nil"/>
            </w:tcBorders>
            <w:shd w:val="clear" w:color="auto" w:fill="FFFFFF" w:themeFill="background1"/>
            <w:noWrap/>
            <w:hideMark/>
          </w:tcPr>
          <w:p w14:paraId="2ECBAE20"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21,0</w:t>
            </w:r>
          </w:p>
        </w:tc>
        <w:tc>
          <w:tcPr>
            <w:tcW w:w="372" w:type="pct"/>
            <w:tcBorders>
              <w:top w:val="nil"/>
            </w:tcBorders>
            <w:shd w:val="clear" w:color="auto" w:fill="FFFFFF" w:themeFill="background1"/>
            <w:noWrap/>
            <w:hideMark/>
          </w:tcPr>
          <w:p w14:paraId="56E3C6B5"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3,3</w:t>
            </w:r>
          </w:p>
        </w:tc>
      </w:tr>
      <w:tr w:rsidR="00AA5F62" w:rsidRPr="00F27A03" w14:paraId="5F4B3F5A"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65B2499"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Порез на добит </w:t>
            </w:r>
          </w:p>
        </w:tc>
        <w:tc>
          <w:tcPr>
            <w:tcW w:w="356" w:type="pct"/>
            <w:tcBorders>
              <w:top w:val="nil"/>
            </w:tcBorders>
            <w:shd w:val="clear" w:color="auto" w:fill="FFFFFF" w:themeFill="background1"/>
            <w:noWrap/>
            <w:hideMark/>
          </w:tcPr>
          <w:p w14:paraId="7197B4C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212,2</w:t>
            </w:r>
          </w:p>
        </w:tc>
        <w:tc>
          <w:tcPr>
            <w:tcW w:w="356" w:type="pct"/>
            <w:tcBorders>
              <w:top w:val="nil"/>
            </w:tcBorders>
            <w:shd w:val="clear" w:color="auto" w:fill="FFFFFF" w:themeFill="background1"/>
            <w:noWrap/>
            <w:hideMark/>
          </w:tcPr>
          <w:p w14:paraId="63FE52A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188,4</w:t>
            </w:r>
          </w:p>
        </w:tc>
        <w:tc>
          <w:tcPr>
            <w:tcW w:w="360" w:type="pct"/>
            <w:tcBorders>
              <w:top w:val="nil"/>
            </w:tcBorders>
            <w:shd w:val="clear" w:color="auto" w:fill="FFFFFF" w:themeFill="background1"/>
            <w:noWrap/>
            <w:hideMark/>
          </w:tcPr>
          <w:p w14:paraId="2EB5213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23,8</w:t>
            </w:r>
          </w:p>
        </w:tc>
        <w:tc>
          <w:tcPr>
            <w:tcW w:w="348" w:type="pct"/>
            <w:tcBorders>
              <w:top w:val="nil"/>
            </w:tcBorders>
            <w:shd w:val="clear" w:color="auto" w:fill="FFFFFF" w:themeFill="background1"/>
            <w:noWrap/>
          </w:tcPr>
          <w:p w14:paraId="75C8FBD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A719F4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23,8</w:t>
            </w:r>
          </w:p>
        </w:tc>
        <w:tc>
          <w:tcPr>
            <w:tcW w:w="353" w:type="pct"/>
            <w:tcBorders>
              <w:top w:val="nil"/>
            </w:tcBorders>
            <w:shd w:val="clear" w:color="auto" w:fill="FFFFFF" w:themeFill="background1"/>
            <w:noWrap/>
          </w:tcPr>
          <w:p w14:paraId="33F72CB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C7C74B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D95E4A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A71842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FE8A451"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AF47578"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4D97350F"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4CA59D4"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ПДВ</w:t>
            </w:r>
          </w:p>
        </w:tc>
        <w:tc>
          <w:tcPr>
            <w:tcW w:w="356" w:type="pct"/>
            <w:tcBorders>
              <w:top w:val="nil"/>
            </w:tcBorders>
            <w:shd w:val="clear" w:color="auto" w:fill="FFFFFF" w:themeFill="background1"/>
            <w:noWrap/>
            <w:hideMark/>
          </w:tcPr>
          <w:p w14:paraId="41E4F6B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865,0</w:t>
            </w:r>
          </w:p>
        </w:tc>
        <w:tc>
          <w:tcPr>
            <w:tcW w:w="356" w:type="pct"/>
            <w:tcBorders>
              <w:top w:val="nil"/>
            </w:tcBorders>
            <w:shd w:val="clear" w:color="auto" w:fill="FFFFFF" w:themeFill="background1"/>
            <w:noWrap/>
            <w:hideMark/>
          </w:tcPr>
          <w:p w14:paraId="07D9255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865,0</w:t>
            </w:r>
          </w:p>
        </w:tc>
        <w:tc>
          <w:tcPr>
            <w:tcW w:w="360" w:type="pct"/>
            <w:tcBorders>
              <w:top w:val="nil"/>
            </w:tcBorders>
            <w:shd w:val="clear" w:color="auto" w:fill="FFFFFF" w:themeFill="background1"/>
            <w:noWrap/>
          </w:tcPr>
          <w:p w14:paraId="30796AA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3CFDFE95"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71C798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1A6E793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B2C4E8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DCC6E7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6B6057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FFCC8AD"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FAB66E4"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22E81CB5"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CDB606F"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Акцизе</w:t>
            </w:r>
          </w:p>
        </w:tc>
        <w:tc>
          <w:tcPr>
            <w:tcW w:w="356" w:type="pct"/>
            <w:tcBorders>
              <w:top w:val="nil"/>
            </w:tcBorders>
            <w:shd w:val="clear" w:color="auto" w:fill="FFFFFF" w:themeFill="background1"/>
            <w:noWrap/>
            <w:hideMark/>
          </w:tcPr>
          <w:p w14:paraId="470F4FF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332,1</w:t>
            </w:r>
          </w:p>
        </w:tc>
        <w:tc>
          <w:tcPr>
            <w:tcW w:w="356" w:type="pct"/>
            <w:tcBorders>
              <w:top w:val="nil"/>
            </w:tcBorders>
            <w:shd w:val="clear" w:color="auto" w:fill="FFFFFF" w:themeFill="background1"/>
            <w:noWrap/>
            <w:hideMark/>
          </w:tcPr>
          <w:p w14:paraId="317AFE0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332,1</w:t>
            </w:r>
          </w:p>
        </w:tc>
        <w:tc>
          <w:tcPr>
            <w:tcW w:w="360" w:type="pct"/>
            <w:tcBorders>
              <w:top w:val="nil"/>
            </w:tcBorders>
            <w:shd w:val="clear" w:color="auto" w:fill="FFFFFF" w:themeFill="background1"/>
            <w:noWrap/>
          </w:tcPr>
          <w:p w14:paraId="566F7FA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0E81C75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3CA51D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23B2862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2D0CF2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FA8986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1EAD9C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9B213B2"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FAA4A0F"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65C796A5"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DA21DE0"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Царине</w:t>
            </w:r>
          </w:p>
        </w:tc>
        <w:tc>
          <w:tcPr>
            <w:tcW w:w="356" w:type="pct"/>
            <w:tcBorders>
              <w:top w:val="nil"/>
            </w:tcBorders>
            <w:shd w:val="clear" w:color="auto" w:fill="FFFFFF" w:themeFill="background1"/>
            <w:noWrap/>
            <w:hideMark/>
          </w:tcPr>
          <w:p w14:paraId="0F60F73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86,0</w:t>
            </w:r>
          </w:p>
        </w:tc>
        <w:tc>
          <w:tcPr>
            <w:tcW w:w="356" w:type="pct"/>
            <w:tcBorders>
              <w:top w:val="nil"/>
            </w:tcBorders>
            <w:shd w:val="clear" w:color="auto" w:fill="FFFFFF" w:themeFill="background1"/>
            <w:noWrap/>
            <w:hideMark/>
          </w:tcPr>
          <w:p w14:paraId="15F8AE7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86,0</w:t>
            </w:r>
          </w:p>
        </w:tc>
        <w:tc>
          <w:tcPr>
            <w:tcW w:w="360" w:type="pct"/>
            <w:tcBorders>
              <w:top w:val="nil"/>
            </w:tcBorders>
            <w:shd w:val="clear" w:color="auto" w:fill="FFFFFF" w:themeFill="background1"/>
            <w:noWrap/>
          </w:tcPr>
          <w:p w14:paraId="004A72B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31E80C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43F775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11D2F29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4B07EF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2039ED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FF1D1D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B0CB565"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197C0AD"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46B917F0"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4EB2410"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Остали порески приходи</w:t>
            </w:r>
          </w:p>
        </w:tc>
        <w:tc>
          <w:tcPr>
            <w:tcW w:w="356" w:type="pct"/>
            <w:tcBorders>
              <w:top w:val="nil"/>
            </w:tcBorders>
            <w:shd w:val="clear" w:color="auto" w:fill="FFFFFF" w:themeFill="background1"/>
            <w:noWrap/>
            <w:hideMark/>
          </w:tcPr>
          <w:p w14:paraId="3BD357C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106,8</w:t>
            </w:r>
          </w:p>
        </w:tc>
        <w:tc>
          <w:tcPr>
            <w:tcW w:w="356" w:type="pct"/>
            <w:tcBorders>
              <w:top w:val="nil"/>
            </w:tcBorders>
            <w:shd w:val="clear" w:color="auto" w:fill="FFFFFF" w:themeFill="background1"/>
            <w:noWrap/>
            <w:hideMark/>
          </w:tcPr>
          <w:p w14:paraId="35DB183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13,5</w:t>
            </w:r>
          </w:p>
        </w:tc>
        <w:tc>
          <w:tcPr>
            <w:tcW w:w="360" w:type="pct"/>
            <w:tcBorders>
              <w:top w:val="nil"/>
            </w:tcBorders>
            <w:shd w:val="clear" w:color="auto" w:fill="FFFFFF" w:themeFill="background1"/>
            <w:noWrap/>
            <w:hideMark/>
          </w:tcPr>
          <w:p w14:paraId="313D45F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93,3</w:t>
            </w:r>
          </w:p>
        </w:tc>
        <w:tc>
          <w:tcPr>
            <w:tcW w:w="348" w:type="pct"/>
            <w:tcBorders>
              <w:top w:val="nil"/>
            </w:tcBorders>
            <w:shd w:val="clear" w:color="auto" w:fill="FFFFFF" w:themeFill="background1"/>
            <w:noWrap/>
            <w:hideMark/>
          </w:tcPr>
          <w:p w14:paraId="16B2910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93,3</w:t>
            </w:r>
          </w:p>
        </w:tc>
        <w:tc>
          <w:tcPr>
            <w:tcW w:w="372" w:type="pct"/>
            <w:tcBorders>
              <w:top w:val="nil"/>
            </w:tcBorders>
            <w:shd w:val="clear" w:color="auto" w:fill="FFFFFF" w:themeFill="background1"/>
            <w:noWrap/>
            <w:hideMark/>
          </w:tcPr>
          <w:p w14:paraId="5B72105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41E96A7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2A62C0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BF4B9E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68BA75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69F435F"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6E83EAB"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398A6A87"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5D828BB"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Непорески приходи</w:t>
            </w:r>
          </w:p>
        </w:tc>
        <w:tc>
          <w:tcPr>
            <w:tcW w:w="356" w:type="pct"/>
            <w:tcBorders>
              <w:top w:val="nil"/>
            </w:tcBorders>
            <w:shd w:val="clear" w:color="auto" w:fill="FFFFFF" w:themeFill="background1"/>
            <w:noWrap/>
            <w:hideMark/>
          </w:tcPr>
          <w:p w14:paraId="109F5FE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294,3</w:t>
            </w:r>
          </w:p>
        </w:tc>
        <w:tc>
          <w:tcPr>
            <w:tcW w:w="356" w:type="pct"/>
            <w:tcBorders>
              <w:top w:val="nil"/>
            </w:tcBorders>
            <w:shd w:val="clear" w:color="auto" w:fill="FFFFFF" w:themeFill="background1"/>
            <w:noWrap/>
            <w:hideMark/>
          </w:tcPr>
          <w:p w14:paraId="4D2F162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150,3</w:t>
            </w:r>
          </w:p>
        </w:tc>
        <w:tc>
          <w:tcPr>
            <w:tcW w:w="360" w:type="pct"/>
            <w:tcBorders>
              <w:top w:val="nil"/>
            </w:tcBorders>
            <w:shd w:val="clear" w:color="auto" w:fill="FFFFFF" w:themeFill="background1"/>
            <w:noWrap/>
            <w:hideMark/>
          </w:tcPr>
          <w:p w14:paraId="2272C6D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87,3</w:t>
            </w:r>
          </w:p>
        </w:tc>
        <w:tc>
          <w:tcPr>
            <w:tcW w:w="348" w:type="pct"/>
            <w:tcBorders>
              <w:top w:val="nil"/>
            </w:tcBorders>
            <w:shd w:val="clear" w:color="auto" w:fill="FFFFFF" w:themeFill="background1"/>
            <w:noWrap/>
            <w:hideMark/>
          </w:tcPr>
          <w:p w14:paraId="28420D2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80,6</w:t>
            </w:r>
          </w:p>
        </w:tc>
        <w:tc>
          <w:tcPr>
            <w:tcW w:w="372" w:type="pct"/>
            <w:tcBorders>
              <w:top w:val="nil"/>
            </w:tcBorders>
            <w:shd w:val="clear" w:color="auto" w:fill="FFFFFF" w:themeFill="background1"/>
            <w:noWrap/>
            <w:hideMark/>
          </w:tcPr>
          <w:p w14:paraId="09005B9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6,7</w:t>
            </w:r>
          </w:p>
        </w:tc>
        <w:tc>
          <w:tcPr>
            <w:tcW w:w="353" w:type="pct"/>
            <w:tcBorders>
              <w:top w:val="nil"/>
            </w:tcBorders>
            <w:shd w:val="clear" w:color="auto" w:fill="FFFFFF" w:themeFill="background1"/>
            <w:noWrap/>
            <w:hideMark/>
          </w:tcPr>
          <w:p w14:paraId="6DC6FE2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43,7</w:t>
            </w:r>
          </w:p>
        </w:tc>
        <w:tc>
          <w:tcPr>
            <w:tcW w:w="372" w:type="pct"/>
            <w:tcBorders>
              <w:top w:val="nil"/>
            </w:tcBorders>
            <w:shd w:val="clear" w:color="auto" w:fill="FFFFFF" w:themeFill="background1"/>
            <w:noWrap/>
            <w:hideMark/>
          </w:tcPr>
          <w:p w14:paraId="06103A5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13,0</w:t>
            </w:r>
          </w:p>
        </w:tc>
        <w:tc>
          <w:tcPr>
            <w:tcW w:w="372" w:type="pct"/>
            <w:tcBorders>
              <w:top w:val="nil"/>
            </w:tcBorders>
            <w:shd w:val="clear" w:color="auto" w:fill="FFFFFF" w:themeFill="background1"/>
            <w:noWrap/>
            <w:hideMark/>
          </w:tcPr>
          <w:p w14:paraId="379BDDB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1,1</w:t>
            </w:r>
          </w:p>
        </w:tc>
        <w:tc>
          <w:tcPr>
            <w:tcW w:w="372" w:type="pct"/>
            <w:tcBorders>
              <w:top w:val="nil"/>
            </w:tcBorders>
            <w:shd w:val="clear" w:color="auto" w:fill="FFFFFF" w:themeFill="background1"/>
            <w:noWrap/>
            <w:hideMark/>
          </w:tcPr>
          <w:p w14:paraId="7195D72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10,0</w:t>
            </w:r>
          </w:p>
        </w:tc>
        <w:tc>
          <w:tcPr>
            <w:tcW w:w="372" w:type="pct"/>
            <w:tcBorders>
              <w:top w:val="nil"/>
            </w:tcBorders>
            <w:shd w:val="clear" w:color="auto" w:fill="FFFFFF" w:themeFill="background1"/>
            <w:noWrap/>
            <w:hideMark/>
          </w:tcPr>
          <w:p w14:paraId="1C6CB271"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1,2</w:t>
            </w:r>
          </w:p>
        </w:tc>
        <w:tc>
          <w:tcPr>
            <w:tcW w:w="372" w:type="pct"/>
            <w:tcBorders>
              <w:top w:val="nil"/>
            </w:tcBorders>
            <w:shd w:val="clear" w:color="auto" w:fill="FFFFFF" w:themeFill="background1"/>
            <w:noWrap/>
            <w:hideMark/>
          </w:tcPr>
          <w:p w14:paraId="11064B7B"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0,7</w:t>
            </w:r>
          </w:p>
        </w:tc>
      </w:tr>
      <w:tr w:rsidR="00AA5F62" w:rsidRPr="00F27A03" w14:paraId="066F8D6A"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E258367"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Донације</w:t>
            </w:r>
          </w:p>
        </w:tc>
        <w:tc>
          <w:tcPr>
            <w:tcW w:w="356" w:type="pct"/>
            <w:tcBorders>
              <w:top w:val="nil"/>
            </w:tcBorders>
            <w:shd w:val="clear" w:color="auto" w:fill="FFFFFF" w:themeFill="background1"/>
            <w:noWrap/>
            <w:hideMark/>
          </w:tcPr>
          <w:p w14:paraId="502ECF6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53,0</w:t>
            </w:r>
          </w:p>
        </w:tc>
        <w:tc>
          <w:tcPr>
            <w:tcW w:w="356" w:type="pct"/>
            <w:tcBorders>
              <w:top w:val="nil"/>
            </w:tcBorders>
            <w:shd w:val="clear" w:color="auto" w:fill="FFFFFF" w:themeFill="background1"/>
            <w:noWrap/>
            <w:hideMark/>
          </w:tcPr>
          <w:p w14:paraId="2ED752C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50,5</w:t>
            </w:r>
          </w:p>
        </w:tc>
        <w:tc>
          <w:tcPr>
            <w:tcW w:w="360" w:type="pct"/>
            <w:tcBorders>
              <w:top w:val="nil"/>
            </w:tcBorders>
            <w:shd w:val="clear" w:color="auto" w:fill="FFFFFF" w:themeFill="background1"/>
            <w:noWrap/>
            <w:hideMark/>
          </w:tcPr>
          <w:p w14:paraId="158E494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w:t>
            </w:r>
          </w:p>
        </w:tc>
        <w:tc>
          <w:tcPr>
            <w:tcW w:w="348" w:type="pct"/>
            <w:tcBorders>
              <w:top w:val="nil"/>
            </w:tcBorders>
            <w:shd w:val="clear" w:color="auto" w:fill="FFFFFF" w:themeFill="background1"/>
            <w:noWrap/>
            <w:hideMark/>
          </w:tcPr>
          <w:p w14:paraId="0E9EAF4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w:t>
            </w:r>
          </w:p>
        </w:tc>
        <w:tc>
          <w:tcPr>
            <w:tcW w:w="372" w:type="pct"/>
            <w:tcBorders>
              <w:top w:val="nil"/>
            </w:tcBorders>
            <w:shd w:val="clear" w:color="auto" w:fill="FFFFFF" w:themeFill="background1"/>
            <w:noWrap/>
          </w:tcPr>
          <w:p w14:paraId="78B6A88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tcPr>
          <w:p w14:paraId="126D3C2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3A9AC0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0,5</w:t>
            </w:r>
          </w:p>
        </w:tc>
        <w:tc>
          <w:tcPr>
            <w:tcW w:w="372" w:type="pct"/>
            <w:tcBorders>
              <w:top w:val="nil"/>
            </w:tcBorders>
            <w:shd w:val="clear" w:color="auto" w:fill="FFFFFF" w:themeFill="background1"/>
            <w:noWrap/>
          </w:tcPr>
          <w:p w14:paraId="1F38D4F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24FEF4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F9C9E24"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0,5</w:t>
            </w:r>
          </w:p>
        </w:tc>
        <w:tc>
          <w:tcPr>
            <w:tcW w:w="372" w:type="pct"/>
            <w:tcBorders>
              <w:top w:val="nil"/>
            </w:tcBorders>
            <w:shd w:val="clear" w:color="auto" w:fill="FFFFFF" w:themeFill="background1"/>
            <w:noWrap/>
            <w:hideMark/>
          </w:tcPr>
          <w:p w14:paraId="266B88E5"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0DFA3544"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BFBFBF" w:themeFill="background1" w:themeFillShade="BF"/>
            <w:noWrap/>
            <w:vAlign w:val="bottom"/>
            <w:hideMark/>
          </w:tcPr>
          <w:p w14:paraId="0090D548" w14:textId="77777777" w:rsidR="00AA5F62" w:rsidRPr="00F27A03" w:rsidRDefault="00AA5F62" w:rsidP="00A42963">
            <w:pPr>
              <w:tabs>
                <w:tab w:val="center" w:pos="4680"/>
                <w:tab w:val="right" w:pos="9360"/>
              </w:tabs>
              <w:rPr>
                <w:rFonts w:cstheme="minorHAnsi"/>
                <w:color w:val="002060"/>
                <w:sz w:val="14"/>
                <w:szCs w:val="14"/>
                <w:lang w:val="sr-Cyrl-CS"/>
              </w:rPr>
            </w:pPr>
            <w:r w:rsidRPr="00F27A03">
              <w:rPr>
                <w:rFonts w:cstheme="minorHAnsi"/>
                <w:color w:val="002060"/>
                <w:sz w:val="14"/>
                <w:szCs w:val="14"/>
                <w:lang w:val="sr-Cyrl-CS"/>
              </w:rPr>
              <w:t>Јавни расходи</w:t>
            </w:r>
          </w:p>
        </w:tc>
        <w:tc>
          <w:tcPr>
            <w:tcW w:w="356" w:type="pct"/>
            <w:tcBorders>
              <w:top w:val="nil"/>
            </w:tcBorders>
            <w:shd w:val="clear" w:color="auto" w:fill="BFBFBF" w:themeFill="background1" w:themeFillShade="BF"/>
            <w:noWrap/>
            <w:hideMark/>
          </w:tcPr>
          <w:p w14:paraId="4F52E05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3.547,4</w:t>
            </w:r>
          </w:p>
        </w:tc>
        <w:tc>
          <w:tcPr>
            <w:tcW w:w="356" w:type="pct"/>
            <w:tcBorders>
              <w:top w:val="nil"/>
            </w:tcBorders>
            <w:shd w:val="clear" w:color="auto" w:fill="BFBFBF" w:themeFill="background1" w:themeFillShade="BF"/>
            <w:noWrap/>
            <w:hideMark/>
          </w:tcPr>
          <w:p w14:paraId="3975DB8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1.637,0</w:t>
            </w:r>
          </w:p>
        </w:tc>
        <w:tc>
          <w:tcPr>
            <w:tcW w:w="360" w:type="pct"/>
            <w:tcBorders>
              <w:top w:val="nil"/>
            </w:tcBorders>
            <w:shd w:val="clear" w:color="auto" w:fill="BFBFBF" w:themeFill="background1" w:themeFillShade="BF"/>
            <w:noWrap/>
            <w:hideMark/>
          </w:tcPr>
          <w:p w14:paraId="7974830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551,2</w:t>
            </w:r>
          </w:p>
        </w:tc>
        <w:tc>
          <w:tcPr>
            <w:tcW w:w="348" w:type="pct"/>
            <w:tcBorders>
              <w:top w:val="nil"/>
            </w:tcBorders>
            <w:shd w:val="clear" w:color="auto" w:fill="BFBFBF" w:themeFill="background1" w:themeFillShade="BF"/>
            <w:noWrap/>
            <w:hideMark/>
          </w:tcPr>
          <w:p w14:paraId="05D325A5"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460,7</w:t>
            </w:r>
          </w:p>
        </w:tc>
        <w:tc>
          <w:tcPr>
            <w:tcW w:w="372" w:type="pct"/>
            <w:tcBorders>
              <w:top w:val="nil"/>
            </w:tcBorders>
            <w:shd w:val="clear" w:color="auto" w:fill="BFBFBF" w:themeFill="background1" w:themeFillShade="BF"/>
            <w:noWrap/>
            <w:hideMark/>
          </w:tcPr>
          <w:p w14:paraId="1057E1B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90,5</w:t>
            </w:r>
          </w:p>
        </w:tc>
        <w:tc>
          <w:tcPr>
            <w:tcW w:w="353" w:type="pct"/>
            <w:tcBorders>
              <w:top w:val="nil"/>
            </w:tcBorders>
            <w:shd w:val="clear" w:color="auto" w:fill="BFBFBF" w:themeFill="background1" w:themeFillShade="BF"/>
            <w:noWrap/>
            <w:hideMark/>
          </w:tcPr>
          <w:p w14:paraId="167AFAD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62,4</w:t>
            </w:r>
          </w:p>
        </w:tc>
        <w:tc>
          <w:tcPr>
            <w:tcW w:w="372" w:type="pct"/>
            <w:tcBorders>
              <w:top w:val="nil"/>
            </w:tcBorders>
            <w:shd w:val="clear" w:color="auto" w:fill="BFBFBF" w:themeFill="background1" w:themeFillShade="BF"/>
            <w:noWrap/>
            <w:hideMark/>
          </w:tcPr>
          <w:p w14:paraId="06F6611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1.296,8</w:t>
            </w:r>
          </w:p>
        </w:tc>
        <w:tc>
          <w:tcPr>
            <w:tcW w:w="372" w:type="pct"/>
            <w:tcBorders>
              <w:top w:val="nil"/>
            </w:tcBorders>
            <w:shd w:val="clear" w:color="auto" w:fill="BFBFBF" w:themeFill="background1" w:themeFillShade="BF"/>
            <w:noWrap/>
            <w:hideMark/>
          </w:tcPr>
          <w:p w14:paraId="34F6F49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812,1</w:t>
            </w:r>
          </w:p>
        </w:tc>
        <w:tc>
          <w:tcPr>
            <w:tcW w:w="372" w:type="pct"/>
            <w:tcBorders>
              <w:top w:val="nil"/>
            </w:tcBorders>
            <w:shd w:val="clear" w:color="auto" w:fill="BFBFBF" w:themeFill="background1" w:themeFillShade="BF"/>
            <w:noWrap/>
            <w:hideMark/>
          </w:tcPr>
          <w:p w14:paraId="0112F54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454,1</w:t>
            </w:r>
          </w:p>
        </w:tc>
        <w:tc>
          <w:tcPr>
            <w:tcW w:w="372" w:type="pct"/>
            <w:tcBorders>
              <w:top w:val="nil"/>
            </w:tcBorders>
            <w:shd w:val="clear" w:color="auto" w:fill="BFBFBF" w:themeFill="background1" w:themeFillShade="BF"/>
            <w:noWrap/>
            <w:hideMark/>
          </w:tcPr>
          <w:p w14:paraId="4F58F1F2"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23,0</w:t>
            </w:r>
          </w:p>
        </w:tc>
        <w:tc>
          <w:tcPr>
            <w:tcW w:w="372" w:type="pct"/>
            <w:tcBorders>
              <w:top w:val="nil"/>
            </w:tcBorders>
            <w:shd w:val="clear" w:color="auto" w:fill="BFBFBF" w:themeFill="background1" w:themeFillShade="BF"/>
            <w:noWrap/>
            <w:hideMark/>
          </w:tcPr>
          <w:p w14:paraId="2246B77F"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7,6</w:t>
            </w:r>
          </w:p>
        </w:tc>
      </w:tr>
      <w:tr w:rsidR="00AA5F62" w:rsidRPr="00F27A03" w14:paraId="7974BF02"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2DA3909"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Текући расходи</w:t>
            </w:r>
          </w:p>
        </w:tc>
        <w:tc>
          <w:tcPr>
            <w:tcW w:w="356" w:type="pct"/>
            <w:tcBorders>
              <w:top w:val="nil"/>
            </w:tcBorders>
            <w:shd w:val="clear" w:color="auto" w:fill="FFFFFF" w:themeFill="background1"/>
            <w:noWrap/>
            <w:hideMark/>
          </w:tcPr>
          <w:p w14:paraId="18CAE51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2.864,8</w:t>
            </w:r>
          </w:p>
        </w:tc>
        <w:tc>
          <w:tcPr>
            <w:tcW w:w="356" w:type="pct"/>
            <w:tcBorders>
              <w:top w:val="nil"/>
            </w:tcBorders>
            <w:shd w:val="clear" w:color="auto" w:fill="FFFFFF" w:themeFill="background1"/>
            <w:noWrap/>
            <w:hideMark/>
          </w:tcPr>
          <w:p w14:paraId="3AC4510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1.076,4</w:t>
            </w:r>
          </w:p>
        </w:tc>
        <w:tc>
          <w:tcPr>
            <w:tcW w:w="360" w:type="pct"/>
            <w:tcBorders>
              <w:top w:val="nil"/>
            </w:tcBorders>
            <w:shd w:val="clear" w:color="auto" w:fill="FFFFFF" w:themeFill="background1"/>
            <w:noWrap/>
            <w:hideMark/>
          </w:tcPr>
          <w:p w14:paraId="1864EB3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441,7</w:t>
            </w:r>
          </w:p>
        </w:tc>
        <w:tc>
          <w:tcPr>
            <w:tcW w:w="348" w:type="pct"/>
            <w:tcBorders>
              <w:top w:val="nil"/>
            </w:tcBorders>
            <w:shd w:val="clear" w:color="auto" w:fill="FFFFFF" w:themeFill="background1"/>
            <w:noWrap/>
            <w:hideMark/>
          </w:tcPr>
          <w:p w14:paraId="72A11C0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357,8</w:t>
            </w:r>
          </w:p>
        </w:tc>
        <w:tc>
          <w:tcPr>
            <w:tcW w:w="372" w:type="pct"/>
            <w:tcBorders>
              <w:top w:val="nil"/>
            </w:tcBorders>
            <w:shd w:val="clear" w:color="auto" w:fill="FFFFFF" w:themeFill="background1"/>
            <w:noWrap/>
            <w:hideMark/>
          </w:tcPr>
          <w:p w14:paraId="29BD6AC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83,9</w:t>
            </w:r>
          </w:p>
        </w:tc>
        <w:tc>
          <w:tcPr>
            <w:tcW w:w="353" w:type="pct"/>
            <w:tcBorders>
              <w:top w:val="nil"/>
            </w:tcBorders>
            <w:shd w:val="clear" w:color="auto" w:fill="FFFFFF" w:themeFill="background1"/>
            <w:noWrap/>
            <w:hideMark/>
          </w:tcPr>
          <w:p w14:paraId="62B6F2B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53,1</w:t>
            </w:r>
          </w:p>
        </w:tc>
        <w:tc>
          <w:tcPr>
            <w:tcW w:w="372" w:type="pct"/>
            <w:tcBorders>
              <w:top w:val="nil"/>
            </w:tcBorders>
            <w:shd w:val="clear" w:color="auto" w:fill="FFFFFF" w:themeFill="background1"/>
            <w:noWrap/>
            <w:hideMark/>
          </w:tcPr>
          <w:p w14:paraId="1F8B4CA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1.293,5</w:t>
            </w:r>
          </w:p>
        </w:tc>
        <w:tc>
          <w:tcPr>
            <w:tcW w:w="372" w:type="pct"/>
            <w:tcBorders>
              <w:top w:val="nil"/>
            </w:tcBorders>
            <w:shd w:val="clear" w:color="auto" w:fill="FFFFFF" w:themeFill="background1"/>
            <w:noWrap/>
            <w:hideMark/>
          </w:tcPr>
          <w:p w14:paraId="3E0940A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811,4</w:t>
            </w:r>
          </w:p>
        </w:tc>
        <w:tc>
          <w:tcPr>
            <w:tcW w:w="372" w:type="pct"/>
            <w:tcBorders>
              <w:top w:val="nil"/>
            </w:tcBorders>
            <w:shd w:val="clear" w:color="auto" w:fill="FFFFFF" w:themeFill="background1"/>
            <w:noWrap/>
            <w:hideMark/>
          </w:tcPr>
          <w:p w14:paraId="0402C65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452,1</w:t>
            </w:r>
          </w:p>
        </w:tc>
        <w:tc>
          <w:tcPr>
            <w:tcW w:w="372" w:type="pct"/>
            <w:tcBorders>
              <w:top w:val="nil"/>
            </w:tcBorders>
            <w:shd w:val="clear" w:color="auto" w:fill="FFFFFF" w:themeFill="background1"/>
            <w:noWrap/>
            <w:hideMark/>
          </w:tcPr>
          <w:p w14:paraId="797F2EB2"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22,6</w:t>
            </w:r>
          </w:p>
        </w:tc>
        <w:tc>
          <w:tcPr>
            <w:tcW w:w="372" w:type="pct"/>
            <w:tcBorders>
              <w:top w:val="nil"/>
            </w:tcBorders>
            <w:shd w:val="clear" w:color="auto" w:fill="FFFFFF" w:themeFill="background1"/>
            <w:noWrap/>
            <w:hideMark/>
          </w:tcPr>
          <w:p w14:paraId="1F2F6CFC"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sz w:val="14"/>
                <w:szCs w:val="14"/>
                <w:lang w:val="sr-Cyrl-CS"/>
              </w:rPr>
              <w:t>7,4</w:t>
            </w:r>
          </w:p>
        </w:tc>
      </w:tr>
      <w:tr w:rsidR="00AA5F62" w:rsidRPr="00F27A03" w14:paraId="1742BACF"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ED0AA2A"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Расходи за запослене</w:t>
            </w:r>
          </w:p>
        </w:tc>
        <w:tc>
          <w:tcPr>
            <w:tcW w:w="356" w:type="pct"/>
            <w:tcBorders>
              <w:top w:val="nil"/>
            </w:tcBorders>
            <w:shd w:val="clear" w:color="auto" w:fill="FFFFFF" w:themeFill="background1"/>
            <w:noWrap/>
            <w:hideMark/>
          </w:tcPr>
          <w:p w14:paraId="761CB93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674,5</w:t>
            </w:r>
          </w:p>
        </w:tc>
        <w:tc>
          <w:tcPr>
            <w:tcW w:w="356" w:type="pct"/>
            <w:tcBorders>
              <w:top w:val="nil"/>
            </w:tcBorders>
            <w:shd w:val="clear" w:color="auto" w:fill="FFFFFF" w:themeFill="background1"/>
            <w:noWrap/>
            <w:hideMark/>
          </w:tcPr>
          <w:p w14:paraId="46FB4AE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350,7</w:t>
            </w:r>
          </w:p>
        </w:tc>
        <w:tc>
          <w:tcPr>
            <w:tcW w:w="360" w:type="pct"/>
            <w:tcBorders>
              <w:top w:val="nil"/>
            </w:tcBorders>
            <w:shd w:val="clear" w:color="auto" w:fill="FFFFFF" w:themeFill="background1"/>
            <w:noWrap/>
            <w:hideMark/>
          </w:tcPr>
          <w:p w14:paraId="31754F9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117,1</w:t>
            </w:r>
          </w:p>
        </w:tc>
        <w:tc>
          <w:tcPr>
            <w:tcW w:w="348" w:type="pct"/>
            <w:tcBorders>
              <w:top w:val="nil"/>
            </w:tcBorders>
            <w:shd w:val="clear" w:color="auto" w:fill="FFFFFF" w:themeFill="background1"/>
            <w:noWrap/>
            <w:hideMark/>
          </w:tcPr>
          <w:p w14:paraId="7C7A4AB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74,8</w:t>
            </w:r>
          </w:p>
        </w:tc>
        <w:tc>
          <w:tcPr>
            <w:tcW w:w="372" w:type="pct"/>
            <w:tcBorders>
              <w:top w:val="nil"/>
            </w:tcBorders>
            <w:shd w:val="clear" w:color="auto" w:fill="FFFFFF" w:themeFill="background1"/>
            <w:noWrap/>
            <w:hideMark/>
          </w:tcPr>
          <w:p w14:paraId="7A91FF1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42,4</w:t>
            </w:r>
          </w:p>
        </w:tc>
        <w:tc>
          <w:tcPr>
            <w:tcW w:w="353" w:type="pct"/>
            <w:tcBorders>
              <w:top w:val="nil"/>
            </w:tcBorders>
            <w:shd w:val="clear" w:color="auto" w:fill="FFFFFF" w:themeFill="background1"/>
            <w:noWrap/>
            <w:hideMark/>
          </w:tcPr>
          <w:p w14:paraId="4DF2F0E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3,5</w:t>
            </w:r>
          </w:p>
        </w:tc>
        <w:tc>
          <w:tcPr>
            <w:tcW w:w="372" w:type="pct"/>
            <w:tcBorders>
              <w:top w:val="nil"/>
            </w:tcBorders>
            <w:shd w:val="clear" w:color="auto" w:fill="FFFFFF" w:themeFill="background1"/>
            <w:noWrap/>
            <w:hideMark/>
          </w:tcPr>
          <w:p w14:paraId="7C1019D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203,3</w:t>
            </w:r>
          </w:p>
        </w:tc>
        <w:tc>
          <w:tcPr>
            <w:tcW w:w="372" w:type="pct"/>
            <w:tcBorders>
              <w:top w:val="nil"/>
            </w:tcBorders>
            <w:shd w:val="clear" w:color="auto" w:fill="FFFFFF" w:themeFill="background1"/>
            <w:noWrap/>
            <w:hideMark/>
          </w:tcPr>
          <w:p w14:paraId="10BC441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3,7</w:t>
            </w:r>
          </w:p>
        </w:tc>
        <w:tc>
          <w:tcPr>
            <w:tcW w:w="372" w:type="pct"/>
            <w:tcBorders>
              <w:top w:val="nil"/>
            </w:tcBorders>
            <w:shd w:val="clear" w:color="auto" w:fill="FFFFFF" w:themeFill="background1"/>
            <w:noWrap/>
            <w:hideMark/>
          </w:tcPr>
          <w:p w14:paraId="218D114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197,5</w:t>
            </w:r>
          </w:p>
        </w:tc>
        <w:tc>
          <w:tcPr>
            <w:tcW w:w="372" w:type="pct"/>
            <w:tcBorders>
              <w:top w:val="nil"/>
            </w:tcBorders>
            <w:shd w:val="clear" w:color="auto" w:fill="FFFFFF" w:themeFill="background1"/>
            <w:noWrap/>
            <w:hideMark/>
          </w:tcPr>
          <w:p w14:paraId="3BDCB25A"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w:t>
            </w:r>
          </w:p>
        </w:tc>
        <w:tc>
          <w:tcPr>
            <w:tcW w:w="372" w:type="pct"/>
            <w:tcBorders>
              <w:top w:val="nil"/>
            </w:tcBorders>
            <w:shd w:val="clear" w:color="auto" w:fill="FFFFFF" w:themeFill="background1"/>
            <w:noWrap/>
          </w:tcPr>
          <w:p w14:paraId="1CB2ED35"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464C1895"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760565A5"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Доприноси на терет послодавца</w:t>
            </w:r>
          </w:p>
        </w:tc>
        <w:tc>
          <w:tcPr>
            <w:tcW w:w="356" w:type="pct"/>
            <w:tcBorders>
              <w:top w:val="nil"/>
            </w:tcBorders>
            <w:shd w:val="clear" w:color="auto" w:fill="FFFFFF" w:themeFill="background1"/>
            <w:noWrap/>
            <w:hideMark/>
          </w:tcPr>
          <w:p w14:paraId="481971F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99,3</w:t>
            </w:r>
          </w:p>
        </w:tc>
        <w:tc>
          <w:tcPr>
            <w:tcW w:w="356" w:type="pct"/>
            <w:tcBorders>
              <w:top w:val="nil"/>
            </w:tcBorders>
            <w:shd w:val="clear" w:color="auto" w:fill="FFFFFF" w:themeFill="background1"/>
            <w:noWrap/>
            <w:hideMark/>
          </w:tcPr>
          <w:p w14:paraId="1335D07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52,3</w:t>
            </w:r>
          </w:p>
        </w:tc>
        <w:tc>
          <w:tcPr>
            <w:tcW w:w="360" w:type="pct"/>
            <w:tcBorders>
              <w:top w:val="nil"/>
            </w:tcBorders>
            <w:shd w:val="clear" w:color="auto" w:fill="FFFFFF" w:themeFill="background1"/>
            <w:noWrap/>
            <w:hideMark/>
          </w:tcPr>
          <w:p w14:paraId="128C61B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17,9</w:t>
            </w:r>
          </w:p>
        </w:tc>
        <w:tc>
          <w:tcPr>
            <w:tcW w:w="348" w:type="pct"/>
            <w:tcBorders>
              <w:top w:val="nil"/>
            </w:tcBorders>
            <w:shd w:val="clear" w:color="auto" w:fill="FFFFFF" w:themeFill="background1"/>
            <w:noWrap/>
            <w:hideMark/>
          </w:tcPr>
          <w:p w14:paraId="2E8D918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10,3</w:t>
            </w:r>
          </w:p>
        </w:tc>
        <w:tc>
          <w:tcPr>
            <w:tcW w:w="372" w:type="pct"/>
            <w:tcBorders>
              <w:top w:val="nil"/>
            </w:tcBorders>
            <w:shd w:val="clear" w:color="auto" w:fill="FFFFFF" w:themeFill="background1"/>
            <w:noWrap/>
            <w:hideMark/>
          </w:tcPr>
          <w:p w14:paraId="0815D9E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7,6</w:t>
            </w:r>
          </w:p>
        </w:tc>
        <w:tc>
          <w:tcPr>
            <w:tcW w:w="353" w:type="pct"/>
            <w:tcBorders>
              <w:top w:val="nil"/>
            </w:tcBorders>
            <w:shd w:val="clear" w:color="auto" w:fill="FFFFFF" w:themeFill="background1"/>
            <w:noWrap/>
            <w:hideMark/>
          </w:tcPr>
          <w:p w14:paraId="4954C97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0,5</w:t>
            </w:r>
          </w:p>
        </w:tc>
        <w:tc>
          <w:tcPr>
            <w:tcW w:w="372" w:type="pct"/>
            <w:tcBorders>
              <w:top w:val="nil"/>
            </w:tcBorders>
            <w:shd w:val="clear" w:color="auto" w:fill="FFFFFF" w:themeFill="background1"/>
            <w:noWrap/>
            <w:hideMark/>
          </w:tcPr>
          <w:p w14:paraId="54C262B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28,5</w:t>
            </w:r>
          </w:p>
        </w:tc>
        <w:tc>
          <w:tcPr>
            <w:tcW w:w="372" w:type="pct"/>
            <w:tcBorders>
              <w:top w:val="nil"/>
            </w:tcBorders>
            <w:shd w:val="clear" w:color="auto" w:fill="FFFFFF" w:themeFill="background1"/>
            <w:noWrap/>
            <w:hideMark/>
          </w:tcPr>
          <w:p w14:paraId="40525AC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0,7</w:t>
            </w:r>
          </w:p>
        </w:tc>
        <w:tc>
          <w:tcPr>
            <w:tcW w:w="372" w:type="pct"/>
            <w:tcBorders>
              <w:top w:val="nil"/>
            </w:tcBorders>
            <w:shd w:val="clear" w:color="auto" w:fill="FFFFFF" w:themeFill="background1"/>
            <w:noWrap/>
            <w:hideMark/>
          </w:tcPr>
          <w:p w14:paraId="3270682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27,4</w:t>
            </w:r>
          </w:p>
        </w:tc>
        <w:tc>
          <w:tcPr>
            <w:tcW w:w="372" w:type="pct"/>
            <w:tcBorders>
              <w:top w:val="nil"/>
            </w:tcBorders>
            <w:shd w:val="clear" w:color="auto" w:fill="FFFFFF" w:themeFill="background1"/>
            <w:noWrap/>
            <w:hideMark/>
          </w:tcPr>
          <w:p w14:paraId="1D58189A"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0,4</w:t>
            </w:r>
          </w:p>
        </w:tc>
        <w:tc>
          <w:tcPr>
            <w:tcW w:w="372" w:type="pct"/>
            <w:tcBorders>
              <w:top w:val="nil"/>
            </w:tcBorders>
            <w:shd w:val="clear" w:color="auto" w:fill="FFFFFF" w:themeFill="background1"/>
            <w:noWrap/>
          </w:tcPr>
          <w:p w14:paraId="57B49885"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01060618"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7057E60A"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Куповина роба и услуга</w:t>
            </w:r>
          </w:p>
        </w:tc>
        <w:tc>
          <w:tcPr>
            <w:tcW w:w="356" w:type="pct"/>
            <w:tcBorders>
              <w:top w:val="nil"/>
            </w:tcBorders>
            <w:shd w:val="clear" w:color="auto" w:fill="FFFFFF" w:themeFill="background1"/>
            <w:noWrap/>
            <w:hideMark/>
          </w:tcPr>
          <w:p w14:paraId="77210CA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575,9</w:t>
            </w:r>
          </w:p>
        </w:tc>
        <w:tc>
          <w:tcPr>
            <w:tcW w:w="356" w:type="pct"/>
            <w:tcBorders>
              <w:top w:val="nil"/>
            </w:tcBorders>
            <w:shd w:val="clear" w:color="auto" w:fill="FFFFFF" w:themeFill="background1"/>
            <w:noWrap/>
            <w:hideMark/>
          </w:tcPr>
          <w:p w14:paraId="49EE9E8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149,3</w:t>
            </w:r>
          </w:p>
        </w:tc>
        <w:tc>
          <w:tcPr>
            <w:tcW w:w="360" w:type="pct"/>
            <w:tcBorders>
              <w:top w:val="nil"/>
            </w:tcBorders>
            <w:shd w:val="clear" w:color="auto" w:fill="FFFFFF" w:themeFill="background1"/>
            <w:noWrap/>
            <w:hideMark/>
          </w:tcPr>
          <w:p w14:paraId="6245A99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165,0</w:t>
            </w:r>
          </w:p>
        </w:tc>
        <w:tc>
          <w:tcPr>
            <w:tcW w:w="348" w:type="pct"/>
            <w:tcBorders>
              <w:top w:val="nil"/>
            </w:tcBorders>
            <w:shd w:val="clear" w:color="auto" w:fill="FFFFFF" w:themeFill="background1"/>
            <w:noWrap/>
            <w:hideMark/>
          </w:tcPr>
          <w:p w14:paraId="2587F74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159,1</w:t>
            </w:r>
          </w:p>
        </w:tc>
        <w:tc>
          <w:tcPr>
            <w:tcW w:w="372" w:type="pct"/>
            <w:tcBorders>
              <w:top w:val="nil"/>
            </w:tcBorders>
            <w:shd w:val="clear" w:color="auto" w:fill="FFFFFF" w:themeFill="background1"/>
            <w:noWrap/>
            <w:hideMark/>
          </w:tcPr>
          <w:p w14:paraId="6C26F89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5,9</w:t>
            </w:r>
          </w:p>
        </w:tc>
        <w:tc>
          <w:tcPr>
            <w:tcW w:w="353" w:type="pct"/>
            <w:tcBorders>
              <w:top w:val="nil"/>
            </w:tcBorders>
            <w:shd w:val="clear" w:color="auto" w:fill="FFFFFF" w:themeFill="background1"/>
            <w:noWrap/>
            <w:hideMark/>
          </w:tcPr>
          <w:p w14:paraId="2E1BE53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45,7</w:t>
            </w:r>
          </w:p>
        </w:tc>
        <w:tc>
          <w:tcPr>
            <w:tcW w:w="372" w:type="pct"/>
            <w:tcBorders>
              <w:top w:val="nil"/>
            </w:tcBorders>
            <w:shd w:val="clear" w:color="auto" w:fill="FFFFFF" w:themeFill="background1"/>
            <w:noWrap/>
            <w:hideMark/>
          </w:tcPr>
          <w:p w14:paraId="7F3459F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215,9</w:t>
            </w:r>
          </w:p>
        </w:tc>
        <w:tc>
          <w:tcPr>
            <w:tcW w:w="372" w:type="pct"/>
            <w:tcBorders>
              <w:top w:val="nil"/>
            </w:tcBorders>
            <w:shd w:val="clear" w:color="auto" w:fill="FFFFFF" w:themeFill="background1"/>
            <w:noWrap/>
            <w:hideMark/>
          </w:tcPr>
          <w:p w14:paraId="166B8E4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2,6</w:t>
            </w:r>
          </w:p>
        </w:tc>
        <w:tc>
          <w:tcPr>
            <w:tcW w:w="372" w:type="pct"/>
            <w:tcBorders>
              <w:top w:val="nil"/>
            </w:tcBorders>
            <w:shd w:val="clear" w:color="auto" w:fill="FFFFFF" w:themeFill="background1"/>
            <w:noWrap/>
            <w:hideMark/>
          </w:tcPr>
          <w:p w14:paraId="373D187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207,4</w:t>
            </w:r>
          </w:p>
        </w:tc>
        <w:tc>
          <w:tcPr>
            <w:tcW w:w="372" w:type="pct"/>
            <w:tcBorders>
              <w:top w:val="nil"/>
            </w:tcBorders>
            <w:shd w:val="clear" w:color="auto" w:fill="FFFFFF" w:themeFill="background1"/>
            <w:noWrap/>
            <w:hideMark/>
          </w:tcPr>
          <w:p w14:paraId="3DE0B106"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1,1</w:t>
            </w:r>
          </w:p>
        </w:tc>
        <w:tc>
          <w:tcPr>
            <w:tcW w:w="372" w:type="pct"/>
            <w:tcBorders>
              <w:top w:val="nil"/>
            </w:tcBorders>
            <w:shd w:val="clear" w:color="auto" w:fill="FFFFFF" w:themeFill="background1"/>
            <w:noWrap/>
            <w:hideMark/>
          </w:tcPr>
          <w:p w14:paraId="6FF40F90"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4,8</w:t>
            </w:r>
          </w:p>
        </w:tc>
      </w:tr>
      <w:tr w:rsidR="00AA5F62" w:rsidRPr="00F27A03" w14:paraId="76E4ECB0"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F248715"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Отплата камата</w:t>
            </w:r>
          </w:p>
        </w:tc>
        <w:tc>
          <w:tcPr>
            <w:tcW w:w="356" w:type="pct"/>
            <w:tcBorders>
              <w:top w:val="nil"/>
            </w:tcBorders>
            <w:shd w:val="clear" w:color="auto" w:fill="FFFFFF" w:themeFill="background1"/>
            <w:noWrap/>
            <w:hideMark/>
          </w:tcPr>
          <w:p w14:paraId="175F0B9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145,9</w:t>
            </w:r>
          </w:p>
        </w:tc>
        <w:tc>
          <w:tcPr>
            <w:tcW w:w="356" w:type="pct"/>
            <w:tcBorders>
              <w:top w:val="nil"/>
            </w:tcBorders>
            <w:shd w:val="clear" w:color="auto" w:fill="FFFFFF" w:themeFill="background1"/>
            <w:noWrap/>
            <w:hideMark/>
          </w:tcPr>
          <w:p w14:paraId="344C98C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143,5</w:t>
            </w:r>
          </w:p>
        </w:tc>
        <w:tc>
          <w:tcPr>
            <w:tcW w:w="360" w:type="pct"/>
            <w:tcBorders>
              <w:top w:val="nil"/>
            </w:tcBorders>
            <w:shd w:val="clear" w:color="auto" w:fill="FFFFFF" w:themeFill="background1"/>
            <w:noWrap/>
            <w:hideMark/>
          </w:tcPr>
          <w:p w14:paraId="798E5DA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2,3</w:t>
            </w:r>
          </w:p>
        </w:tc>
        <w:tc>
          <w:tcPr>
            <w:tcW w:w="348" w:type="pct"/>
            <w:tcBorders>
              <w:top w:val="nil"/>
            </w:tcBorders>
            <w:shd w:val="clear" w:color="auto" w:fill="FFFFFF" w:themeFill="background1"/>
            <w:noWrap/>
            <w:hideMark/>
          </w:tcPr>
          <w:p w14:paraId="65AC2C4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w:t>
            </w:r>
          </w:p>
        </w:tc>
        <w:tc>
          <w:tcPr>
            <w:tcW w:w="372" w:type="pct"/>
            <w:tcBorders>
              <w:top w:val="nil"/>
            </w:tcBorders>
            <w:shd w:val="clear" w:color="auto" w:fill="FFFFFF" w:themeFill="background1"/>
            <w:noWrap/>
            <w:hideMark/>
          </w:tcPr>
          <w:p w14:paraId="192AB03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0,3</w:t>
            </w:r>
          </w:p>
        </w:tc>
        <w:tc>
          <w:tcPr>
            <w:tcW w:w="353" w:type="pct"/>
            <w:tcBorders>
              <w:top w:val="nil"/>
            </w:tcBorders>
            <w:shd w:val="clear" w:color="auto" w:fill="FFFFFF" w:themeFill="background1"/>
            <w:noWrap/>
            <w:hideMark/>
          </w:tcPr>
          <w:p w14:paraId="15B7692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0,1</w:t>
            </w:r>
          </w:p>
        </w:tc>
        <w:tc>
          <w:tcPr>
            <w:tcW w:w="372" w:type="pct"/>
            <w:tcBorders>
              <w:top w:val="nil"/>
            </w:tcBorders>
            <w:shd w:val="clear" w:color="auto" w:fill="FFFFFF" w:themeFill="background1"/>
            <w:noWrap/>
          </w:tcPr>
          <w:p w14:paraId="3849CCF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2490AB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72D6A1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44C0379"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32E00E3"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1FFCB903"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7590F2D"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Субвенције</w:t>
            </w:r>
          </w:p>
        </w:tc>
        <w:tc>
          <w:tcPr>
            <w:tcW w:w="356" w:type="pct"/>
            <w:tcBorders>
              <w:top w:val="nil"/>
            </w:tcBorders>
            <w:shd w:val="clear" w:color="auto" w:fill="FFFFFF" w:themeFill="background1"/>
            <w:noWrap/>
            <w:hideMark/>
          </w:tcPr>
          <w:p w14:paraId="3EA8194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213,9</w:t>
            </w:r>
          </w:p>
        </w:tc>
        <w:tc>
          <w:tcPr>
            <w:tcW w:w="356" w:type="pct"/>
            <w:tcBorders>
              <w:top w:val="nil"/>
            </w:tcBorders>
            <w:shd w:val="clear" w:color="auto" w:fill="FFFFFF" w:themeFill="background1"/>
            <w:noWrap/>
            <w:hideMark/>
          </w:tcPr>
          <w:p w14:paraId="51DE69C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168,1</w:t>
            </w:r>
          </w:p>
        </w:tc>
        <w:tc>
          <w:tcPr>
            <w:tcW w:w="360" w:type="pct"/>
            <w:tcBorders>
              <w:top w:val="nil"/>
            </w:tcBorders>
            <w:shd w:val="clear" w:color="auto" w:fill="FFFFFF" w:themeFill="background1"/>
            <w:noWrap/>
            <w:hideMark/>
          </w:tcPr>
          <w:p w14:paraId="5C8D890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45,8</w:t>
            </w:r>
          </w:p>
        </w:tc>
        <w:tc>
          <w:tcPr>
            <w:tcW w:w="348" w:type="pct"/>
            <w:tcBorders>
              <w:top w:val="nil"/>
            </w:tcBorders>
            <w:shd w:val="clear" w:color="auto" w:fill="FFFFFF" w:themeFill="background1"/>
            <w:noWrap/>
            <w:hideMark/>
          </w:tcPr>
          <w:p w14:paraId="3CCDD9A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31,7</w:t>
            </w:r>
          </w:p>
        </w:tc>
        <w:tc>
          <w:tcPr>
            <w:tcW w:w="372" w:type="pct"/>
            <w:tcBorders>
              <w:top w:val="nil"/>
            </w:tcBorders>
            <w:shd w:val="clear" w:color="auto" w:fill="FFFFFF" w:themeFill="background1"/>
            <w:noWrap/>
            <w:hideMark/>
          </w:tcPr>
          <w:p w14:paraId="4023EA4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14,1</w:t>
            </w:r>
          </w:p>
        </w:tc>
        <w:tc>
          <w:tcPr>
            <w:tcW w:w="353" w:type="pct"/>
            <w:tcBorders>
              <w:top w:val="nil"/>
            </w:tcBorders>
            <w:shd w:val="clear" w:color="auto" w:fill="FFFFFF" w:themeFill="background1"/>
            <w:noWrap/>
          </w:tcPr>
          <w:p w14:paraId="3CDEB2D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6803CF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0AFE5E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7130F9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14A747D"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063CEAE"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2F2B4C7D"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D526CBA"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Социјална помоћ и трансфери</w:t>
            </w:r>
          </w:p>
        </w:tc>
        <w:tc>
          <w:tcPr>
            <w:tcW w:w="356" w:type="pct"/>
            <w:tcBorders>
              <w:top w:val="nil"/>
            </w:tcBorders>
            <w:shd w:val="clear" w:color="auto" w:fill="FFFFFF" w:themeFill="background1"/>
            <w:noWrap/>
            <w:hideMark/>
          </w:tcPr>
          <w:p w14:paraId="1E21DDB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1.042,0</w:t>
            </w:r>
          </w:p>
        </w:tc>
        <w:tc>
          <w:tcPr>
            <w:tcW w:w="356" w:type="pct"/>
            <w:tcBorders>
              <w:top w:val="nil"/>
            </w:tcBorders>
            <w:shd w:val="clear" w:color="auto" w:fill="FFFFFF" w:themeFill="background1"/>
            <w:noWrap/>
            <w:hideMark/>
          </w:tcPr>
          <w:p w14:paraId="144437B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147,4</w:t>
            </w:r>
          </w:p>
        </w:tc>
        <w:tc>
          <w:tcPr>
            <w:tcW w:w="360" w:type="pct"/>
            <w:tcBorders>
              <w:top w:val="nil"/>
            </w:tcBorders>
            <w:shd w:val="clear" w:color="auto" w:fill="FFFFFF" w:themeFill="background1"/>
            <w:noWrap/>
            <w:hideMark/>
          </w:tcPr>
          <w:p w14:paraId="18190BD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52,4</w:t>
            </w:r>
          </w:p>
        </w:tc>
        <w:tc>
          <w:tcPr>
            <w:tcW w:w="348" w:type="pct"/>
            <w:tcBorders>
              <w:top w:val="nil"/>
            </w:tcBorders>
            <w:shd w:val="clear" w:color="auto" w:fill="FFFFFF" w:themeFill="background1"/>
            <w:noWrap/>
            <w:hideMark/>
          </w:tcPr>
          <w:p w14:paraId="13E90E9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52,2</w:t>
            </w:r>
          </w:p>
        </w:tc>
        <w:tc>
          <w:tcPr>
            <w:tcW w:w="372" w:type="pct"/>
            <w:tcBorders>
              <w:top w:val="nil"/>
            </w:tcBorders>
            <w:shd w:val="clear" w:color="auto" w:fill="FFFFFF" w:themeFill="background1"/>
            <w:noWrap/>
            <w:hideMark/>
          </w:tcPr>
          <w:p w14:paraId="6EE10FD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0,3</w:t>
            </w:r>
          </w:p>
        </w:tc>
        <w:tc>
          <w:tcPr>
            <w:tcW w:w="353" w:type="pct"/>
            <w:tcBorders>
              <w:top w:val="nil"/>
            </w:tcBorders>
            <w:shd w:val="clear" w:color="auto" w:fill="FFFFFF" w:themeFill="background1"/>
            <w:noWrap/>
          </w:tcPr>
          <w:p w14:paraId="4B28ACC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2791ED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842,2</w:t>
            </w:r>
          </w:p>
        </w:tc>
        <w:tc>
          <w:tcPr>
            <w:tcW w:w="372" w:type="pct"/>
            <w:tcBorders>
              <w:top w:val="nil"/>
            </w:tcBorders>
            <w:shd w:val="clear" w:color="auto" w:fill="FFFFFF" w:themeFill="background1"/>
            <w:noWrap/>
            <w:hideMark/>
          </w:tcPr>
          <w:p w14:paraId="2BA1021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803,3</w:t>
            </w:r>
          </w:p>
        </w:tc>
        <w:tc>
          <w:tcPr>
            <w:tcW w:w="372" w:type="pct"/>
            <w:tcBorders>
              <w:top w:val="nil"/>
            </w:tcBorders>
            <w:shd w:val="clear" w:color="auto" w:fill="FFFFFF" w:themeFill="background1"/>
            <w:noWrap/>
            <w:hideMark/>
          </w:tcPr>
          <w:p w14:paraId="5AD8DF4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17,8</w:t>
            </w:r>
          </w:p>
        </w:tc>
        <w:tc>
          <w:tcPr>
            <w:tcW w:w="372" w:type="pct"/>
            <w:tcBorders>
              <w:top w:val="nil"/>
            </w:tcBorders>
            <w:shd w:val="clear" w:color="auto" w:fill="FFFFFF" w:themeFill="background1"/>
            <w:noWrap/>
            <w:hideMark/>
          </w:tcPr>
          <w:p w14:paraId="4CFA7ADD"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18,6</w:t>
            </w:r>
          </w:p>
        </w:tc>
        <w:tc>
          <w:tcPr>
            <w:tcW w:w="372" w:type="pct"/>
            <w:tcBorders>
              <w:top w:val="nil"/>
            </w:tcBorders>
            <w:shd w:val="clear" w:color="auto" w:fill="FFFFFF" w:themeFill="background1"/>
            <w:noWrap/>
            <w:hideMark/>
          </w:tcPr>
          <w:p w14:paraId="4048427B"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2,5</w:t>
            </w:r>
          </w:p>
        </w:tc>
      </w:tr>
      <w:tr w:rsidR="00AA5F62" w:rsidRPr="00F27A03" w14:paraId="1C1458F9"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B222F27"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i/>
                <w:iCs/>
                <w:color w:val="002060"/>
                <w:sz w:val="14"/>
                <w:szCs w:val="14"/>
                <w:lang w:val="sr-Cyrl-CS"/>
              </w:rPr>
              <w:t xml:space="preserve">             </w:t>
            </w:r>
            <w:r w:rsidRPr="00F27A03">
              <w:rPr>
                <w:rFonts w:cstheme="minorHAnsi"/>
                <w:b w:val="0"/>
                <w:iCs/>
                <w:color w:val="002060"/>
                <w:sz w:val="14"/>
                <w:szCs w:val="14"/>
                <w:lang w:val="sr-Cyrl-CS"/>
              </w:rPr>
              <w:t>oд чега пензије</w:t>
            </w:r>
          </w:p>
        </w:tc>
        <w:tc>
          <w:tcPr>
            <w:tcW w:w="356" w:type="pct"/>
            <w:tcBorders>
              <w:top w:val="nil"/>
            </w:tcBorders>
            <w:shd w:val="clear" w:color="auto" w:fill="FFFFFF" w:themeFill="background1"/>
            <w:noWrap/>
            <w:hideMark/>
          </w:tcPr>
          <w:p w14:paraId="5977B98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770,0</w:t>
            </w:r>
          </w:p>
        </w:tc>
        <w:tc>
          <w:tcPr>
            <w:tcW w:w="356" w:type="pct"/>
            <w:tcBorders>
              <w:top w:val="nil"/>
            </w:tcBorders>
            <w:shd w:val="clear" w:color="auto" w:fill="FFFFFF" w:themeFill="background1"/>
            <w:noWrap/>
          </w:tcPr>
          <w:p w14:paraId="6115E32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tcPr>
          <w:p w14:paraId="1FB96C2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2777B59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67F3BE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4A28D32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B3A0DD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770,0</w:t>
            </w:r>
          </w:p>
        </w:tc>
        <w:tc>
          <w:tcPr>
            <w:tcW w:w="372" w:type="pct"/>
            <w:tcBorders>
              <w:top w:val="nil"/>
            </w:tcBorders>
            <w:shd w:val="clear" w:color="auto" w:fill="FFFFFF" w:themeFill="background1"/>
            <w:noWrap/>
            <w:hideMark/>
          </w:tcPr>
          <w:p w14:paraId="1D309B5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770,0</w:t>
            </w:r>
          </w:p>
        </w:tc>
        <w:tc>
          <w:tcPr>
            <w:tcW w:w="372" w:type="pct"/>
            <w:tcBorders>
              <w:top w:val="nil"/>
            </w:tcBorders>
            <w:shd w:val="clear" w:color="auto" w:fill="FFFFFF" w:themeFill="background1"/>
            <w:noWrap/>
          </w:tcPr>
          <w:p w14:paraId="6CC4039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6CB81EA"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843CCCB"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268EA920"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3A5F809"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Остали текући расходи</w:t>
            </w:r>
          </w:p>
        </w:tc>
        <w:tc>
          <w:tcPr>
            <w:tcW w:w="356" w:type="pct"/>
            <w:tcBorders>
              <w:top w:val="nil"/>
            </w:tcBorders>
            <w:shd w:val="clear" w:color="auto" w:fill="FFFFFF" w:themeFill="background1"/>
            <w:noWrap/>
            <w:hideMark/>
          </w:tcPr>
          <w:p w14:paraId="2129583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113,3</w:t>
            </w:r>
          </w:p>
        </w:tc>
        <w:tc>
          <w:tcPr>
            <w:tcW w:w="356" w:type="pct"/>
            <w:tcBorders>
              <w:top w:val="nil"/>
            </w:tcBorders>
            <w:shd w:val="clear" w:color="auto" w:fill="FFFFFF" w:themeFill="background1"/>
            <w:noWrap/>
            <w:hideMark/>
          </w:tcPr>
          <w:p w14:paraId="4A2A4C3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65,1</w:t>
            </w:r>
          </w:p>
        </w:tc>
        <w:tc>
          <w:tcPr>
            <w:tcW w:w="360" w:type="pct"/>
            <w:tcBorders>
              <w:top w:val="nil"/>
            </w:tcBorders>
            <w:shd w:val="clear" w:color="auto" w:fill="FFFFFF" w:themeFill="background1"/>
            <w:noWrap/>
            <w:hideMark/>
          </w:tcPr>
          <w:p w14:paraId="53BA94B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41,2</w:t>
            </w:r>
          </w:p>
        </w:tc>
        <w:tc>
          <w:tcPr>
            <w:tcW w:w="348" w:type="pct"/>
            <w:tcBorders>
              <w:top w:val="nil"/>
            </w:tcBorders>
            <w:shd w:val="clear" w:color="auto" w:fill="FFFFFF" w:themeFill="background1"/>
            <w:noWrap/>
            <w:hideMark/>
          </w:tcPr>
          <w:p w14:paraId="37E866A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27,8</w:t>
            </w:r>
          </w:p>
        </w:tc>
        <w:tc>
          <w:tcPr>
            <w:tcW w:w="372" w:type="pct"/>
            <w:tcBorders>
              <w:top w:val="nil"/>
            </w:tcBorders>
            <w:shd w:val="clear" w:color="auto" w:fill="FFFFFF" w:themeFill="background1"/>
            <w:noWrap/>
            <w:hideMark/>
          </w:tcPr>
          <w:p w14:paraId="69B61E2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13,4</w:t>
            </w:r>
          </w:p>
        </w:tc>
        <w:tc>
          <w:tcPr>
            <w:tcW w:w="353" w:type="pct"/>
            <w:tcBorders>
              <w:top w:val="nil"/>
            </w:tcBorders>
            <w:shd w:val="clear" w:color="auto" w:fill="FFFFFF" w:themeFill="background1"/>
            <w:noWrap/>
            <w:hideMark/>
          </w:tcPr>
          <w:p w14:paraId="0AAECA8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3,4</w:t>
            </w:r>
          </w:p>
        </w:tc>
        <w:tc>
          <w:tcPr>
            <w:tcW w:w="372" w:type="pct"/>
            <w:tcBorders>
              <w:top w:val="nil"/>
            </w:tcBorders>
            <w:shd w:val="clear" w:color="auto" w:fill="FFFFFF" w:themeFill="background1"/>
            <w:noWrap/>
            <w:hideMark/>
          </w:tcPr>
          <w:p w14:paraId="6E9D790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3,7</w:t>
            </w:r>
          </w:p>
        </w:tc>
        <w:tc>
          <w:tcPr>
            <w:tcW w:w="372" w:type="pct"/>
            <w:tcBorders>
              <w:top w:val="nil"/>
            </w:tcBorders>
            <w:shd w:val="clear" w:color="auto" w:fill="FFFFFF" w:themeFill="background1"/>
            <w:noWrap/>
            <w:hideMark/>
          </w:tcPr>
          <w:p w14:paraId="2A38303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1,1</w:t>
            </w:r>
          </w:p>
        </w:tc>
        <w:tc>
          <w:tcPr>
            <w:tcW w:w="372" w:type="pct"/>
            <w:tcBorders>
              <w:top w:val="nil"/>
            </w:tcBorders>
            <w:shd w:val="clear" w:color="auto" w:fill="FFFFFF" w:themeFill="background1"/>
            <w:noWrap/>
            <w:hideMark/>
          </w:tcPr>
          <w:p w14:paraId="489FB7B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w:t>
            </w:r>
          </w:p>
        </w:tc>
        <w:tc>
          <w:tcPr>
            <w:tcW w:w="372" w:type="pct"/>
            <w:tcBorders>
              <w:top w:val="nil"/>
            </w:tcBorders>
            <w:shd w:val="clear" w:color="auto" w:fill="FFFFFF" w:themeFill="background1"/>
            <w:noWrap/>
            <w:hideMark/>
          </w:tcPr>
          <w:p w14:paraId="3258486B"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0,5</w:t>
            </w:r>
          </w:p>
        </w:tc>
        <w:tc>
          <w:tcPr>
            <w:tcW w:w="372" w:type="pct"/>
            <w:tcBorders>
              <w:top w:val="nil"/>
            </w:tcBorders>
            <w:shd w:val="clear" w:color="auto" w:fill="FFFFFF" w:themeFill="background1"/>
            <w:noWrap/>
            <w:hideMark/>
          </w:tcPr>
          <w:p w14:paraId="7FDEEF48"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0,1</w:t>
            </w:r>
          </w:p>
        </w:tc>
      </w:tr>
      <w:tr w:rsidR="00AA5F62" w:rsidRPr="00F27A03" w14:paraId="1B0E2B02"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9FAEFCA"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Капитални расходи</w:t>
            </w:r>
          </w:p>
        </w:tc>
        <w:tc>
          <w:tcPr>
            <w:tcW w:w="356" w:type="pct"/>
            <w:tcBorders>
              <w:top w:val="nil"/>
            </w:tcBorders>
            <w:shd w:val="clear" w:color="auto" w:fill="FFFFFF" w:themeFill="background1"/>
            <w:noWrap/>
            <w:hideMark/>
          </w:tcPr>
          <w:p w14:paraId="3ACDF6F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540,8</w:t>
            </w:r>
          </w:p>
        </w:tc>
        <w:tc>
          <w:tcPr>
            <w:tcW w:w="356" w:type="pct"/>
            <w:tcBorders>
              <w:top w:val="nil"/>
            </w:tcBorders>
            <w:shd w:val="clear" w:color="auto" w:fill="FFFFFF" w:themeFill="background1"/>
            <w:noWrap/>
            <w:hideMark/>
          </w:tcPr>
          <w:p w14:paraId="0A875E3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418,9</w:t>
            </w:r>
          </w:p>
        </w:tc>
        <w:tc>
          <w:tcPr>
            <w:tcW w:w="360" w:type="pct"/>
            <w:tcBorders>
              <w:top w:val="nil"/>
            </w:tcBorders>
            <w:shd w:val="clear" w:color="auto" w:fill="FFFFFF" w:themeFill="background1"/>
            <w:noWrap/>
            <w:hideMark/>
          </w:tcPr>
          <w:p w14:paraId="0636DFB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109,4</w:t>
            </w:r>
          </w:p>
        </w:tc>
        <w:tc>
          <w:tcPr>
            <w:tcW w:w="348" w:type="pct"/>
            <w:tcBorders>
              <w:top w:val="nil"/>
            </w:tcBorders>
            <w:shd w:val="clear" w:color="auto" w:fill="FFFFFF" w:themeFill="background1"/>
            <w:noWrap/>
            <w:hideMark/>
          </w:tcPr>
          <w:p w14:paraId="02323B7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102,9</w:t>
            </w:r>
          </w:p>
        </w:tc>
        <w:tc>
          <w:tcPr>
            <w:tcW w:w="372" w:type="pct"/>
            <w:tcBorders>
              <w:top w:val="nil"/>
            </w:tcBorders>
            <w:shd w:val="clear" w:color="auto" w:fill="FFFFFF" w:themeFill="background1"/>
            <w:noWrap/>
            <w:hideMark/>
          </w:tcPr>
          <w:p w14:paraId="5C20FE7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6,5</w:t>
            </w:r>
          </w:p>
        </w:tc>
        <w:tc>
          <w:tcPr>
            <w:tcW w:w="353" w:type="pct"/>
            <w:tcBorders>
              <w:top w:val="nil"/>
            </w:tcBorders>
            <w:shd w:val="clear" w:color="auto" w:fill="FFFFFF" w:themeFill="background1"/>
            <w:noWrap/>
            <w:hideMark/>
          </w:tcPr>
          <w:p w14:paraId="78CF86E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9,2</w:t>
            </w:r>
          </w:p>
        </w:tc>
        <w:tc>
          <w:tcPr>
            <w:tcW w:w="372" w:type="pct"/>
            <w:tcBorders>
              <w:top w:val="nil"/>
            </w:tcBorders>
            <w:shd w:val="clear" w:color="auto" w:fill="FFFFFF" w:themeFill="background1"/>
            <w:noWrap/>
            <w:hideMark/>
          </w:tcPr>
          <w:p w14:paraId="4C76608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3,2</w:t>
            </w:r>
          </w:p>
        </w:tc>
        <w:tc>
          <w:tcPr>
            <w:tcW w:w="372" w:type="pct"/>
            <w:tcBorders>
              <w:top w:val="nil"/>
            </w:tcBorders>
            <w:shd w:val="clear" w:color="auto" w:fill="FFFFFF" w:themeFill="background1"/>
            <w:noWrap/>
            <w:hideMark/>
          </w:tcPr>
          <w:p w14:paraId="7462A99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0,7</w:t>
            </w:r>
          </w:p>
        </w:tc>
        <w:tc>
          <w:tcPr>
            <w:tcW w:w="372" w:type="pct"/>
            <w:tcBorders>
              <w:top w:val="nil"/>
            </w:tcBorders>
            <w:shd w:val="clear" w:color="auto" w:fill="FFFFFF" w:themeFill="background1"/>
            <w:noWrap/>
            <w:hideMark/>
          </w:tcPr>
          <w:p w14:paraId="08119BD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2,0</w:t>
            </w:r>
          </w:p>
        </w:tc>
        <w:tc>
          <w:tcPr>
            <w:tcW w:w="372" w:type="pct"/>
            <w:tcBorders>
              <w:top w:val="nil"/>
            </w:tcBorders>
            <w:shd w:val="clear" w:color="auto" w:fill="FFFFFF" w:themeFill="background1"/>
            <w:noWrap/>
            <w:hideMark/>
          </w:tcPr>
          <w:p w14:paraId="26945CC0"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0,4</w:t>
            </w:r>
          </w:p>
        </w:tc>
        <w:tc>
          <w:tcPr>
            <w:tcW w:w="372" w:type="pct"/>
            <w:tcBorders>
              <w:top w:val="nil"/>
            </w:tcBorders>
            <w:shd w:val="clear" w:color="auto" w:fill="FFFFFF" w:themeFill="background1"/>
            <w:noWrap/>
            <w:hideMark/>
          </w:tcPr>
          <w:p w14:paraId="24B6FCD5" w14:textId="77777777" w:rsidR="00AA5F62" w:rsidRPr="00F27A03" w:rsidRDefault="00AA5F62" w:rsidP="00A42963">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0,1</w:t>
            </w:r>
          </w:p>
        </w:tc>
      </w:tr>
      <w:tr w:rsidR="00AA5F62" w:rsidRPr="00F27A03" w14:paraId="71815BF6"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994A4FA"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Нето буџетске позајмице</w:t>
            </w:r>
          </w:p>
        </w:tc>
        <w:tc>
          <w:tcPr>
            <w:tcW w:w="356" w:type="pct"/>
            <w:tcBorders>
              <w:top w:val="nil"/>
            </w:tcBorders>
            <w:shd w:val="clear" w:color="auto" w:fill="FFFFFF" w:themeFill="background1"/>
            <w:noWrap/>
            <w:hideMark/>
          </w:tcPr>
          <w:p w14:paraId="2689B59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116,3</w:t>
            </w:r>
          </w:p>
        </w:tc>
        <w:tc>
          <w:tcPr>
            <w:tcW w:w="356" w:type="pct"/>
            <w:tcBorders>
              <w:top w:val="nil"/>
            </w:tcBorders>
            <w:shd w:val="clear" w:color="auto" w:fill="FFFFFF" w:themeFill="background1"/>
            <w:noWrap/>
            <w:hideMark/>
          </w:tcPr>
          <w:p w14:paraId="0C08CA4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116,2</w:t>
            </w:r>
          </w:p>
        </w:tc>
        <w:tc>
          <w:tcPr>
            <w:tcW w:w="360" w:type="pct"/>
            <w:tcBorders>
              <w:top w:val="nil"/>
            </w:tcBorders>
            <w:shd w:val="clear" w:color="auto" w:fill="FFFFFF" w:themeFill="background1"/>
            <w:noWrap/>
          </w:tcPr>
          <w:p w14:paraId="4845173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1D98FB9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0F7A7F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07F2A03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1F94BC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3DBE28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58F71A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B08CFA4"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C129F97" w14:textId="77777777" w:rsidR="00AA5F62" w:rsidRPr="00F27A03" w:rsidRDefault="00AA5F62" w:rsidP="00A42963">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69FCE529"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AB1F32B"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 xml:space="preserve">    Активиране гаранције</w:t>
            </w:r>
          </w:p>
        </w:tc>
        <w:tc>
          <w:tcPr>
            <w:tcW w:w="356" w:type="pct"/>
            <w:tcBorders>
              <w:top w:val="nil"/>
            </w:tcBorders>
            <w:shd w:val="clear" w:color="auto" w:fill="FFFFFF" w:themeFill="background1"/>
            <w:noWrap/>
            <w:hideMark/>
          </w:tcPr>
          <w:p w14:paraId="67CA636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25,5</w:t>
            </w:r>
          </w:p>
        </w:tc>
        <w:tc>
          <w:tcPr>
            <w:tcW w:w="356" w:type="pct"/>
            <w:tcBorders>
              <w:top w:val="nil"/>
            </w:tcBorders>
            <w:shd w:val="clear" w:color="auto" w:fill="FFFFFF" w:themeFill="background1"/>
            <w:noWrap/>
            <w:hideMark/>
          </w:tcPr>
          <w:p w14:paraId="5A545BC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25,5</w:t>
            </w:r>
          </w:p>
        </w:tc>
        <w:tc>
          <w:tcPr>
            <w:tcW w:w="360" w:type="pct"/>
            <w:tcBorders>
              <w:top w:val="nil"/>
            </w:tcBorders>
            <w:shd w:val="clear" w:color="auto" w:fill="FFFFFF" w:themeFill="background1"/>
            <w:noWrap/>
          </w:tcPr>
          <w:p w14:paraId="7150E62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79B889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4D3074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1ECC130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601D4C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F4C676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126B79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55E4DB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DD9076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58E027F7"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BFBFBF" w:themeFill="background1" w:themeFillShade="BF"/>
            <w:noWrap/>
            <w:vAlign w:val="bottom"/>
            <w:hideMark/>
          </w:tcPr>
          <w:p w14:paraId="25F03654" w14:textId="77777777" w:rsidR="00AA5F62" w:rsidRPr="00F27A03" w:rsidRDefault="00AA5F62" w:rsidP="00A42963">
            <w:pPr>
              <w:tabs>
                <w:tab w:val="center" w:pos="4680"/>
                <w:tab w:val="right" w:pos="9360"/>
              </w:tabs>
              <w:rPr>
                <w:rFonts w:cstheme="minorHAnsi"/>
                <w:color w:val="002060"/>
                <w:sz w:val="14"/>
                <w:szCs w:val="14"/>
                <w:lang w:val="sr-Cyrl-CS"/>
              </w:rPr>
            </w:pPr>
            <w:r w:rsidRPr="00F27A03">
              <w:rPr>
                <w:rFonts w:cstheme="minorHAnsi"/>
                <w:color w:val="002060"/>
                <w:sz w:val="14"/>
                <w:szCs w:val="14"/>
                <w:lang w:val="sr-Cyrl-CS"/>
              </w:rPr>
              <w:t>Фискални резултат искљ. трансфере</w:t>
            </w:r>
          </w:p>
        </w:tc>
        <w:tc>
          <w:tcPr>
            <w:tcW w:w="356" w:type="pct"/>
            <w:tcBorders>
              <w:top w:val="nil"/>
            </w:tcBorders>
            <w:shd w:val="clear" w:color="auto" w:fill="BFBFBF" w:themeFill="background1" w:themeFillShade="BF"/>
            <w:noWrap/>
            <w:hideMark/>
          </w:tcPr>
          <w:p w14:paraId="0B61059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-264,0</w:t>
            </w:r>
          </w:p>
        </w:tc>
        <w:tc>
          <w:tcPr>
            <w:tcW w:w="356" w:type="pct"/>
            <w:tcBorders>
              <w:top w:val="nil"/>
            </w:tcBorders>
            <w:shd w:val="clear" w:color="auto" w:fill="BFBFBF" w:themeFill="background1" w:themeFillShade="BF"/>
            <w:noWrap/>
            <w:hideMark/>
          </w:tcPr>
          <w:p w14:paraId="242039D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156,6</w:t>
            </w:r>
          </w:p>
        </w:tc>
        <w:tc>
          <w:tcPr>
            <w:tcW w:w="360" w:type="pct"/>
            <w:tcBorders>
              <w:top w:val="nil"/>
            </w:tcBorders>
            <w:shd w:val="clear" w:color="auto" w:fill="BFBFBF" w:themeFill="background1" w:themeFillShade="BF"/>
            <w:noWrap/>
            <w:hideMark/>
          </w:tcPr>
          <w:p w14:paraId="03589C1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-127,3</w:t>
            </w:r>
          </w:p>
        </w:tc>
        <w:tc>
          <w:tcPr>
            <w:tcW w:w="348" w:type="pct"/>
            <w:tcBorders>
              <w:top w:val="nil"/>
            </w:tcBorders>
            <w:shd w:val="clear" w:color="auto" w:fill="BFBFBF" w:themeFill="background1" w:themeFillShade="BF"/>
            <w:noWrap/>
            <w:hideMark/>
          </w:tcPr>
          <w:p w14:paraId="7969F3A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-78,0</w:t>
            </w:r>
          </w:p>
        </w:tc>
        <w:tc>
          <w:tcPr>
            <w:tcW w:w="372" w:type="pct"/>
            <w:tcBorders>
              <w:top w:val="nil"/>
            </w:tcBorders>
            <w:shd w:val="clear" w:color="auto" w:fill="BFBFBF" w:themeFill="background1" w:themeFillShade="BF"/>
            <w:noWrap/>
            <w:hideMark/>
          </w:tcPr>
          <w:p w14:paraId="70B535D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-49,3</w:t>
            </w:r>
          </w:p>
        </w:tc>
        <w:tc>
          <w:tcPr>
            <w:tcW w:w="353" w:type="pct"/>
            <w:tcBorders>
              <w:top w:val="nil"/>
            </w:tcBorders>
            <w:shd w:val="clear" w:color="auto" w:fill="BFBFBF" w:themeFill="background1" w:themeFillShade="BF"/>
            <w:noWrap/>
            <w:hideMark/>
          </w:tcPr>
          <w:p w14:paraId="72DE7F5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-18,6</w:t>
            </w:r>
          </w:p>
        </w:tc>
        <w:tc>
          <w:tcPr>
            <w:tcW w:w="372" w:type="pct"/>
            <w:tcBorders>
              <w:top w:val="nil"/>
            </w:tcBorders>
            <w:shd w:val="clear" w:color="auto" w:fill="BFBFBF" w:themeFill="background1" w:themeFillShade="BF"/>
            <w:noWrap/>
            <w:hideMark/>
          </w:tcPr>
          <w:p w14:paraId="5CC84CE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-274,6</w:t>
            </w:r>
          </w:p>
        </w:tc>
        <w:tc>
          <w:tcPr>
            <w:tcW w:w="372" w:type="pct"/>
            <w:tcBorders>
              <w:top w:val="nil"/>
            </w:tcBorders>
            <w:shd w:val="clear" w:color="auto" w:fill="BFBFBF" w:themeFill="background1" w:themeFillShade="BF"/>
            <w:noWrap/>
            <w:hideMark/>
          </w:tcPr>
          <w:p w14:paraId="0B3A1B9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-113,0</w:t>
            </w:r>
          </w:p>
        </w:tc>
        <w:tc>
          <w:tcPr>
            <w:tcW w:w="372" w:type="pct"/>
            <w:tcBorders>
              <w:top w:val="nil"/>
            </w:tcBorders>
            <w:shd w:val="clear" w:color="auto" w:fill="BFBFBF" w:themeFill="background1" w:themeFillShade="BF"/>
            <w:noWrap/>
            <w:hideMark/>
          </w:tcPr>
          <w:p w14:paraId="4F41777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-157,7</w:t>
            </w:r>
          </w:p>
        </w:tc>
        <w:tc>
          <w:tcPr>
            <w:tcW w:w="372" w:type="pct"/>
            <w:tcBorders>
              <w:top w:val="nil"/>
            </w:tcBorders>
            <w:shd w:val="clear" w:color="auto" w:fill="BFBFBF" w:themeFill="background1" w:themeFillShade="BF"/>
            <w:noWrap/>
            <w:hideMark/>
          </w:tcPr>
          <w:p w14:paraId="1D91545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-0,3</w:t>
            </w:r>
          </w:p>
        </w:tc>
        <w:tc>
          <w:tcPr>
            <w:tcW w:w="372" w:type="pct"/>
            <w:tcBorders>
              <w:top w:val="nil"/>
            </w:tcBorders>
            <w:shd w:val="clear" w:color="auto" w:fill="BFBFBF" w:themeFill="background1" w:themeFillShade="BF"/>
            <w:noWrap/>
            <w:hideMark/>
          </w:tcPr>
          <w:p w14:paraId="6B5C8ED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-3,5</w:t>
            </w:r>
          </w:p>
        </w:tc>
      </w:tr>
      <w:tr w:rsidR="00AA5F62" w:rsidRPr="00F27A03" w14:paraId="52FE5B3D"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A6A1D8D"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Трансфери од других нивоа власти</w:t>
            </w:r>
          </w:p>
        </w:tc>
        <w:tc>
          <w:tcPr>
            <w:tcW w:w="356" w:type="pct"/>
            <w:tcBorders>
              <w:top w:val="nil"/>
            </w:tcBorders>
            <w:shd w:val="clear" w:color="auto" w:fill="FFFFFF" w:themeFill="background1"/>
            <w:noWrap/>
            <w:hideMark/>
          </w:tcPr>
          <w:p w14:paraId="43FC768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531,8</w:t>
            </w:r>
          </w:p>
        </w:tc>
        <w:tc>
          <w:tcPr>
            <w:tcW w:w="356" w:type="pct"/>
            <w:tcBorders>
              <w:top w:val="nil"/>
            </w:tcBorders>
            <w:shd w:val="clear" w:color="auto" w:fill="FFFFFF" w:themeFill="background1"/>
            <w:noWrap/>
            <w:hideMark/>
          </w:tcPr>
          <w:p w14:paraId="475AE2E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7,4</w:t>
            </w:r>
          </w:p>
        </w:tc>
        <w:tc>
          <w:tcPr>
            <w:tcW w:w="360" w:type="pct"/>
            <w:tcBorders>
              <w:top w:val="nil"/>
            </w:tcBorders>
            <w:shd w:val="clear" w:color="auto" w:fill="FFFFFF" w:themeFill="background1"/>
            <w:noWrap/>
            <w:hideMark/>
          </w:tcPr>
          <w:p w14:paraId="04BF2F3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142,4</w:t>
            </w:r>
          </w:p>
        </w:tc>
        <w:tc>
          <w:tcPr>
            <w:tcW w:w="348" w:type="pct"/>
            <w:tcBorders>
              <w:top w:val="nil"/>
            </w:tcBorders>
            <w:shd w:val="clear" w:color="auto" w:fill="FFFFFF" w:themeFill="background1"/>
            <w:noWrap/>
            <w:hideMark/>
          </w:tcPr>
          <w:p w14:paraId="35839B3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85,4</w:t>
            </w:r>
          </w:p>
        </w:tc>
        <w:tc>
          <w:tcPr>
            <w:tcW w:w="372" w:type="pct"/>
            <w:tcBorders>
              <w:top w:val="nil"/>
            </w:tcBorders>
            <w:shd w:val="clear" w:color="auto" w:fill="FFFFFF" w:themeFill="background1"/>
            <w:noWrap/>
            <w:hideMark/>
          </w:tcPr>
          <w:p w14:paraId="14E649F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57,0</w:t>
            </w:r>
          </w:p>
        </w:tc>
        <w:tc>
          <w:tcPr>
            <w:tcW w:w="353" w:type="pct"/>
            <w:tcBorders>
              <w:top w:val="nil"/>
            </w:tcBorders>
            <w:shd w:val="clear" w:color="auto" w:fill="FFFFFF" w:themeFill="background1"/>
            <w:noWrap/>
            <w:hideMark/>
          </w:tcPr>
          <w:p w14:paraId="61B0A9C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18,7</w:t>
            </w:r>
          </w:p>
        </w:tc>
        <w:tc>
          <w:tcPr>
            <w:tcW w:w="372" w:type="pct"/>
            <w:tcBorders>
              <w:top w:val="nil"/>
            </w:tcBorders>
            <w:shd w:val="clear" w:color="auto" w:fill="FFFFFF" w:themeFill="background1"/>
            <w:noWrap/>
            <w:hideMark/>
          </w:tcPr>
          <w:p w14:paraId="516D11D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363,4</w:t>
            </w:r>
          </w:p>
        </w:tc>
        <w:tc>
          <w:tcPr>
            <w:tcW w:w="372" w:type="pct"/>
            <w:tcBorders>
              <w:top w:val="nil"/>
            </w:tcBorders>
            <w:shd w:val="clear" w:color="auto" w:fill="FFFFFF" w:themeFill="background1"/>
            <w:noWrap/>
            <w:hideMark/>
          </w:tcPr>
          <w:p w14:paraId="6052AFA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193,1</w:t>
            </w:r>
          </w:p>
        </w:tc>
        <w:tc>
          <w:tcPr>
            <w:tcW w:w="372" w:type="pct"/>
            <w:tcBorders>
              <w:top w:val="nil"/>
            </w:tcBorders>
            <w:shd w:val="clear" w:color="auto" w:fill="FFFFFF" w:themeFill="background1"/>
            <w:noWrap/>
            <w:hideMark/>
          </w:tcPr>
          <w:p w14:paraId="5F28D91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161,8</w:t>
            </w:r>
          </w:p>
        </w:tc>
        <w:tc>
          <w:tcPr>
            <w:tcW w:w="372" w:type="pct"/>
            <w:tcBorders>
              <w:top w:val="nil"/>
            </w:tcBorders>
            <w:shd w:val="clear" w:color="auto" w:fill="FFFFFF" w:themeFill="background1"/>
            <w:noWrap/>
            <w:hideMark/>
          </w:tcPr>
          <w:p w14:paraId="3D1CBE7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5,0</w:t>
            </w:r>
          </w:p>
        </w:tc>
        <w:tc>
          <w:tcPr>
            <w:tcW w:w="372" w:type="pct"/>
            <w:tcBorders>
              <w:top w:val="nil"/>
            </w:tcBorders>
            <w:shd w:val="clear" w:color="auto" w:fill="FFFFFF" w:themeFill="background1"/>
            <w:noWrap/>
            <w:hideMark/>
          </w:tcPr>
          <w:p w14:paraId="12C2B74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3,5</w:t>
            </w:r>
          </w:p>
        </w:tc>
      </w:tr>
      <w:tr w:rsidR="00AA5F62" w:rsidRPr="00F27A03" w14:paraId="164F309D"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2FF0656"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Буџет Републике</w:t>
            </w:r>
          </w:p>
        </w:tc>
        <w:tc>
          <w:tcPr>
            <w:tcW w:w="356" w:type="pct"/>
            <w:tcBorders>
              <w:top w:val="nil"/>
            </w:tcBorders>
            <w:shd w:val="clear" w:color="auto" w:fill="FFFFFF" w:themeFill="background1"/>
            <w:noWrap/>
            <w:hideMark/>
          </w:tcPr>
          <w:p w14:paraId="0CA2B62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435,2</w:t>
            </w:r>
          </w:p>
        </w:tc>
        <w:tc>
          <w:tcPr>
            <w:tcW w:w="356" w:type="pct"/>
            <w:tcBorders>
              <w:top w:val="nil"/>
            </w:tcBorders>
            <w:shd w:val="clear" w:color="auto" w:fill="FFFFFF" w:themeFill="background1"/>
            <w:noWrap/>
            <w:hideMark/>
          </w:tcPr>
          <w:p w14:paraId="5933F19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7,4</w:t>
            </w:r>
          </w:p>
        </w:tc>
        <w:tc>
          <w:tcPr>
            <w:tcW w:w="360" w:type="pct"/>
            <w:tcBorders>
              <w:top w:val="nil"/>
            </w:tcBorders>
            <w:shd w:val="clear" w:color="auto" w:fill="FFFFFF" w:themeFill="background1"/>
            <w:noWrap/>
            <w:hideMark/>
          </w:tcPr>
          <w:p w14:paraId="38C8B18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134,7</w:t>
            </w:r>
          </w:p>
        </w:tc>
        <w:tc>
          <w:tcPr>
            <w:tcW w:w="348" w:type="pct"/>
            <w:tcBorders>
              <w:top w:val="nil"/>
            </w:tcBorders>
            <w:shd w:val="clear" w:color="auto" w:fill="FFFFFF" w:themeFill="background1"/>
            <w:noWrap/>
            <w:hideMark/>
          </w:tcPr>
          <w:p w14:paraId="0650282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77,7</w:t>
            </w:r>
          </w:p>
        </w:tc>
        <w:tc>
          <w:tcPr>
            <w:tcW w:w="372" w:type="pct"/>
            <w:tcBorders>
              <w:top w:val="nil"/>
            </w:tcBorders>
            <w:shd w:val="clear" w:color="auto" w:fill="FFFFFF" w:themeFill="background1"/>
            <w:noWrap/>
            <w:hideMark/>
          </w:tcPr>
          <w:p w14:paraId="4C20D69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57,0</w:t>
            </w:r>
          </w:p>
        </w:tc>
        <w:tc>
          <w:tcPr>
            <w:tcW w:w="353" w:type="pct"/>
            <w:tcBorders>
              <w:top w:val="nil"/>
            </w:tcBorders>
            <w:shd w:val="clear" w:color="auto" w:fill="FFFFFF" w:themeFill="background1"/>
            <w:noWrap/>
            <w:hideMark/>
          </w:tcPr>
          <w:p w14:paraId="22D4BC0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18,7</w:t>
            </w:r>
          </w:p>
        </w:tc>
        <w:tc>
          <w:tcPr>
            <w:tcW w:w="372" w:type="pct"/>
            <w:tcBorders>
              <w:top w:val="nil"/>
            </w:tcBorders>
            <w:shd w:val="clear" w:color="auto" w:fill="FFFFFF" w:themeFill="background1"/>
            <w:noWrap/>
            <w:hideMark/>
          </w:tcPr>
          <w:p w14:paraId="563DAD8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274,6</w:t>
            </w:r>
          </w:p>
        </w:tc>
        <w:tc>
          <w:tcPr>
            <w:tcW w:w="372" w:type="pct"/>
            <w:tcBorders>
              <w:top w:val="nil"/>
            </w:tcBorders>
            <w:shd w:val="clear" w:color="auto" w:fill="FFFFFF" w:themeFill="background1"/>
            <w:noWrap/>
            <w:hideMark/>
          </w:tcPr>
          <w:p w14:paraId="1737309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185,7</w:t>
            </w:r>
          </w:p>
        </w:tc>
        <w:tc>
          <w:tcPr>
            <w:tcW w:w="372" w:type="pct"/>
            <w:tcBorders>
              <w:top w:val="nil"/>
            </w:tcBorders>
            <w:shd w:val="clear" w:color="auto" w:fill="FFFFFF" w:themeFill="background1"/>
            <w:noWrap/>
            <w:hideMark/>
          </w:tcPr>
          <w:p w14:paraId="3B4F15A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83,4</w:t>
            </w:r>
          </w:p>
        </w:tc>
        <w:tc>
          <w:tcPr>
            <w:tcW w:w="372" w:type="pct"/>
            <w:tcBorders>
              <w:top w:val="nil"/>
            </w:tcBorders>
            <w:shd w:val="clear" w:color="auto" w:fill="FFFFFF" w:themeFill="background1"/>
            <w:noWrap/>
            <w:hideMark/>
          </w:tcPr>
          <w:p w14:paraId="63FF500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5,0</w:t>
            </w:r>
          </w:p>
        </w:tc>
        <w:tc>
          <w:tcPr>
            <w:tcW w:w="372" w:type="pct"/>
            <w:tcBorders>
              <w:top w:val="nil"/>
            </w:tcBorders>
            <w:shd w:val="clear" w:color="auto" w:fill="FFFFFF" w:themeFill="background1"/>
            <w:noWrap/>
            <w:hideMark/>
          </w:tcPr>
          <w:p w14:paraId="54AD457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0,5</w:t>
            </w:r>
          </w:p>
        </w:tc>
      </w:tr>
      <w:tr w:rsidR="00AA5F62" w:rsidRPr="00F27A03" w14:paraId="5DC186F3"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7708C1F6"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Градови и општине</w:t>
            </w:r>
          </w:p>
        </w:tc>
        <w:tc>
          <w:tcPr>
            <w:tcW w:w="356" w:type="pct"/>
            <w:tcBorders>
              <w:top w:val="nil"/>
            </w:tcBorders>
            <w:shd w:val="clear" w:color="auto" w:fill="FFFFFF" w:themeFill="background1"/>
            <w:noWrap/>
          </w:tcPr>
          <w:p w14:paraId="2605ECC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hideMark/>
          </w:tcPr>
          <w:p w14:paraId="4C599C95"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24D8D77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2DCFF50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DF8223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5344E6C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55546F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3913FB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6450C5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1F84C4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D937A2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78D99FAC"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4630A3E"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AП Војводина</w:t>
            </w:r>
          </w:p>
        </w:tc>
        <w:tc>
          <w:tcPr>
            <w:tcW w:w="356" w:type="pct"/>
            <w:tcBorders>
              <w:top w:val="nil"/>
            </w:tcBorders>
            <w:shd w:val="clear" w:color="auto" w:fill="FFFFFF" w:themeFill="background1"/>
            <w:noWrap/>
          </w:tcPr>
          <w:p w14:paraId="468CD0E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w:t>
            </w:r>
          </w:p>
        </w:tc>
        <w:tc>
          <w:tcPr>
            <w:tcW w:w="356" w:type="pct"/>
            <w:tcBorders>
              <w:top w:val="nil"/>
            </w:tcBorders>
            <w:shd w:val="clear" w:color="auto" w:fill="FFFFFF" w:themeFill="background1"/>
            <w:noWrap/>
            <w:hideMark/>
          </w:tcPr>
          <w:p w14:paraId="2337FD3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35FA477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w:t>
            </w:r>
          </w:p>
        </w:tc>
        <w:tc>
          <w:tcPr>
            <w:tcW w:w="348" w:type="pct"/>
            <w:tcBorders>
              <w:top w:val="nil"/>
            </w:tcBorders>
            <w:shd w:val="clear" w:color="auto" w:fill="FFFFFF" w:themeFill="background1"/>
            <w:noWrap/>
            <w:hideMark/>
          </w:tcPr>
          <w:p w14:paraId="5D94F00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w:t>
            </w:r>
          </w:p>
        </w:tc>
        <w:tc>
          <w:tcPr>
            <w:tcW w:w="372" w:type="pct"/>
            <w:tcBorders>
              <w:top w:val="nil"/>
            </w:tcBorders>
            <w:shd w:val="clear" w:color="auto" w:fill="FFFFFF" w:themeFill="background1"/>
            <w:noWrap/>
            <w:hideMark/>
          </w:tcPr>
          <w:p w14:paraId="35C84AA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5FE4BEE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57CCD1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FD5643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8718E6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771071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62AF3D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37A012A0"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FCF9380"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Фонд ПИО</w:t>
            </w:r>
          </w:p>
        </w:tc>
        <w:tc>
          <w:tcPr>
            <w:tcW w:w="356" w:type="pct"/>
            <w:tcBorders>
              <w:top w:val="nil"/>
            </w:tcBorders>
            <w:shd w:val="clear" w:color="auto" w:fill="FFFFFF" w:themeFill="background1"/>
            <w:noWrap/>
            <w:hideMark/>
          </w:tcPr>
          <w:p w14:paraId="695A85D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80,1</w:t>
            </w:r>
          </w:p>
        </w:tc>
        <w:tc>
          <w:tcPr>
            <w:tcW w:w="356" w:type="pct"/>
            <w:tcBorders>
              <w:top w:val="nil"/>
            </w:tcBorders>
            <w:shd w:val="clear" w:color="auto" w:fill="FFFFFF" w:themeFill="background1"/>
            <w:noWrap/>
            <w:hideMark/>
          </w:tcPr>
          <w:p w14:paraId="50CC877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51764A6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2105D2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8D1986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6BD1547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8A2C61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80,1</w:t>
            </w:r>
          </w:p>
        </w:tc>
        <w:tc>
          <w:tcPr>
            <w:tcW w:w="372" w:type="pct"/>
            <w:tcBorders>
              <w:top w:val="nil"/>
            </w:tcBorders>
            <w:shd w:val="clear" w:color="auto" w:fill="FFFFFF" w:themeFill="background1"/>
            <w:noWrap/>
            <w:hideMark/>
          </w:tcPr>
          <w:p w14:paraId="7795CD8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8FB5D5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77,0</w:t>
            </w:r>
          </w:p>
        </w:tc>
        <w:tc>
          <w:tcPr>
            <w:tcW w:w="372" w:type="pct"/>
            <w:tcBorders>
              <w:top w:val="nil"/>
            </w:tcBorders>
            <w:shd w:val="clear" w:color="auto" w:fill="FFFFFF" w:themeFill="background1"/>
            <w:noWrap/>
          </w:tcPr>
          <w:p w14:paraId="6E3962A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A8B289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3,0</w:t>
            </w:r>
          </w:p>
        </w:tc>
      </w:tr>
      <w:tr w:rsidR="00AA5F62" w:rsidRPr="00F27A03" w14:paraId="0045BA91"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12F756B3"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РФЗО</w:t>
            </w:r>
          </w:p>
        </w:tc>
        <w:tc>
          <w:tcPr>
            <w:tcW w:w="356" w:type="pct"/>
            <w:tcBorders>
              <w:top w:val="nil"/>
            </w:tcBorders>
            <w:shd w:val="clear" w:color="auto" w:fill="FFFFFF" w:themeFill="background1"/>
            <w:noWrap/>
            <w:hideMark/>
          </w:tcPr>
          <w:p w14:paraId="35C5CAF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4,1</w:t>
            </w:r>
          </w:p>
        </w:tc>
        <w:tc>
          <w:tcPr>
            <w:tcW w:w="356" w:type="pct"/>
            <w:tcBorders>
              <w:top w:val="nil"/>
            </w:tcBorders>
            <w:shd w:val="clear" w:color="auto" w:fill="FFFFFF" w:themeFill="background1"/>
            <w:noWrap/>
            <w:hideMark/>
          </w:tcPr>
          <w:p w14:paraId="00078F6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3D15A5C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0284CB9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B820A6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06D53ED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DD8F53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4,1</w:t>
            </w:r>
          </w:p>
        </w:tc>
        <w:tc>
          <w:tcPr>
            <w:tcW w:w="372" w:type="pct"/>
            <w:tcBorders>
              <w:top w:val="nil"/>
            </w:tcBorders>
            <w:shd w:val="clear" w:color="auto" w:fill="FFFFFF" w:themeFill="background1"/>
            <w:noWrap/>
            <w:hideMark/>
          </w:tcPr>
          <w:p w14:paraId="4744AF9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4,1</w:t>
            </w:r>
          </w:p>
        </w:tc>
        <w:tc>
          <w:tcPr>
            <w:tcW w:w="372" w:type="pct"/>
            <w:tcBorders>
              <w:top w:val="nil"/>
            </w:tcBorders>
            <w:shd w:val="clear" w:color="auto" w:fill="FFFFFF" w:themeFill="background1"/>
            <w:noWrap/>
          </w:tcPr>
          <w:p w14:paraId="31107DC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0B54FC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6C21FA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26B99493"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E12FF2E"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НСЗ</w:t>
            </w:r>
          </w:p>
        </w:tc>
        <w:tc>
          <w:tcPr>
            <w:tcW w:w="356" w:type="pct"/>
            <w:tcBorders>
              <w:top w:val="nil"/>
            </w:tcBorders>
            <w:shd w:val="clear" w:color="auto" w:fill="FFFFFF" w:themeFill="background1"/>
            <w:noWrap/>
            <w:hideMark/>
          </w:tcPr>
          <w:p w14:paraId="09D44B8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4,7</w:t>
            </w:r>
          </w:p>
        </w:tc>
        <w:tc>
          <w:tcPr>
            <w:tcW w:w="356" w:type="pct"/>
            <w:tcBorders>
              <w:top w:val="nil"/>
            </w:tcBorders>
            <w:shd w:val="clear" w:color="auto" w:fill="FFFFFF" w:themeFill="background1"/>
            <w:noWrap/>
            <w:hideMark/>
          </w:tcPr>
          <w:p w14:paraId="3062244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4016D0E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65A004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5CA222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368DE58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CAB22F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4,7</w:t>
            </w:r>
          </w:p>
        </w:tc>
        <w:tc>
          <w:tcPr>
            <w:tcW w:w="372" w:type="pct"/>
            <w:tcBorders>
              <w:top w:val="nil"/>
            </w:tcBorders>
            <w:shd w:val="clear" w:color="auto" w:fill="FFFFFF" w:themeFill="background1"/>
            <w:noWrap/>
            <w:hideMark/>
          </w:tcPr>
          <w:p w14:paraId="4C693D0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3,3</w:t>
            </w:r>
          </w:p>
        </w:tc>
        <w:tc>
          <w:tcPr>
            <w:tcW w:w="372" w:type="pct"/>
            <w:tcBorders>
              <w:top w:val="nil"/>
            </w:tcBorders>
            <w:shd w:val="clear" w:color="auto" w:fill="FFFFFF" w:themeFill="background1"/>
            <w:noWrap/>
            <w:hideMark/>
          </w:tcPr>
          <w:p w14:paraId="7C57844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1,4</w:t>
            </w:r>
          </w:p>
        </w:tc>
        <w:tc>
          <w:tcPr>
            <w:tcW w:w="372" w:type="pct"/>
            <w:tcBorders>
              <w:top w:val="nil"/>
            </w:tcBorders>
            <w:shd w:val="clear" w:color="auto" w:fill="FFFFFF" w:themeFill="background1"/>
            <w:noWrap/>
          </w:tcPr>
          <w:p w14:paraId="447A2A8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DBE406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3967F73C"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885871F"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Фонд СОВО</w:t>
            </w:r>
          </w:p>
        </w:tc>
        <w:tc>
          <w:tcPr>
            <w:tcW w:w="356" w:type="pct"/>
            <w:tcBorders>
              <w:top w:val="nil"/>
            </w:tcBorders>
            <w:shd w:val="clear" w:color="auto" w:fill="FFFFFF" w:themeFill="background1"/>
            <w:noWrap/>
          </w:tcPr>
          <w:p w14:paraId="759D812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hideMark/>
          </w:tcPr>
          <w:p w14:paraId="3671C88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4625F46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391CD5D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244D0E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450F1D6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FE829C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897689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3947D24"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291937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5D2F75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74FE6312"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48493D5"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Остали нивои</w:t>
            </w:r>
          </w:p>
        </w:tc>
        <w:tc>
          <w:tcPr>
            <w:tcW w:w="356" w:type="pct"/>
            <w:tcBorders>
              <w:top w:val="nil"/>
            </w:tcBorders>
            <w:shd w:val="clear" w:color="auto" w:fill="FFFFFF" w:themeFill="background1"/>
            <w:noWrap/>
          </w:tcPr>
          <w:p w14:paraId="4D2846D1"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hideMark/>
          </w:tcPr>
          <w:p w14:paraId="1D31A41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1471740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5F7D10A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BF5986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77E4CCA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F8B508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E9DE1B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9E87DD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731B8C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98B02F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27F9D9B1"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E2BAE76"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Трансфери другим нивоима власти</w:t>
            </w:r>
          </w:p>
        </w:tc>
        <w:tc>
          <w:tcPr>
            <w:tcW w:w="356" w:type="pct"/>
            <w:tcBorders>
              <w:top w:val="nil"/>
            </w:tcBorders>
            <w:shd w:val="clear" w:color="auto" w:fill="FFFFFF" w:themeFill="background1"/>
            <w:noWrap/>
            <w:hideMark/>
          </w:tcPr>
          <w:p w14:paraId="4CD0C7B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531,8</w:t>
            </w:r>
          </w:p>
        </w:tc>
        <w:tc>
          <w:tcPr>
            <w:tcW w:w="356" w:type="pct"/>
            <w:tcBorders>
              <w:top w:val="nil"/>
            </w:tcBorders>
            <w:shd w:val="clear" w:color="auto" w:fill="FFFFFF" w:themeFill="background1"/>
            <w:noWrap/>
            <w:hideMark/>
          </w:tcPr>
          <w:p w14:paraId="0089E7E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427,9</w:t>
            </w:r>
          </w:p>
        </w:tc>
        <w:tc>
          <w:tcPr>
            <w:tcW w:w="360" w:type="pct"/>
            <w:tcBorders>
              <w:top w:val="nil"/>
            </w:tcBorders>
            <w:shd w:val="clear" w:color="auto" w:fill="FFFFFF" w:themeFill="background1"/>
            <w:noWrap/>
            <w:hideMark/>
          </w:tcPr>
          <w:p w14:paraId="45928CD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15,1</w:t>
            </w:r>
          </w:p>
        </w:tc>
        <w:tc>
          <w:tcPr>
            <w:tcW w:w="348" w:type="pct"/>
            <w:tcBorders>
              <w:top w:val="nil"/>
            </w:tcBorders>
            <w:shd w:val="clear" w:color="auto" w:fill="FFFFFF" w:themeFill="background1"/>
            <w:noWrap/>
            <w:hideMark/>
          </w:tcPr>
          <w:p w14:paraId="2232F57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7,4</w:t>
            </w:r>
          </w:p>
        </w:tc>
        <w:tc>
          <w:tcPr>
            <w:tcW w:w="372" w:type="pct"/>
            <w:tcBorders>
              <w:top w:val="nil"/>
            </w:tcBorders>
            <w:shd w:val="clear" w:color="auto" w:fill="FFFFFF" w:themeFill="background1"/>
            <w:noWrap/>
          </w:tcPr>
          <w:p w14:paraId="17FFD33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w:t>
            </w:r>
          </w:p>
        </w:tc>
        <w:tc>
          <w:tcPr>
            <w:tcW w:w="353" w:type="pct"/>
            <w:tcBorders>
              <w:top w:val="nil"/>
            </w:tcBorders>
            <w:shd w:val="clear" w:color="auto" w:fill="FFFFFF" w:themeFill="background1"/>
            <w:noWrap/>
          </w:tcPr>
          <w:p w14:paraId="4C56978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0,0</w:t>
            </w:r>
          </w:p>
        </w:tc>
        <w:tc>
          <w:tcPr>
            <w:tcW w:w="372" w:type="pct"/>
            <w:tcBorders>
              <w:top w:val="nil"/>
            </w:tcBorders>
            <w:shd w:val="clear" w:color="auto" w:fill="FFFFFF" w:themeFill="background1"/>
            <w:noWrap/>
            <w:hideMark/>
          </w:tcPr>
          <w:p w14:paraId="310113B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88,9</w:t>
            </w:r>
          </w:p>
        </w:tc>
        <w:tc>
          <w:tcPr>
            <w:tcW w:w="372" w:type="pct"/>
            <w:tcBorders>
              <w:top w:val="nil"/>
            </w:tcBorders>
            <w:shd w:val="clear" w:color="auto" w:fill="FFFFFF" w:themeFill="background1"/>
            <w:noWrap/>
            <w:hideMark/>
          </w:tcPr>
          <w:p w14:paraId="115EAB0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80,1</w:t>
            </w:r>
          </w:p>
        </w:tc>
        <w:tc>
          <w:tcPr>
            <w:tcW w:w="372" w:type="pct"/>
            <w:tcBorders>
              <w:top w:val="nil"/>
            </w:tcBorders>
            <w:shd w:val="clear" w:color="auto" w:fill="FFFFFF" w:themeFill="background1"/>
            <w:noWrap/>
            <w:hideMark/>
          </w:tcPr>
          <w:p w14:paraId="77D4DB7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4,1</w:t>
            </w:r>
          </w:p>
        </w:tc>
        <w:tc>
          <w:tcPr>
            <w:tcW w:w="372" w:type="pct"/>
            <w:tcBorders>
              <w:top w:val="nil"/>
            </w:tcBorders>
            <w:shd w:val="clear" w:color="auto" w:fill="FFFFFF" w:themeFill="background1"/>
            <w:noWrap/>
            <w:hideMark/>
          </w:tcPr>
          <w:p w14:paraId="3BF3C0C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4,7</w:t>
            </w:r>
          </w:p>
        </w:tc>
        <w:tc>
          <w:tcPr>
            <w:tcW w:w="372" w:type="pct"/>
            <w:tcBorders>
              <w:top w:val="nil"/>
            </w:tcBorders>
            <w:shd w:val="clear" w:color="auto" w:fill="FFFFFF" w:themeFill="background1"/>
            <w:noWrap/>
          </w:tcPr>
          <w:p w14:paraId="1137E28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3C0C071E"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72118D1"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Буџет Републике</w:t>
            </w:r>
          </w:p>
        </w:tc>
        <w:tc>
          <w:tcPr>
            <w:tcW w:w="356" w:type="pct"/>
            <w:tcBorders>
              <w:top w:val="nil"/>
            </w:tcBorders>
            <w:shd w:val="clear" w:color="auto" w:fill="FFFFFF" w:themeFill="background1"/>
            <w:noWrap/>
            <w:hideMark/>
          </w:tcPr>
          <w:p w14:paraId="0BC1E8A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7,4</w:t>
            </w:r>
          </w:p>
        </w:tc>
        <w:tc>
          <w:tcPr>
            <w:tcW w:w="356" w:type="pct"/>
            <w:tcBorders>
              <w:top w:val="nil"/>
            </w:tcBorders>
            <w:shd w:val="clear" w:color="auto" w:fill="FFFFFF" w:themeFill="background1"/>
            <w:noWrap/>
            <w:hideMark/>
          </w:tcPr>
          <w:p w14:paraId="29067F7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7954F8A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7,4</w:t>
            </w:r>
          </w:p>
        </w:tc>
        <w:tc>
          <w:tcPr>
            <w:tcW w:w="348" w:type="pct"/>
            <w:tcBorders>
              <w:top w:val="nil"/>
            </w:tcBorders>
            <w:shd w:val="clear" w:color="auto" w:fill="FFFFFF" w:themeFill="background1"/>
            <w:noWrap/>
            <w:hideMark/>
          </w:tcPr>
          <w:p w14:paraId="4BD42B9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7,4</w:t>
            </w:r>
          </w:p>
        </w:tc>
        <w:tc>
          <w:tcPr>
            <w:tcW w:w="372" w:type="pct"/>
            <w:tcBorders>
              <w:top w:val="nil"/>
            </w:tcBorders>
            <w:shd w:val="clear" w:color="auto" w:fill="FFFFFF" w:themeFill="background1"/>
            <w:noWrap/>
            <w:hideMark/>
          </w:tcPr>
          <w:p w14:paraId="2599CCC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18519E4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E30BA5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E6890A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C8392E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EA8194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1DDFBA8"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6F6D3375"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479CE63"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Градови и општине</w:t>
            </w:r>
          </w:p>
        </w:tc>
        <w:tc>
          <w:tcPr>
            <w:tcW w:w="356" w:type="pct"/>
            <w:tcBorders>
              <w:top w:val="nil"/>
            </w:tcBorders>
            <w:shd w:val="clear" w:color="auto" w:fill="FFFFFF" w:themeFill="background1"/>
            <w:noWrap/>
            <w:hideMark/>
          </w:tcPr>
          <w:p w14:paraId="3FEF773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85,4</w:t>
            </w:r>
          </w:p>
        </w:tc>
        <w:tc>
          <w:tcPr>
            <w:tcW w:w="356" w:type="pct"/>
            <w:tcBorders>
              <w:top w:val="nil"/>
            </w:tcBorders>
            <w:shd w:val="clear" w:color="auto" w:fill="FFFFFF" w:themeFill="background1"/>
            <w:noWrap/>
            <w:hideMark/>
          </w:tcPr>
          <w:p w14:paraId="60BC7AB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77,7</w:t>
            </w:r>
          </w:p>
        </w:tc>
        <w:tc>
          <w:tcPr>
            <w:tcW w:w="360" w:type="pct"/>
            <w:tcBorders>
              <w:top w:val="nil"/>
            </w:tcBorders>
            <w:shd w:val="clear" w:color="auto" w:fill="FFFFFF" w:themeFill="background1"/>
            <w:noWrap/>
            <w:hideMark/>
          </w:tcPr>
          <w:p w14:paraId="39BD08F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w:t>
            </w:r>
          </w:p>
        </w:tc>
        <w:tc>
          <w:tcPr>
            <w:tcW w:w="348" w:type="pct"/>
            <w:tcBorders>
              <w:top w:val="nil"/>
            </w:tcBorders>
            <w:shd w:val="clear" w:color="auto" w:fill="FFFFFF" w:themeFill="background1"/>
            <w:noWrap/>
            <w:hideMark/>
          </w:tcPr>
          <w:p w14:paraId="240CB11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5F260E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w:t>
            </w:r>
          </w:p>
        </w:tc>
        <w:tc>
          <w:tcPr>
            <w:tcW w:w="353" w:type="pct"/>
            <w:tcBorders>
              <w:top w:val="nil"/>
            </w:tcBorders>
            <w:shd w:val="clear" w:color="auto" w:fill="FFFFFF" w:themeFill="background1"/>
            <w:noWrap/>
            <w:hideMark/>
          </w:tcPr>
          <w:p w14:paraId="0E7D25F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2261B3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AF0014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46EB07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575196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85D540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02E09B7C"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B5C0212"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AП Војводина</w:t>
            </w:r>
          </w:p>
        </w:tc>
        <w:tc>
          <w:tcPr>
            <w:tcW w:w="356" w:type="pct"/>
            <w:tcBorders>
              <w:top w:val="nil"/>
            </w:tcBorders>
            <w:shd w:val="clear" w:color="auto" w:fill="FFFFFF" w:themeFill="background1"/>
            <w:noWrap/>
            <w:hideMark/>
          </w:tcPr>
          <w:p w14:paraId="23C83C0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57,0</w:t>
            </w:r>
          </w:p>
        </w:tc>
        <w:tc>
          <w:tcPr>
            <w:tcW w:w="356" w:type="pct"/>
            <w:tcBorders>
              <w:top w:val="nil"/>
            </w:tcBorders>
            <w:shd w:val="clear" w:color="auto" w:fill="FFFFFF" w:themeFill="background1"/>
            <w:noWrap/>
            <w:hideMark/>
          </w:tcPr>
          <w:p w14:paraId="53B41AC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57,0</w:t>
            </w:r>
          </w:p>
        </w:tc>
        <w:tc>
          <w:tcPr>
            <w:tcW w:w="360" w:type="pct"/>
            <w:tcBorders>
              <w:top w:val="nil"/>
            </w:tcBorders>
            <w:shd w:val="clear" w:color="auto" w:fill="FFFFFF" w:themeFill="background1"/>
            <w:noWrap/>
            <w:hideMark/>
          </w:tcPr>
          <w:p w14:paraId="3F73571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6E2278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D12B1F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014247B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6C6226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A22AAF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F060AC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5D8DCA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B958A20"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479FE3DE"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7DB99DD0"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Фонд ПИО</w:t>
            </w:r>
          </w:p>
        </w:tc>
        <w:tc>
          <w:tcPr>
            <w:tcW w:w="356" w:type="pct"/>
            <w:tcBorders>
              <w:top w:val="nil"/>
            </w:tcBorders>
            <w:shd w:val="clear" w:color="auto" w:fill="FFFFFF" w:themeFill="background1"/>
            <w:noWrap/>
            <w:hideMark/>
          </w:tcPr>
          <w:p w14:paraId="54E8367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193,1</w:t>
            </w:r>
          </w:p>
        </w:tc>
        <w:tc>
          <w:tcPr>
            <w:tcW w:w="356" w:type="pct"/>
            <w:tcBorders>
              <w:top w:val="nil"/>
            </w:tcBorders>
            <w:shd w:val="clear" w:color="auto" w:fill="FFFFFF" w:themeFill="background1"/>
            <w:noWrap/>
            <w:hideMark/>
          </w:tcPr>
          <w:p w14:paraId="6B7F48F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185,7</w:t>
            </w:r>
          </w:p>
        </w:tc>
        <w:tc>
          <w:tcPr>
            <w:tcW w:w="360" w:type="pct"/>
            <w:tcBorders>
              <w:top w:val="nil"/>
            </w:tcBorders>
            <w:shd w:val="clear" w:color="auto" w:fill="FFFFFF" w:themeFill="background1"/>
            <w:noWrap/>
            <w:hideMark/>
          </w:tcPr>
          <w:p w14:paraId="0D1F8A6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0E0DFE6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9E616A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1AFFDEF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519321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7,4</w:t>
            </w:r>
          </w:p>
        </w:tc>
        <w:tc>
          <w:tcPr>
            <w:tcW w:w="372" w:type="pct"/>
            <w:tcBorders>
              <w:top w:val="nil"/>
            </w:tcBorders>
            <w:shd w:val="clear" w:color="auto" w:fill="FFFFFF" w:themeFill="background1"/>
            <w:noWrap/>
          </w:tcPr>
          <w:p w14:paraId="12A4B64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0,0</w:t>
            </w:r>
          </w:p>
        </w:tc>
        <w:tc>
          <w:tcPr>
            <w:tcW w:w="372" w:type="pct"/>
            <w:tcBorders>
              <w:top w:val="nil"/>
            </w:tcBorders>
            <w:shd w:val="clear" w:color="auto" w:fill="FFFFFF" w:themeFill="background1"/>
            <w:noWrap/>
            <w:hideMark/>
          </w:tcPr>
          <w:p w14:paraId="53F2055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4,1</w:t>
            </w:r>
          </w:p>
        </w:tc>
        <w:tc>
          <w:tcPr>
            <w:tcW w:w="372" w:type="pct"/>
            <w:tcBorders>
              <w:top w:val="nil"/>
            </w:tcBorders>
            <w:shd w:val="clear" w:color="auto" w:fill="FFFFFF" w:themeFill="background1"/>
            <w:noWrap/>
            <w:hideMark/>
          </w:tcPr>
          <w:p w14:paraId="06C4510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3,3</w:t>
            </w:r>
          </w:p>
        </w:tc>
        <w:tc>
          <w:tcPr>
            <w:tcW w:w="372" w:type="pct"/>
            <w:tcBorders>
              <w:top w:val="nil"/>
            </w:tcBorders>
            <w:shd w:val="clear" w:color="auto" w:fill="FFFFFF" w:themeFill="background1"/>
            <w:noWrap/>
          </w:tcPr>
          <w:p w14:paraId="3465FCC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330CA41E"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BF5999B"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РФЗО</w:t>
            </w:r>
          </w:p>
        </w:tc>
        <w:tc>
          <w:tcPr>
            <w:tcW w:w="356" w:type="pct"/>
            <w:tcBorders>
              <w:top w:val="nil"/>
            </w:tcBorders>
            <w:shd w:val="clear" w:color="auto" w:fill="FFFFFF" w:themeFill="background1"/>
            <w:noWrap/>
            <w:hideMark/>
          </w:tcPr>
          <w:p w14:paraId="7812C6F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161,8</w:t>
            </w:r>
          </w:p>
        </w:tc>
        <w:tc>
          <w:tcPr>
            <w:tcW w:w="356" w:type="pct"/>
            <w:tcBorders>
              <w:top w:val="nil"/>
            </w:tcBorders>
            <w:shd w:val="clear" w:color="auto" w:fill="FFFFFF" w:themeFill="background1"/>
            <w:noWrap/>
            <w:hideMark/>
          </w:tcPr>
          <w:p w14:paraId="0367F50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83,4</w:t>
            </w:r>
          </w:p>
        </w:tc>
        <w:tc>
          <w:tcPr>
            <w:tcW w:w="360" w:type="pct"/>
            <w:tcBorders>
              <w:top w:val="nil"/>
            </w:tcBorders>
            <w:shd w:val="clear" w:color="auto" w:fill="FFFFFF" w:themeFill="background1"/>
            <w:noWrap/>
            <w:hideMark/>
          </w:tcPr>
          <w:p w14:paraId="462F0A3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15A6EA0C"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F6D8595"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67AA79F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2152A6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78,4</w:t>
            </w:r>
          </w:p>
        </w:tc>
        <w:tc>
          <w:tcPr>
            <w:tcW w:w="372" w:type="pct"/>
            <w:tcBorders>
              <w:top w:val="nil"/>
            </w:tcBorders>
            <w:shd w:val="clear" w:color="auto" w:fill="FFFFFF" w:themeFill="background1"/>
            <w:noWrap/>
            <w:hideMark/>
          </w:tcPr>
          <w:p w14:paraId="51099EE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77,0</w:t>
            </w:r>
          </w:p>
        </w:tc>
        <w:tc>
          <w:tcPr>
            <w:tcW w:w="372" w:type="pct"/>
            <w:tcBorders>
              <w:top w:val="nil"/>
            </w:tcBorders>
            <w:shd w:val="clear" w:color="auto" w:fill="FFFFFF" w:themeFill="background1"/>
            <w:noWrap/>
          </w:tcPr>
          <w:p w14:paraId="792278D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A83617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1,4</w:t>
            </w:r>
          </w:p>
        </w:tc>
        <w:tc>
          <w:tcPr>
            <w:tcW w:w="372" w:type="pct"/>
            <w:tcBorders>
              <w:top w:val="nil"/>
            </w:tcBorders>
            <w:shd w:val="clear" w:color="auto" w:fill="FFFFFF" w:themeFill="background1"/>
            <w:noWrap/>
          </w:tcPr>
          <w:p w14:paraId="5D3E1DD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3DC7FA51"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700DDE8"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НСЗ</w:t>
            </w:r>
          </w:p>
        </w:tc>
        <w:tc>
          <w:tcPr>
            <w:tcW w:w="356" w:type="pct"/>
            <w:tcBorders>
              <w:top w:val="nil"/>
            </w:tcBorders>
            <w:shd w:val="clear" w:color="auto" w:fill="FFFFFF" w:themeFill="background1"/>
            <w:noWrap/>
            <w:hideMark/>
          </w:tcPr>
          <w:p w14:paraId="474DB9F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5,0</w:t>
            </w:r>
          </w:p>
        </w:tc>
        <w:tc>
          <w:tcPr>
            <w:tcW w:w="356" w:type="pct"/>
            <w:tcBorders>
              <w:top w:val="nil"/>
            </w:tcBorders>
            <w:shd w:val="clear" w:color="auto" w:fill="FFFFFF" w:themeFill="background1"/>
            <w:noWrap/>
            <w:hideMark/>
          </w:tcPr>
          <w:p w14:paraId="0BE30FE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5,0</w:t>
            </w:r>
          </w:p>
        </w:tc>
        <w:tc>
          <w:tcPr>
            <w:tcW w:w="360" w:type="pct"/>
            <w:tcBorders>
              <w:top w:val="nil"/>
            </w:tcBorders>
            <w:shd w:val="clear" w:color="auto" w:fill="FFFFFF" w:themeFill="background1"/>
            <w:noWrap/>
            <w:hideMark/>
          </w:tcPr>
          <w:p w14:paraId="20E67B2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50F0CF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D702C8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0368182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4B722D3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63D432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74768B9"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989446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212941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1A6DCF1C"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BDAC59A"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Фонд СОВО</w:t>
            </w:r>
          </w:p>
        </w:tc>
        <w:tc>
          <w:tcPr>
            <w:tcW w:w="356" w:type="pct"/>
            <w:tcBorders>
              <w:top w:val="nil"/>
            </w:tcBorders>
            <w:shd w:val="clear" w:color="auto" w:fill="FFFFFF" w:themeFill="background1"/>
            <w:noWrap/>
            <w:hideMark/>
          </w:tcPr>
          <w:p w14:paraId="52DB660F"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3,5</w:t>
            </w:r>
          </w:p>
        </w:tc>
        <w:tc>
          <w:tcPr>
            <w:tcW w:w="356" w:type="pct"/>
            <w:tcBorders>
              <w:top w:val="nil"/>
            </w:tcBorders>
            <w:shd w:val="clear" w:color="auto" w:fill="FFFFFF" w:themeFill="background1"/>
            <w:noWrap/>
            <w:hideMark/>
          </w:tcPr>
          <w:p w14:paraId="45E7215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0,5</w:t>
            </w:r>
          </w:p>
        </w:tc>
        <w:tc>
          <w:tcPr>
            <w:tcW w:w="360" w:type="pct"/>
            <w:tcBorders>
              <w:top w:val="nil"/>
            </w:tcBorders>
            <w:shd w:val="clear" w:color="auto" w:fill="FFFFFF" w:themeFill="background1"/>
            <w:noWrap/>
            <w:hideMark/>
          </w:tcPr>
          <w:p w14:paraId="4EF7FDC5"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1ACF5A9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FD4100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2577B1F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BF306E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3,0</w:t>
            </w:r>
          </w:p>
        </w:tc>
        <w:tc>
          <w:tcPr>
            <w:tcW w:w="372" w:type="pct"/>
            <w:tcBorders>
              <w:top w:val="nil"/>
            </w:tcBorders>
            <w:shd w:val="clear" w:color="auto" w:fill="FFFFFF" w:themeFill="background1"/>
            <w:noWrap/>
            <w:hideMark/>
          </w:tcPr>
          <w:p w14:paraId="355CB245"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3,0</w:t>
            </w:r>
          </w:p>
        </w:tc>
        <w:tc>
          <w:tcPr>
            <w:tcW w:w="372" w:type="pct"/>
            <w:tcBorders>
              <w:top w:val="nil"/>
            </w:tcBorders>
            <w:shd w:val="clear" w:color="auto" w:fill="FFFFFF" w:themeFill="background1"/>
            <w:noWrap/>
          </w:tcPr>
          <w:p w14:paraId="402FDFB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7A5BFAE"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CB72E07"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AA5F62" w:rsidRPr="00F27A03" w14:paraId="4DAC7274"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1AF35B9"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Остали нивои</w:t>
            </w:r>
          </w:p>
        </w:tc>
        <w:tc>
          <w:tcPr>
            <w:tcW w:w="356" w:type="pct"/>
            <w:tcBorders>
              <w:top w:val="nil"/>
            </w:tcBorders>
            <w:shd w:val="clear" w:color="auto" w:fill="FFFFFF" w:themeFill="background1"/>
            <w:noWrap/>
            <w:hideMark/>
          </w:tcPr>
          <w:p w14:paraId="39ACB7C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18,7</w:t>
            </w:r>
          </w:p>
        </w:tc>
        <w:tc>
          <w:tcPr>
            <w:tcW w:w="356" w:type="pct"/>
            <w:tcBorders>
              <w:top w:val="nil"/>
            </w:tcBorders>
            <w:shd w:val="clear" w:color="auto" w:fill="FFFFFF" w:themeFill="background1"/>
            <w:noWrap/>
            <w:hideMark/>
          </w:tcPr>
          <w:p w14:paraId="3213F2CA"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18,7</w:t>
            </w:r>
          </w:p>
        </w:tc>
        <w:tc>
          <w:tcPr>
            <w:tcW w:w="360" w:type="pct"/>
            <w:tcBorders>
              <w:top w:val="nil"/>
            </w:tcBorders>
            <w:shd w:val="clear" w:color="auto" w:fill="FFFFFF" w:themeFill="background1"/>
            <w:noWrap/>
            <w:hideMark/>
          </w:tcPr>
          <w:p w14:paraId="42560C85"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7A2B1BA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2D212D1"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3028BAB6"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58FA95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360448D"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F3295CF"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2AA161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21D6B5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AA5F62" w:rsidRPr="00F27A03" w14:paraId="465CFB84" w14:textId="77777777" w:rsidTr="00A42963">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BAFA84D" w14:textId="77777777" w:rsidR="00AA5F62" w:rsidRPr="00F27A03" w:rsidRDefault="00AA5F62" w:rsidP="00A42963">
            <w:pPr>
              <w:tabs>
                <w:tab w:val="center" w:pos="4680"/>
                <w:tab w:val="right" w:pos="9360"/>
              </w:tabs>
              <w:rPr>
                <w:rFonts w:cstheme="minorHAnsi"/>
                <w:b w:val="0"/>
                <w:color w:val="002060"/>
                <w:sz w:val="14"/>
                <w:szCs w:val="14"/>
                <w:lang w:val="sr-Cyrl-CS"/>
              </w:rPr>
            </w:pPr>
            <w:r w:rsidRPr="00F27A03">
              <w:rPr>
                <w:rFonts w:cstheme="minorHAnsi"/>
                <w:b w:val="0"/>
                <w:color w:val="002060"/>
                <w:sz w:val="14"/>
                <w:szCs w:val="14"/>
                <w:lang w:val="sr-Cyrl-CS"/>
              </w:rPr>
              <w:t>Нето трансфери другим нивоима власти</w:t>
            </w:r>
          </w:p>
        </w:tc>
        <w:tc>
          <w:tcPr>
            <w:tcW w:w="356" w:type="pct"/>
            <w:tcBorders>
              <w:top w:val="nil"/>
            </w:tcBorders>
            <w:shd w:val="clear" w:color="auto" w:fill="FFFFFF" w:themeFill="background1"/>
            <w:noWrap/>
          </w:tcPr>
          <w:p w14:paraId="4CD87BD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0,0</w:t>
            </w:r>
          </w:p>
        </w:tc>
        <w:tc>
          <w:tcPr>
            <w:tcW w:w="356" w:type="pct"/>
            <w:tcBorders>
              <w:top w:val="nil"/>
            </w:tcBorders>
            <w:shd w:val="clear" w:color="auto" w:fill="FFFFFF" w:themeFill="background1"/>
            <w:noWrap/>
            <w:hideMark/>
          </w:tcPr>
          <w:p w14:paraId="281400A3"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-420,5</w:t>
            </w:r>
          </w:p>
        </w:tc>
        <w:tc>
          <w:tcPr>
            <w:tcW w:w="360" w:type="pct"/>
            <w:tcBorders>
              <w:top w:val="nil"/>
            </w:tcBorders>
            <w:shd w:val="clear" w:color="auto" w:fill="FFFFFF" w:themeFill="background1"/>
            <w:noWrap/>
            <w:hideMark/>
          </w:tcPr>
          <w:p w14:paraId="226927A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127,3</w:t>
            </w:r>
          </w:p>
        </w:tc>
        <w:tc>
          <w:tcPr>
            <w:tcW w:w="348" w:type="pct"/>
            <w:tcBorders>
              <w:top w:val="nil"/>
            </w:tcBorders>
            <w:shd w:val="clear" w:color="auto" w:fill="FFFFFF" w:themeFill="background1"/>
            <w:noWrap/>
            <w:hideMark/>
          </w:tcPr>
          <w:p w14:paraId="37234BF2"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78,1</w:t>
            </w:r>
          </w:p>
        </w:tc>
        <w:tc>
          <w:tcPr>
            <w:tcW w:w="372" w:type="pct"/>
            <w:tcBorders>
              <w:top w:val="nil"/>
            </w:tcBorders>
            <w:shd w:val="clear" w:color="auto" w:fill="FFFFFF" w:themeFill="background1"/>
            <w:noWrap/>
            <w:hideMark/>
          </w:tcPr>
          <w:p w14:paraId="60255CAD"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49,3</w:t>
            </w:r>
          </w:p>
        </w:tc>
        <w:tc>
          <w:tcPr>
            <w:tcW w:w="353" w:type="pct"/>
            <w:tcBorders>
              <w:top w:val="nil"/>
            </w:tcBorders>
            <w:shd w:val="clear" w:color="auto" w:fill="FFFFFF" w:themeFill="background1"/>
            <w:noWrap/>
            <w:hideMark/>
          </w:tcPr>
          <w:p w14:paraId="146149EB"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18,7</w:t>
            </w:r>
          </w:p>
        </w:tc>
        <w:tc>
          <w:tcPr>
            <w:tcW w:w="372" w:type="pct"/>
            <w:tcBorders>
              <w:top w:val="nil"/>
            </w:tcBorders>
            <w:shd w:val="clear" w:color="auto" w:fill="FFFFFF" w:themeFill="background1"/>
            <w:noWrap/>
            <w:hideMark/>
          </w:tcPr>
          <w:p w14:paraId="735D738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274,6</w:t>
            </w:r>
          </w:p>
        </w:tc>
        <w:tc>
          <w:tcPr>
            <w:tcW w:w="372" w:type="pct"/>
            <w:tcBorders>
              <w:top w:val="nil"/>
            </w:tcBorders>
            <w:shd w:val="clear" w:color="auto" w:fill="FFFFFF" w:themeFill="background1"/>
            <w:noWrap/>
            <w:hideMark/>
          </w:tcPr>
          <w:p w14:paraId="6325832A"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113,0</w:t>
            </w:r>
          </w:p>
        </w:tc>
        <w:tc>
          <w:tcPr>
            <w:tcW w:w="372" w:type="pct"/>
            <w:tcBorders>
              <w:top w:val="nil"/>
            </w:tcBorders>
            <w:shd w:val="clear" w:color="auto" w:fill="FFFFFF" w:themeFill="background1"/>
            <w:noWrap/>
            <w:hideMark/>
          </w:tcPr>
          <w:p w14:paraId="3125D7F9"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157,7</w:t>
            </w:r>
          </w:p>
        </w:tc>
        <w:tc>
          <w:tcPr>
            <w:tcW w:w="372" w:type="pct"/>
            <w:tcBorders>
              <w:top w:val="nil"/>
            </w:tcBorders>
            <w:shd w:val="clear" w:color="auto" w:fill="FFFFFF" w:themeFill="background1"/>
            <w:noWrap/>
            <w:hideMark/>
          </w:tcPr>
          <w:p w14:paraId="13DB2CA6"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0,3</w:t>
            </w:r>
          </w:p>
        </w:tc>
        <w:tc>
          <w:tcPr>
            <w:tcW w:w="372" w:type="pct"/>
            <w:tcBorders>
              <w:top w:val="nil"/>
            </w:tcBorders>
            <w:shd w:val="clear" w:color="auto" w:fill="FFFFFF" w:themeFill="background1"/>
            <w:noWrap/>
            <w:hideMark/>
          </w:tcPr>
          <w:p w14:paraId="5A4C90D4" w14:textId="77777777" w:rsidR="00AA5F62" w:rsidRPr="00F27A03" w:rsidRDefault="00AA5F62" w:rsidP="00A42963">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27A03">
              <w:rPr>
                <w:rFonts w:cstheme="minorHAnsi"/>
                <w:color w:val="002060"/>
                <w:sz w:val="14"/>
                <w:szCs w:val="14"/>
                <w:lang w:val="sr-Cyrl-CS"/>
              </w:rPr>
              <w:t>3,5</w:t>
            </w:r>
          </w:p>
        </w:tc>
      </w:tr>
      <w:tr w:rsidR="00AA5F62" w:rsidRPr="00F27A03" w14:paraId="32D407B1" w14:textId="77777777" w:rsidTr="00A42963">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bottom w:val="single" w:sz="4" w:space="0" w:color="auto"/>
            </w:tcBorders>
            <w:shd w:val="clear" w:color="auto" w:fill="BFBFBF" w:themeFill="background1" w:themeFillShade="BF"/>
            <w:noWrap/>
            <w:vAlign w:val="bottom"/>
            <w:hideMark/>
          </w:tcPr>
          <w:p w14:paraId="7829E35F" w14:textId="77777777" w:rsidR="00AA5F62" w:rsidRPr="00F27A03" w:rsidRDefault="00AA5F62" w:rsidP="00A42963">
            <w:pPr>
              <w:tabs>
                <w:tab w:val="center" w:pos="4680"/>
                <w:tab w:val="right" w:pos="9360"/>
              </w:tabs>
              <w:rPr>
                <w:rFonts w:cstheme="minorHAnsi"/>
                <w:color w:val="002060"/>
                <w:sz w:val="14"/>
                <w:szCs w:val="14"/>
                <w:lang w:val="sr-Cyrl-CS"/>
              </w:rPr>
            </w:pPr>
            <w:r w:rsidRPr="00F27A03">
              <w:rPr>
                <w:rFonts w:cstheme="minorHAnsi"/>
                <w:color w:val="002060"/>
                <w:sz w:val="14"/>
                <w:szCs w:val="14"/>
                <w:lang w:val="sr-Cyrl-CS"/>
              </w:rPr>
              <w:t>Фискални резултат</w:t>
            </w:r>
          </w:p>
        </w:tc>
        <w:tc>
          <w:tcPr>
            <w:tcW w:w="356" w:type="pct"/>
            <w:tcBorders>
              <w:top w:val="nil"/>
              <w:bottom w:val="single" w:sz="4" w:space="0" w:color="auto"/>
            </w:tcBorders>
            <w:shd w:val="clear" w:color="auto" w:fill="BFBFBF" w:themeFill="background1" w:themeFillShade="BF"/>
            <w:noWrap/>
            <w:hideMark/>
          </w:tcPr>
          <w:p w14:paraId="7A04AD5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-264,0</w:t>
            </w:r>
          </w:p>
        </w:tc>
        <w:tc>
          <w:tcPr>
            <w:tcW w:w="356" w:type="pct"/>
            <w:tcBorders>
              <w:top w:val="nil"/>
              <w:bottom w:val="single" w:sz="4" w:space="0" w:color="auto"/>
            </w:tcBorders>
            <w:shd w:val="clear" w:color="auto" w:fill="BFBFBF" w:themeFill="background1" w:themeFillShade="BF"/>
            <w:noWrap/>
            <w:hideMark/>
          </w:tcPr>
          <w:p w14:paraId="207AF04C"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-264,0</w:t>
            </w:r>
          </w:p>
        </w:tc>
        <w:tc>
          <w:tcPr>
            <w:tcW w:w="360" w:type="pct"/>
            <w:tcBorders>
              <w:top w:val="nil"/>
              <w:bottom w:val="single" w:sz="4" w:space="0" w:color="auto"/>
            </w:tcBorders>
            <w:shd w:val="clear" w:color="auto" w:fill="BFBFBF" w:themeFill="background1" w:themeFillShade="BF"/>
            <w:noWrap/>
            <w:hideMark/>
          </w:tcPr>
          <w:p w14:paraId="276159A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c>
          <w:tcPr>
            <w:tcW w:w="348" w:type="pct"/>
            <w:tcBorders>
              <w:top w:val="nil"/>
              <w:bottom w:val="single" w:sz="4" w:space="0" w:color="auto"/>
            </w:tcBorders>
            <w:shd w:val="clear" w:color="auto" w:fill="BFBFBF" w:themeFill="background1" w:themeFillShade="BF"/>
            <w:noWrap/>
            <w:hideMark/>
          </w:tcPr>
          <w:p w14:paraId="5CB9C897"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5E51300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c>
          <w:tcPr>
            <w:tcW w:w="353" w:type="pct"/>
            <w:tcBorders>
              <w:top w:val="nil"/>
              <w:bottom w:val="single" w:sz="4" w:space="0" w:color="auto"/>
            </w:tcBorders>
            <w:shd w:val="clear" w:color="auto" w:fill="BFBFBF" w:themeFill="background1" w:themeFillShade="BF"/>
            <w:noWrap/>
            <w:hideMark/>
          </w:tcPr>
          <w:p w14:paraId="6BAC8150"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53E9D52B"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4CA3BD3E"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409FDF92"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5050BB08"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4423F753" w14:textId="77777777" w:rsidR="00AA5F62" w:rsidRPr="00F27A03" w:rsidRDefault="00AA5F62" w:rsidP="00A42963">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F27A03">
              <w:rPr>
                <w:rFonts w:cstheme="minorHAnsi"/>
                <w:b/>
                <w:bCs/>
                <w:color w:val="002060"/>
                <w:sz w:val="14"/>
                <w:szCs w:val="14"/>
                <w:lang w:val="sr-Cyrl-CS"/>
              </w:rPr>
              <w:t>0,0</w:t>
            </w:r>
          </w:p>
        </w:tc>
      </w:tr>
    </w:tbl>
    <w:p w14:paraId="0B37D14B" w14:textId="77777777" w:rsidR="00AA5F62" w:rsidRPr="00F27A03" w:rsidRDefault="00AA5F62" w:rsidP="00BF6FDD">
      <w:pPr>
        <w:tabs>
          <w:tab w:val="center" w:pos="4680"/>
          <w:tab w:val="right" w:pos="9360"/>
        </w:tabs>
        <w:spacing w:before="40" w:after="60" w:line="240" w:lineRule="auto"/>
        <w:ind w:right="340"/>
        <w:rPr>
          <w:rFonts w:cstheme="minorHAnsi"/>
          <w:sz w:val="16"/>
          <w:szCs w:val="16"/>
          <w:lang w:val="sr-Cyrl-CS"/>
        </w:rPr>
      </w:pPr>
      <w:r w:rsidRPr="00F27A03">
        <w:rPr>
          <w:rFonts w:cstheme="minorHAnsi"/>
          <w:sz w:val="16"/>
          <w:szCs w:val="16"/>
          <w:lang w:val="sr-Cyrl-CS"/>
        </w:rPr>
        <w:t>У табели је приказан оквирни износ прихода и расхода у 2023. години који је у већој мери заснован на статистичкој методологији рачуна јавних финансија него на рачуноводственој. Будући да током буџетског процеса може доћи до измена у висини и структури појединих категорија, ови износи нису законски обавезујући.</w:t>
      </w:r>
    </w:p>
    <w:p w14:paraId="7764E25D" w14:textId="77777777" w:rsidR="00AA5F62" w:rsidRPr="00F27A03" w:rsidRDefault="00AA5F62" w:rsidP="00BF6FDD">
      <w:pPr>
        <w:tabs>
          <w:tab w:val="center" w:pos="4680"/>
          <w:tab w:val="right" w:pos="9360"/>
        </w:tabs>
        <w:spacing w:before="40" w:after="60" w:line="240" w:lineRule="auto"/>
        <w:ind w:right="340"/>
        <w:rPr>
          <w:sz w:val="14"/>
          <w:szCs w:val="26"/>
          <w:lang w:val="sr-Cyrl-CS"/>
        </w:rPr>
      </w:pPr>
      <w:r w:rsidRPr="00F27A03">
        <w:rPr>
          <w:rFonts w:cstheme="minorHAnsi"/>
          <w:sz w:val="16"/>
          <w:szCs w:val="16"/>
          <w:lang w:val="sr-Cyrl-CS"/>
        </w:rPr>
        <w:t>* Буџет је приказан без дела сопствених прихода индиректних буџетских корисника и из њих финансираних расхода, који нису обухваћени информационим системом извршења буџета.</w:t>
      </w:r>
    </w:p>
    <w:bookmarkEnd w:id="52"/>
    <w:bookmarkEnd w:id="53"/>
    <w:p w14:paraId="1B0809C9" w14:textId="4C6B2E69" w:rsidR="00C91F83" w:rsidRPr="00F27A03" w:rsidRDefault="00C91F83" w:rsidP="00AA5F62">
      <w:pPr>
        <w:rPr>
          <w:lang w:val="sr-Cyrl-CS"/>
        </w:rPr>
      </w:pPr>
    </w:p>
    <w:sectPr w:rsidR="00C91F83" w:rsidRPr="00F27A03" w:rsidSect="00C91F83">
      <w:pgSz w:w="15840" w:h="12240" w:orient="landscape" w:code="1"/>
      <w:pgMar w:top="680" w:right="567" w:bottom="680" w:left="567" w:header="510" w:footer="397" w:gutter="0"/>
      <w:cols w:space="720"/>
      <w:docGrid w:linePitch="360"/>
      <w15:footnoteColumns w:val="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80424F" w14:textId="77777777" w:rsidR="007B4E1C" w:rsidRDefault="007B4E1C" w:rsidP="00BF7F6A">
      <w:pPr>
        <w:spacing w:after="0" w:line="240" w:lineRule="auto"/>
      </w:pPr>
      <w:r>
        <w:separator/>
      </w:r>
    </w:p>
  </w:endnote>
  <w:endnote w:type="continuationSeparator" w:id="0">
    <w:p w14:paraId="6B5F908C" w14:textId="77777777" w:rsidR="007B4E1C" w:rsidRDefault="007B4E1C" w:rsidP="00BF7F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375756"/>
      <w:docPartObj>
        <w:docPartGallery w:val="Page Numbers (Bottom of Page)"/>
        <w:docPartUnique/>
      </w:docPartObj>
    </w:sdtPr>
    <w:sdtEndPr>
      <w:rPr>
        <w:noProof/>
      </w:rPr>
    </w:sdtEndPr>
    <w:sdtContent>
      <w:p w14:paraId="3BB6FA01" w14:textId="77777777" w:rsidR="000E16CE" w:rsidRDefault="00000000">
        <w:pPr>
          <w:pStyle w:val="Footer"/>
        </w:pPr>
      </w:p>
    </w:sdtContent>
  </w:sdt>
  <w:p w14:paraId="75A1C430" w14:textId="77777777" w:rsidR="000E16CE" w:rsidRDefault="000E16CE">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6429346"/>
      <w:docPartObj>
        <w:docPartGallery w:val="Page Numbers (Bottom of Page)"/>
        <w:docPartUnique/>
      </w:docPartObj>
    </w:sdtPr>
    <w:sdtEndPr>
      <w:rPr>
        <w:noProof/>
      </w:rPr>
    </w:sdtEndPr>
    <w:sdtContent>
      <w:p w14:paraId="23718A38" w14:textId="14851FA3" w:rsidR="000E16CE" w:rsidRDefault="000E16CE">
        <w:pPr>
          <w:pStyle w:val="Footer"/>
        </w:pPr>
        <w:r>
          <w:fldChar w:fldCharType="begin"/>
        </w:r>
        <w:r>
          <w:instrText xml:space="preserve"> PAGE   \* MERGEFORMAT </w:instrText>
        </w:r>
        <w:r>
          <w:fldChar w:fldCharType="separate"/>
        </w:r>
        <w:r w:rsidR="005C76CA">
          <w:rPr>
            <w:noProof/>
          </w:rPr>
          <w:t>26</w:t>
        </w:r>
        <w:r>
          <w:rPr>
            <w:noProof/>
          </w:rPr>
          <w:fldChar w:fldCharType="end"/>
        </w:r>
      </w:p>
    </w:sdtContent>
  </w:sdt>
  <w:p w14:paraId="55D04BCD" w14:textId="77777777" w:rsidR="000E16CE" w:rsidRDefault="000E16CE">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8862087"/>
      <w:docPartObj>
        <w:docPartGallery w:val="Page Numbers (Bottom of Page)"/>
        <w:docPartUnique/>
      </w:docPartObj>
    </w:sdtPr>
    <w:sdtEndPr>
      <w:rPr>
        <w:noProof/>
      </w:rPr>
    </w:sdtEndPr>
    <w:sdtContent>
      <w:p w14:paraId="5E2E19C3"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2</w:t>
        </w:r>
        <w:r w:rsidRPr="001B7E15">
          <w:rPr>
            <w:noProof/>
          </w:rPr>
          <w:fldChar w:fldCharType="end"/>
        </w:r>
      </w:p>
    </w:sdtContent>
  </w:sdt>
  <w:p w14:paraId="299F4188" w14:textId="77777777" w:rsidR="000E16CE" w:rsidRPr="00231623" w:rsidRDefault="000E16CE" w:rsidP="00231623">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4654684"/>
      <w:docPartObj>
        <w:docPartGallery w:val="Page Numbers (Bottom of Page)"/>
        <w:docPartUnique/>
      </w:docPartObj>
    </w:sdtPr>
    <w:sdtEndPr>
      <w:rPr>
        <w:noProof/>
      </w:rPr>
    </w:sdtEndPr>
    <w:sdtContent>
      <w:p w14:paraId="253F5712" w14:textId="58C8998E" w:rsidR="000E16CE" w:rsidRPr="001B7E15" w:rsidRDefault="000E16CE" w:rsidP="00C130D2">
        <w:pPr>
          <w:pStyle w:val="Footer"/>
        </w:pPr>
        <w:r w:rsidRPr="001B7E15">
          <w:fldChar w:fldCharType="begin"/>
        </w:r>
        <w:r w:rsidRPr="001B7E15">
          <w:instrText xml:space="preserve"> PAGE   \* MERGEFORMAT </w:instrText>
        </w:r>
        <w:r w:rsidRPr="001B7E15">
          <w:fldChar w:fldCharType="separate"/>
        </w:r>
        <w:r w:rsidR="005C76CA">
          <w:rPr>
            <w:noProof/>
          </w:rPr>
          <w:t>27</w:t>
        </w:r>
        <w:r w:rsidRPr="001B7E15">
          <w:rPr>
            <w:noProof/>
          </w:rPr>
          <w:fldChar w:fldCharType="end"/>
        </w:r>
      </w:p>
    </w:sdtContent>
  </w:sdt>
  <w:p w14:paraId="09FC0464" w14:textId="77777777" w:rsidR="000E16CE" w:rsidRPr="00725FF8" w:rsidRDefault="000E16CE" w:rsidP="00C130D2">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1775734"/>
      <w:docPartObj>
        <w:docPartGallery w:val="Page Numbers (Bottom of Page)"/>
        <w:docPartUnique/>
      </w:docPartObj>
    </w:sdtPr>
    <w:sdtEndPr>
      <w:rPr>
        <w:noProof/>
      </w:rPr>
    </w:sdtEndPr>
    <w:sdtContent>
      <w:p w14:paraId="7F71E6E8"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4FB43D34" w14:textId="77777777" w:rsidR="000E16CE" w:rsidRPr="00231623" w:rsidRDefault="000E16CE" w:rsidP="00231623">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1641143"/>
      <w:docPartObj>
        <w:docPartGallery w:val="Page Numbers (Bottom of Page)"/>
        <w:docPartUnique/>
      </w:docPartObj>
    </w:sdtPr>
    <w:sdtEndPr>
      <w:rPr>
        <w:noProof/>
      </w:rPr>
    </w:sdtEndPr>
    <w:sdtContent>
      <w:p w14:paraId="2BB84328" w14:textId="77777777" w:rsidR="000E16CE" w:rsidRPr="001B7E15" w:rsidRDefault="000E16CE" w:rsidP="00C130D2">
        <w:pPr>
          <w:pStyle w:val="Footer"/>
        </w:pPr>
        <w:r w:rsidRPr="001B7E15">
          <w:fldChar w:fldCharType="begin"/>
        </w:r>
        <w:r w:rsidRPr="001B7E15">
          <w:instrText xml:space="preserve"> PAGE   \* MERGEFORMAT </w:instrText>
        </w:r>
        <w:r w:rsidRPr="001B7E15">
          <w:fldChar w:fldCharType="separate"/>
        </w:r>
        <w:r>
          <w:rPr>
            <w:noProof/>
          </w:rPr>
          <w:t>14</w:t>
        </w:r>
        <w:r w:rsidRPr="001B7E15">
          <w:rPr>
            <w:noProof/>
          </w:rPr>
          <w:fldChar w:fldCharType="end"/>
        </w:r>
      </w:p>
    </w:sdtContent>
  </w:sdt>
  <w:p w14:paraId="56F52853" w14:textId="77777777" w:rsidR="000E16CE" w:rsidRPr="00725FF8" w:rsidRDefault="000E16CE" w:rsidP="00C130D2">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1109205"/>
      <w:docPartObj>
        <w:docPartGallery w:val="Page Numbers (Bottom of Page)"/>
        <w:docPartUnique/>
      </w:docPartObj>
    </w:sdtPr>
    <w:sdtEndPr>
      <w:rPr>
        <w:noProof/>
      </w:rPr>
    </w:sdtEndPr>
    <w:sdtContent>
      <w:p w14:paraId="4B2BB012"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660E7C27" w14:textId="77777777" w:rsidR="000E16CE" w:rsidRPr="00231623" w:rsidRDefault="000E16CE" w:rsidP="00231623">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5561542"/>
      <w:docPartObj>
        <w:docPartGallery w:val="Page Numbers (Bottom of Page)"/>
        <w:docPartUnique/>
      </w:docPartObj>
    </w:sdtPr>
    <w:sdtEndPr>
      <w:rPr>
        <w:noProof/>
      </w:rPr>
    </w:sdtEndPr>
    <w:sdtContent>
      <w:p w14:paraId="0F93945E" w14:textId="14C69D53" w:rsidR="000E16CE" w:rsidRPr="001B7E15" w:rsidRDefault="000E16CE" w:rsidP="00C130D2">
        <w:pPr>
          <w:pStyle w:val="Footer"/>
        </w:pPr>
        <w:r w:rsidRPr="001B7E15">
          <w:fldChar w:fldCharType="begin"/>
        </w:r>
        <w:r w:rsidRPr="001B7E15">
          <w:instrText xml:space="preserve"> PAGE   \* MERGEFORMAT </w:instrText>
        </w:r>
        <w:r w:rsidRPr="001B7E15">
          <w:fldChar w:fldCharType="separate"/>
        </w:r>
        <w:r w:rsidR="005C76CA">
          <w:rPr>
            <w:noProof/>
          </w:rPr>
          <w:t>34</w:t>
        </w:r>
        <w:r w:rsidRPr="001B7E15">
          <w:rPr>
            <w:noProof/>
          </w:rPr>
          <w:fldChar w:fldCharType="end"/>
        </w:r>
      </w:p>
    </w:sdtContent>
  </w:sdt>
  <w:p w14:paraId="2BAF80E3" w14:textId="77777777" w:rsidR="000E16CE" w:rsidRPr="00725FF8" w:rsidRDefault="000E16CE" w:rsidP="00C130D2">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008135"/>
      <w:docPartObj>
        <w:docPartGallery w:val="Page Numbers (Bottom of Page)"/>
        <w:docPartUnique/>
      </w:docPartObj>
    </w:sdtPr>
    <w:sdtEndPr>
      <w:rPr>
        <w:noProof/>
      </w:rPr>
    </w:sdtEndPr>
    <w:sdtContent>
      <w:p w14:paraId="54B0333B"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8</w:t>
        </w:r>
        <w:r w:rsidRPr="001B7E15">
          <w:rPr>
            <w:noProof/>
          </w:rPr>
          <w:fldChar w:fldCharType="end"/>
        </w:r>
      </w:p>
    </w:sdtContent>
  </w:sdt>
  <w:p w14:paraId="06AA459D" w14:textId="77777777" w:rsidR="000E16CE" w:rsidRPr="00231623" w:rsidRDefault="000E16CE" w:rsidP="00231623">
    <w:pPr>
      <w:pStyle w:val="Footer"/>
    </w:pPr>
  </w:p>
  <w:p w14:paraId="4D3D5015" w14:textId="77777777" w:rsidR="000E16CE" w:rsidRDefault="000E16CE"/>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3308284"/>
      <w:docPartObj>
        <w:docPartGallery w:val="Page Numbers (Bottom of Page)"/>
        <w:docPartUnique/>
      </w:docPartObj>
    </w:sdtPr>
    <w:sdtEndPr>
      <w:rPr>
        <w:noProof/>
      </w:rPr>
    </w:sdtEndPr>
    <w:sdtContent>
      <w:p w14:paraId="6838C90F" w14:textId="77777777" w:rsidR="000E16CE" w:rsidRPr="001B7E15" w:rsidRDefault="000E16CE" w:rsidP="00C130D2">
        <w:pPr>
          <w:pStyle w:val="Footer"/>
        </w:pPr>
        <w:r w:rsidRPr="001B7E15">
          <w:fldChar w:fldCharType="begin"/>
        </w:r>
        <w:r w:rsidRPr="001B7E15">
          <w:instrText xml:space="preserve"> PAGE   \* MERGEFORMAT </w:instrText>
        </w:r>
        <w:r w:rsidRPr="001B7E15">
          <w:fldChar w:fldCharType="separate"/>
        </w:r>
        <w:r>
          <w:rPr>
            <w:noProof/>
          </w:rPr>
          <w:t>8</w:t>
        </w:r>
        <w:r w:rsidRPr="001B7E15">
          <w:rPr>
            <w:noProof/>
          </w:rPr>
          <w:fldChar w:fldCharType="end"/>
        </w:r>
      </w:p>
    </w:sdtContent>
  </w:sdt>
  <w:p w14:paraId="65862987" w14:textId="77777777" w:rsidR="000E16CE" w:rsidRPr="00725FF8" w:rsidRDefault="000E16CE" w:rsidP="00C130D2">
    <w:pPr>
      <w:pStyle w:val="Footer"/>
    </w:pPr>
  </w:p>
  <w:p w14:paraId="66F3FB27" w14:textId="77777777" w:rsidR="000E16CE" w:rsidRDefault="000E16CE"/>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94228"/>
      <w:docPartObj>
        <w:docPartGallery w:val="Page Numbers (Bottom of Page)"/>
        <w:docPartUnique/>
      </w:docPartObj>
    </w:sdtPr>
    <w:sdtEndPr>
      <w:rPr>
        <w:noProof/>
      </w:rPr>
    </w:sdtEndPr>
    <w:sdtContent>
      <w:p w14:paraId="042E8AD1"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08902130" w14:textId="77777777" w:rsidR="000E16CE" w:rsidRPr="00231623" w:rsidRDefault="000E16CE" w:rsidP="00C130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705740"/>
      <w:docPartObj>
        <w:docPartGallery w:val="Page Numbers (Bottom of Page)"/>
        <w:docPartUnique/>
      </w:docPartObj>
    </w:sdtPr>
    <w:sdtEndPr>
      <w:rPr>
        <w:noProof/>
      </w:rPr>
    </w:sdtEndPr>
    <w:sdtContent>
      <w:p w14:paraId="43741D97" w14:textId="668C2F30" w:rsidR="000E16CE" w:rsidRDefault="000E16CE">
        <w:pPr>
          <w:pStyle w:val="Footer"/>
        </w:pPr>
        <w:r>
          <w:fldChar w:fldCharType="begin"/>
        </w:r>
        <w:r>
          <w:instrText xml:space="preserve"> PAGE   \* MERGEFORMAT </w:instrText>
        </w:r>
        <w:r>
          <w:fldChar w:fldCharType="separate"/>
        </w:r>
        <w:r w:rsidR="005C76CA">
          <w:rPr>
            <w:noProof/>
          </w:rPr>
          <w:t>2</w:t>
        </w:r>
        <w:r>
          <w:rPr>
            <w:noProof/>
          </w:rPr>
          <w:fldChar w:fldCharType="end"/>
        </w:r>
      </w:p>
    </w:sdtContent>
  </w:sdt>
  <w:p w14:paraId="58A00A5D" w14:textId="77777777" w:rsidR="000E16CE" w:rsidRDefault="000E16CE">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0871956"/>
      <w:docPartObj>
        <w:docPartGallery w:val="Page Numbers (Bottom of Page)"/>
        <w:docPartUnique/>
      </w:docPartObj>
    </w:sdtPr>
    <w:sdtEndPr>
      <w:rPr>
        <w:noProof/>
      </w:rPr>
    </w:sdtEndPr>
    <w:sdtContent>
      <w:p w14:paraId="241F32D2" w14:textId="427E37BB" w:rsidR="000E16CE" w:rsidRDefault="000E16CE" w:rsidP="00C130D2">
        <w:pPr>
          <w:pStyle w:val="Footer"/>
          <w:rPr>
            <w:noProof/>
          </w:rPr>
        </w:pPr>
        <w:r w:rsidRPr="001B7E15">
          <w:fldChar w:fldCharType="begin"/>
        </w:r>
        <w:r w:rsidRPr="001B7E15">
          <w:instrText xml:space="preserve"> PAGE   \* MERGEFORMAT </w:instrText>
        </w:r>
        <w:r w:rsidRPr="001B7E15">
          <w:fldChar w:fldCharType="separate"/>
        </w:r>
        <w:r w:rsidR="005C76CA">
          <w:rPr>
            <w:noProof/>
          </w:rPr>
          <w:t>35</w:t>
        </w:r>
        <w:r w:rsidRPr="001B7E15">
          <w:rPr>
            <w:noProof/>
          </w:rPr>
          <w:fldChar w:fldCharType="end"/>
        </w:r>
      </w:p>
    </w:sdtContent>
  </w:sdt>
  <w:p w14:paraId="5BED77C8" w14:textId="77777777" w:rsidR="000E16CE" w:rsidRPr="00956C60" w:rsidRDefault="000E16CE" w:rsidP="00956C60">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9194339"/>
      <w:docPartObj>
        <w:docPartGallery w:val="Page Numbers (Bottom of Page)"/>
        <w:docPartUnique/>
      </w:docPartObj>
    </w:sdtPr>
    <w:sdtEndPr>
      <w:rPr>
        <w:noProof/>
      </w:rPr>
    </w:sdtEndPr>
    <w:sdtContent>
      <w:p w14:paraId="688D6B31"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14563848" w14:textId="77777777" w:rsidR="000E16CE" w:rsidRPr="00231623" w:rsidRDefault="000E16CE" w:rsidP="00C130D2">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4222282"/>
      <w:docPartObj>
        <w:docPartGallery w:val="Page Numbers (Bottom of Page)"/>
        <w:docPartUnique/>
      </w:docPartObj>
    </w:sdtPr>
    <w:sdtEndPr>
      <w:rPr>
        <w:noProof/>
      </w:rPr>
    </w:sdtEndPr>
    <w:sdtContent>
      <w:p w14:paraId="558D81CD" w14:textId="6E5C2B8F" w:rsidR="000E16CE" w:rsidRDefault="000E16CE" w:rsidP="00C130D2">
        <w:pPr>
          <w:pStyle w:val="Footer"/>
          <w:rPr>
            <w:noProof/>
          </w:rPr>
        </w:pPr>
        <w:r w:rsidRPr="001B7E15">
          <w:fldChar w:fldCharType="begin"/>
        </w:r>
        <w:r w:rsidRPr="001B7E15">
          <w:instrText xml:space="preserve"> PAGE   \* MERGEFORMAT </w:instrText>
        </w:r>
        <w:r w:rsidRPr="001B7E15">
          <w:fldChar w:fldCharType="separate"/>
        </w:r>
        <w:r w:rsidR="005C76CA">
          <w:rPr>
            <w:noProof/>
          </w:rPr>
          <w:t>36</w:t>
        </w:r>
        <w:r w:rsidRPr="001B7E15">
          <w:rPr>
            <w:noProof/>
          </w:rPr>
          <w:fldChar w:fldCharType="end"/>
        </w:r>
      </w:p>
    </w:sdtContent>
  </w:sdt>
  <w:p w14:paraId="30B96A11" w14:textId="77777777" w:rsidR="000E16CE" w:rsidRPr="00956C60" w:rsidRDefault="000E16CE" w:rsidP="00956C60">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6342217"/>
      <w:docPartObj>
        <w:docPartGallery w:val="Page Numbers (Bottom of Page)"/>
        <w:docPartUnique/>
      </w:docPartObj>
    </w:sdtPr>
    <w:sdtEndPr>
      <w:rPr>
        <w:noProof/>
      </w:rPr>
    </w:sdtEndPr>
    <w:sdtContent>
      <w:p w14:paraId="4F401EA0"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69E3CB45" w14:textId="77777777" w:rsidR="000E16CE" w:rsidRPr="00231623" w:rsidRDefault="000E16CE" w:rsidP="00C130D2">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7683907"/>
      <w:docPartObj>
        <w:docPartGallery w:val="Page Numbers (Bottom of Page)"/>
        <w:docPartUnique/>
      </w:docPartObj>
    </w:sdtPr>
    <w:sdtEndPr>
      <w:rPr>
        <w:noProof/>
      </w:rPr>
    </w:sdtEndPr>
    <w:sdtContent>
      <w:p w14:paraId="2DBF778D" w14:textId="4E4C47BA" w:rsidR="000E16CE" w:rsidRDefault="000E16CE" w:rsidP="00C130D2">
        <w:pPr>
          <w:pStyle w:val="Footer"/>
          <w:rPr>
            <w:noProof/>
          </w:rPr>
        </w:pPr>
        <w:r w:rsidRPr="001B7E15">
          <w:fldChar w:fldCharType="begin"/>
        </w:r>
        <w:r w:rsidRPr="001B7E15">
          <w:instrText xml:space="preserve"> PAGE   \* MERGEFORMAT </w:instrText>
        </w:r>
        <w:r w:rsidRPr="001B7E15">
          <w:fldChar w:fldCharType="separate"/>
        </w:r>
        <w:r>
          <w:rPr>
            <w:noProof/>
          </w:rPr>
          <w:t>38</w:t>
        </w:r>
        <w:r w:rsidRPr="001B7E15">
          <w:rPr>
            <w:noProof/>
          </w:rPr>
          <w:fldChar w:fldCharType="end"/>
        </w:r>
      </w:p>
    </w:sdtContent>
  </w:sdt>
  <w:p w14:paraId="255A3444" w14:textId="77777777" w:rsidR="000E16CE" w:rsidRPr="00956C60" w:rsidRDefault="000E16CE" w:rsidP="00956C6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5015620"/>
      <w:docPartObj>
        <w:docPartGallery w:val="Page Numbers (Bottom of Page)"/>
        <w:docPartUnique/>
      </w:docPartObj>
    </w:sdtPr>
    <w:sdtEndPr>
      <w:rPr>
        <w:noProof/>
      </w:rPr>
    </w:sdtEndPr>
    <w:sdtContent>
      <w:p w14:paraId="7B136DD9"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336A1C9D" w14:textId="77777777" w:rsidR="000E16CE" w:rsidRPr="00231623" w:rsidRDefault="000E16CE" w:rsidP="00C130D2">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7412886"/>
      <w:docPartObj>
        <w:docPartGallery w:val="Page Numbers (Bottom of Page)"/>
        <w:docPartUnique/>
      </w:docPartObj>
    </w:sdtPr>
    <w:sdtEndPr>
      <w:rPr>
        <w:noProof/>
      </w:rPr>
    </w:sdtEndPr>
    <w:sdtContent>
      <w:p w14:paraId="748A9719" w14:textId="18E95743" w:rsidR="000E16CE" w:rsidRDefault="000E16CE" w:rsidP="00C130D2">
        <w:pPr>
          <w:pStyle w:val="Footer"/>
          <w:rPr>
            <w:noProof/>
          </w:rPr>
        </w:pPr>
        <w:r w:rsidRPr="001B7E15">
          <w:fldChar w:fldCharType="begin"/>
        </w:r>
        <w:r w:rsidRPr="001B7E15">
          <w:instrText xml:space="preserve"> PAGE   \* MERGEFORMAT </w:instrText>
        </w:r>
        <w:r w:rsidRPr="001B7E15">
          <w:fldChar w:fldCharType="separate"/>
        </w:r>
        <w:r w:rsidR="005C76CA">
          <w:rPr>
            <w:noProof/>
          </w:rPr>
          <w:t>41</w:t>
        </w:r>
        <w:r w:rsidRPr="001B7E15">
          <w:rPr>
            <w:noProof/>
          </w:rPr>
          <w:fldChar w:fldCharType="end"/>
        </w:r>
      </w:p>
    </w:sdtContent>
  </w:sdt>
  <w:p w14:paraId="03D39917" w14:textId="77777777" w:rsidR="000E16CE" w:rsidRPr="00956C60" w:rsidRDefault="000E16CE" w:rsidP="00956C60">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7582342"/>
      <w:docPartObj>
        <w:docPartGallery w:val="Page Numbers (Bottom of Page)"/>
        <w:docPartUnique/>
      </w:docPartObj>
    </w:sdtPr>
    <w:sdtEndPr>
      <w:rPr>
        <w:noProof/>
      </w:rPr>
    </w:sdtEndPr>
    <w:sdtContent>
      <w:p w14:paraId="346A0F74"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63DFA9CF" w14:textId="77777777" w:rsidR="000E16CE" w:rsidRPr="00231623" w:rsidRDefault="000E16CE" w:rsidP="00C130D2">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6519983"/>
      <w:docPartObj>
        <w:docPartGallery w:val="Page Numbers (Bottom of Page)"/>
        <w:docPartUnique/>
      </w:docPartObj>
    </w:sdtPr>
    <w:sdtEndPr>
      <w:rPr>
        <w:noProof/>
      </w:rPr>
    </w:sdtEndPr>
    <w:sdtContent>
      <w:p w14:paraId="1FEEB47F" w14:textId="61267C32" w:rsidR="000E16CE" w:rsidRDefault="000E16CE" w:rsidP="00C130D2">
        <w:pPr>
          <w:pStyle w:val="Footer"/>
          <w:rPr>
            <w:noProof/>
          </w:rPr>
        </w:pPr>
        <w:r w:rsidRPr="001B7E15">
          <w:fldChar w:fldCharType="begin"/>
        </w:r>
        <w:r w:rsidRPr="001B7E15">
          <w:instrText xml:space="preserve"> PAGE   \* MERGEFORMAT </w:instrText>
        </w:r>
        <w:r w:rsidRPr="001B7E15">
          <w:fldChar w:fldCharType="separate"/>
        </w:r>
        <w:r w:rsidR="005C76CA">
          <w:rPr>
            <w:noProof/>
          </w:rPr>
          <w:t>43</w:t>
        </w:r>
        <w:r w:rsidRPr="001B7E15">
          <w:rPr>
            <w:noProof/>
          </w:rPr>
          <w:fldChar w:fldCharType="end"/>
        </w:r>
      </w:p>
    </w:sdtContent>
  </w:sdt>
  <w:p w14:paraId="238F2083" w14:textId="77777777" w:rsidR="000E16CE" w:rsidRPr="00956C60" w:rsidRDefault="000E16CE" w:rsidP="00956C60">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9490390"/>
      <w:docPartObj>
        <w:docPartGallery w:val="Page Numbers (Bottom of Page)"/>
        <w:docPartUnique/>
      </w:docPartObj>
    </w:sdtPr>
    <w:sdtEndPr>
      <w:rPr>
        <w:noProof/>
      </w:rPr>
    </w:sdtEndPr>
    <w:sdtContent>
      <w:p w14:paraId="1B2CE285" w14:textId="5563A9E8" w:rsidR="000E16CE" w:rsidRDefault="000E16CE">
        <w:pPr>
          <w:pStyle w:val="Footer"/>
        </w:pPr>
        <w:r>
          <w:fldChar w:fldCharType="begin"/>
        </w:r>
        <w:r>
          <w:instrText xml:space="preserve"> PAGE   \* MERGEFORMAT </w:instrText>
        </w:r>
        <w:r>
          <w:fldChar w:fldCharType="separate"/>
        </w:r>
        <w:r w:rsidR="005C76CA">
          <w:rPr>
            <w:noProof/>
          </w:rPr>
          <w:t>45</w:t>
        </w:r>
        <w:r>
          <w:rPr>
            <w:noProof/>
          </w:rPr>
          <w:fldChar w:fldCharType="end"/>
        </w:r>
      </w:p>
    </w:sdtContent>
  </w:sdt>
  <w:p w14:paraId="23FAC276" w14:textId="77777777" w:rsidR="000E16CE" w:rsidRDefault="000E16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6688203"/>
      <w:docPartObj>
        <w:docPartGallery w:val="Page Numbers (Bottom of Page)"/>
        <w:docPartUnique/>
      </w:docPartObj>
    </w:sdtPr>
    <w:sdtEndPr>
      <w:rPr>
        <w:noProof/>
      </w:rPr>
    </w:sdtEndPr>
    <w:sdtContent>
      <w:p w14:paraId="6424D260" w14:textId="77777777" w:rsidR="000E16CE" w:rsidRDefault="000E16CE">
        <w:pPr>
          <w:pStyle w:val="Footer"/>
          <w:jc w:val="right"/>
        </w:pPr>
        <w:r>
          <w:fldChar w:fldCharType="begin"/>
        </w:r>
        <w:r>
          <w:instrText xml:space="preserve"> PAGE   \* MERGEFORMAT </w:instrText>
        </w:r>
        <w:r>
          <w:fldChar w:fldCharType="separate"/>
        </w:r>
        <w:r>
          <w:rPr>
            <w:noProof/>
          </w:rPr>
          <w:t>6</w:t>
        </w:r>
        <w:r>
          <w:rPr>
            <w:noProof/>
          </w:rPr>
          <w:fldChar w:fldCharType="end"/>
        </w:r>
      </w:p>
    </w:sdtContent>
  </w:sdt>
  <w:p w14:paraId="73A78729" w14:textId="77777777" w:rsidR="000E16CE" w:rsidRDefault="000E16CE">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3391148"/>
      <w:docPartObj>
        <w:docPartGallery w:val="Page Numbers (Bottom of Page)"/>
        <w:docPartUnique/>
      </w:docPartObj>
    </w:sdtPr>
    <w:sdtEndPr>
      <w:rPr>
        <w:noProof/>
      </w:rPr>
    </w:sdtEndPr>
    <w:sdtContent>
      <w:p w14:paraId="16612C46" w14:textId="77777777" w:rsidR="000E16CE" w:rsidRDefault="000E16CE">
        <w:pPr>
          <w:pStyle w:val="Footer"/>
        </w:pPr>
        <w:r>
          <w:fldChar w:fldCharType="begin"/>
        </w:r>
        <w:r>
          <w:instrText xml:space="preserve"> PAGE   \* MERGEFORMAT </w:instrText>
        </w:r>
        <w:r>
          <w:fldChar w:fldCharType="separate"/>
        </w:r>
        <w:r>
          <w:rPr>
            <w:noProof/>
          </w:rPr>
          <w:t>1</w:t>
        </w:r>
        <w:r>
          <w:rPr>
            <w:noProof/>
          </w:rPr>
          <w:fldChar w:fldCharType="end"/>
        </w:r>
      </w:p>
    </w:sdtContent>
  </w:sdt>
  <w:p w14:paraId="28EC269D" w14:textId="77777777" w:rsidR="000E16CE" w:rsidRDefault="000E16CE">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0375241"/>
      <w:docPartObj>
        <w:docPartGallery w:val="Page Numbers (Bottom of Page)"/>
        <w:docPartUnique/>
      </w:docPartObj>
    </w:sdtPr>
    <w:sdtEndPr>
      <w:rPr>
        <w:noProof/>
      </w:rPr>
    </w:sdtEndPr>
    <w:sdtContent>
      <w:p w14:paraId="4F8D5690"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12</w:t>
        </w:r>
        <w:r w:rsidRPr="001B7E15">
          <w:rPr>
            <w:noProof/>
          </w:rPr>
          <w:fldChar w:fldCharType="end"/>
        </w:r>
      </w:p>
    </w:sdtContent>
  </w:sdt>
  <w:p w14:paraId="7C3EB956" w14:textId="77777777" w:rsidR="000E16CE" w:rsidRPr="00231623" w:rsidRDefault="000E16CE" w:rsidP="00C130D2">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4761709"/>
      <w:docPartObj>
        <w:docPartGallery w:val="Page Numbers (Bottom of Page)"/>
        <w:docPartUnique/>
      </w:docPartObj>
    </w:sdtPr>
    <w:sdtEndPr>
      <w:rPr>
        <w:noProof/>
      </w:rPr>
    </w:sdtEndPr>
    <w:sdtContent>
      <w:p w14:paraId="2CA44F67" w14:textId="6E98F94A" w:rsidR="000E16CE" w:rsidRDefault="000E16CE" w:rsidP="00C130D2">
        <w:pPr>
          <w:pStyle w:val="Footer"/>
          <w:rPr>
            <w:noProof/>
          </w:rPr>
        </w:pPr>
        <w:r w:rsidRPr="001B7E15">
          <w:fldChar w:fldCharType="begin"/>
        </w:r>
        <w:r w:rsidRPr="001B7E15">
          <w:instrText xml:space="preserve"> PAGE   \* MERGEFORMAT </w:instrText>
        </w:r>
        <w:r w:rsidRPr="001B7E15">
          <w:fldChar w:fldCharType="separate"/>
        </w:r>
        <w:r w:rsidR="005C76CA">
          <w:rPr>
            <w:noProof/>
          </w:rPr>
          <w:t>47</w:t>
        </w:r>
        <w:r w:rsidRPr="001B7E15">
          <w:rPr>
            <w:noProof/>
          </w:rPr>
          <w:fldChar w:fldCharType="end"/>
        </w:r>
      </w:p>
    </w:sdtContent>
  </w:sdt>
  <w:p w14:paraId="3686F3CA" w14:textId="77777777" w:rsidR="000E16CE" w:rsidRPr="00956C60" w:rsidRDefault="000E16CE" w:rsidP="00956C60">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0594641"/>
      <w:docPartObj>
        <w:docPartGallery w:val="Page Numbers (Bottom of Page)"/>
        <w:docPartUnique/>
      </w:docPartObj>
    </w:sdtPr>
    <w:sdtEndPr>
      <w:rPr>
        <w:noProof/>
      </w:rPr>
    </w:sdtEndPr>
    <w:sdtContent>
      <w:p w14:paraId="5334F5CA" w14:textId="77777777" w:rsidR="000E16CE" w:rsidRPr="001B7E15" w:rsidRDefault="000E16CE" w:rsidP="00A42963">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31C63713" w14:textId="77777777" w:rsidR="000E16CE" w:rsidRPr="00231623" w:rsidRDefault="000E16CE" w:rsidP="00A42963">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1081999"/>
      <w:docPartObj>
        <w:docPartGallery w:val="Page Numbers (Bottom of Page)"/>
        <w:docPartUnique/>
      </w:docPartObj>
    </w:sdtPr>
    <w:sdtEndPr>
      <w:rPr>
        <w:noProof/>
      </w:rPr>
    </w:sdtEndPr>
    <w:sdtContent>
      <w:p w14:paraId="39991748" w14:textId="7B1F1A11" w:rsidR="000E16CE" w:rsidRDefault="000E16CE" w:rsidP="00A42963">
        <w:pPr>
          <w:pStyle w:val="Footer"/>
          <w:rPr>
            <w:noProof/>
          </w:rPr>
        </w:pPr>
        <w:r w:rsidRPr="001B7E15">
          <w:fldChar w:fldCharType="begin"/>
        </w:r>
        <w:r w:rsidRPr="001B7E15">
          <w:instrText xml:space="preserve"> PAGE   \* MERGEFORMAT </w:instrText>
        </w:r>
        <w:r w:rsidRPr="001B7E15">
          <w:fldChar w:fldCharType="separate"/>
        </w:r>
        <w:r w:rsidR="005C76CA">
          <w:rPr>
            <w:noProof/>
          </w:rPr>
          <w:t>71</w:t>
        </w:r>
        <w:r w:rsidRPr="001B7E15">
          <w:rPr>
            <w:noProof/>
          </w:rPr>
          <w:fldChar w:fldCharType="end"/>
        </w:r>
      </w:p>
    </w:sdtContent>
  </w:sdt>
  <w:p w14:paraId="411EF28F" w14:textId="77777777" w:rsidR="000E16CE" w:rsidRPr="00956C60" w:rsidRDefault="000E16CE" w:rsidP="00A42963">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1215323"/>
      <w:docPartObj>
        <w:docPartGallery w:val="Page Numbers (Bottom of Page)"/>
        <w:docPartUnique/>
      </w:docPartObj>
    </w:sdtPr>
    <w:sdtEndPr>
      <w:rPr>
        <w:noProof/>
      </w:rPr>
    </w:sdtEndPr>
    <w:sdtContent>
      <w:sdt>
        <w:sdtPr>
          <w:id w:val="-97484312"/>
          <w:docPartObj>
            <w:docPartGallery w:val="Page Numbers (Bottom of Page)"/>
            <w:docPartUnique/>
          </w:docPartObj>
        </w:sdtPr>
        <w:sdtEndPr>
          <w:rPr>
            <w:noProof/>
          </w:rPr>
        </w:sdtEndPr>
        <w:sdtContent>
          <w:p w14:paraId="713F881A" w14:textId="77777777" w:rsidR="000E16CE" w:rsidRPr="00F061F2"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88</w:t>
            </w:r>
            <w:r w:rsidRPr="001B7E15">
              <w:rPr>
                <w:noProof/>
              </w:rPr>
              <w:fldChar w:fldCharType="end"/>
            </w:r>
          </w:p>
        </w:sdtContent>
      </w:sdt>
    </w:sdtContent>
  </w:sdt>
  <w:p w14:paraId="2D553A3E" w14:textId="77777777" w:rsidR="000E16CE" w:rsidRDefault="000E16CE" w:rsidP="00542CA2">
    <w:pPr>
      <w:spacing w:after="0"/>
    </w:pPr>
  </w:p>
  <w:p w14:paraId="39A82C79" w14:textId="77777777" w:rsidR="000E16CE" w:rsidRDefault="000E16CE"/>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96540"/>
      <w:docPartObj>
        <w:docPartGallery w:val="Page Numbers (Bottom of Page)"/>
        <w:docPartUnique/>
      </w:docPartObj>
    </w:sdtPr>
    <w:sdtEndPr>
      <w:rPr>
        <w:noProof/>
      </w:rPr>
    </w:sdtEndPr>
    <w:sdtContent>
      <w:sdt>
        <w:sdtPr>
          <w:id w:val="-1727137330"/>
          <w:docPartObj>
            <w:docPartGallery w:val="Page Numbers (Bottom of Page)"/>
            <w:docPartUnique/>
          </w:docPartObj>
        </w:sdtPr>
        <w:sdtEndPr>
          <w:rPr>
            <w:noProof/>
          </w:rPr>
        </w:sdtEndPr>
        <w:sdtContent>
          <w:p w14:paraId="4F1E4B53" w14:textId="3CCAA923" w:rsidR="000E16CE" w:rsidRPr="00F061F2" w:rsidRDefault="000E16CE" w:rsidP="00C130D2">
            <w:pPr>
              <w:pStyle w:val="Footer"/>
              <w:rPr>
                <w:noProof/>
              </w:rPr>
            </w:pPr>
            <w:r w:rsidRPr="001B7E15">
              <w:fldChar w:fldCharType="begin"/>
            </w:r>
            <w:r w:rsidRPr="001B7E15">
              <w:instrText xml:space="preserve"> PAGE   \* MERGEFORMAT </w:instrText>
            </w:r>
            <w:r w:rsidRPr="001B7E15">
              <w:fldChar w:fldCharType="separate"/>
            </w:r>
            <w:r>
              <w:rPr>
                <w:noProof/>
              </w:rPr>
              <w:t>72</w:t>
            </w:r>
            <w:r w:rsidRPr="001B7E15">
              <w:rPr>
                <w:noProof/>
              </w:rPr>
              <w:fldChar w:fldCharType="end"/>
            </w:r>
          </w:p>
        </w:sdtContent>
      </w:sdt>
    </w:sdtContent>
  </w:sdt>
  <w:p w14:paraId="583C98A6" w14:textId="77777777" w:rsidR="000E16CE" w:rsidRDefault="000E16CE"/>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7753289"/>
      <w:docPartObj>
        <w:docPartGallery w:val="Page Numbers (Bottom of Page)"/>
        <w:docPartUnique/>
      </w:docPartObj>
    </w:sdtPr>
    <w:sdtEndPr>
      <w:rPr>
        <w:noProof/>
      </w:rPr>
    </w:sdtEndPr>
    <w:sdtContent>
      <w:sdt>
        <w:sdtPr>
          <w:id w:val="-1234151694"/>
          <w:docPartObj>
            <w:docPartGallery w:val="Page Numbers (Bottom of Page)"/>
            <w:docPartUnique/>
          </w:docPartObj>
        </w:sdtPr>
        <w:sdtEndPr>
          <w:rPr>
            <w:noProof/>
          </w:rPr>
        </w:sdtEndPr>
        <w:sdtContent>
          <w:p w14:paraId="61AD157E" w14:textId="77777777" w:rsidR="000E16CE" w:rsidRPr="00F061F2"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88</w:t>
            </w:r>
            <w:r w:rsidRPr="001B7E15">
              <w:rPr>
                <w:noProof/>
              </w:rPr>
              <w:fldChar w:fldCharType="end"/>
            </w:r>
          </w:p>
        </w:sdtContent>
      </w:sdt>
    </w:sdtContent>
  </w:sdt>
  <w:p w14:paraId="481E5A5D" w14:textId="77777777" w:rsidR="000E16CE" w:rsidRDefault="000E16CE" w:rsidP="00542CA2">
    <w:pPr>
      <w:spacing w:after="0"/>
    </w:pPr>
  </w:p>
  <w:p w14:paraId="4F7D8896" w14:textId="77777777" w:rsidR="000E16CE" w:rsidRDefault="000E16CE"/>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3656640"/>
      <w:docPartObj>
        <w:docPartGallery w:val="Page Numbers (Bottom of Page)"/>
        <w:docPartUnique/>
      </w:docPartObj>
    </w:sdtPr>
    <w:sdtEndPr>
      <w:rPr>
        <w:noProof/>
      </w:rPr>
    </w:sdtEndPr>
    <w:sdtContent>
      <w:sdt>
        <w:sdtPr>
          <w:id w:val="-430739521"/>
          <w:docPartObj>
            <w:docPartGallery w:val="Page Numbers (Bottom of Page)"/>
            <w:docPartUnique/>
          </w:docPartObj>
        </w:sdtPr>
        <w:sdtEndPr>
          <w:rPr>
            <w:noProof/>
          </w:rPr>
        </w:sdtEndPr>
        <w:sdtContent>
          <w:p w14:paraId="45954C95" w14:textId="62BCDDD0" w:rsidR="000E16CE" w:rsidRPr="00F061F2" w:rsidRDefault="000E16CE" w:rsidP="0062301D">
            <w:pPr>
              <w:pStyle w:val="Footer"/>
              <w:rPr>
                <w:noProof/>
              </w:rPr>
            </w:pPr>
            <w:r w:rsidRPr="001B7E15">
              <w:fldChar w:fldCharType="begin"/>
            </w:r>
            <w:r w:rsidRPr="001B7E15">
              <w:instrText xml:space="preserve"> PAGE   \* MERGEFORMAT </w:instrText>
            </w:r>
            <w:r w:rsidRPr="001B7E15">
              <w:fldChar w:fldCharType="separate"/>
            </w:r>
            <w:r w:rsidR="005C76CA">
              <w:rPr>
                <w:noProof/>
              </w:rPr>
              <w:t>88</w:t>
            </w:r>
            <w:r w:rsidRPr="001B7E15">
              <w:rPr>
                <w:noProof/>
              </w:rPr>
              <w:fldChar w:fldCharType="end"/>
            </w:r>
          </w:p>
        </w:sdtContent>
      </w:sdt>
    </w:sdtContent>
  </w:sdt>
  <w:p w14:paraId="0BA7D8CF" w14:textId="77777777" w:rsidR="000E16CE" w:rsidRDefault="000E16CE" w:rsidP="0062301D">
    <w:pPr>
      <w:spacing w:after="0"/>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6682961"/>
      <w:docPartObj>
        <w:docPartGallery w:val="Page Numbers (Bottom of Page)"/>
        <w:docPartUnique/>
      </w:docPartObj>
    </w:sdtPr>
    <w:sdtEndPr>
      <w:rPr>
        <w:noProof/>
      </w:rPr>
    </w:sdtEndPr>
    <w:sdtContent>
      <w:p w14:paraId="5E9965E0" w14:textId="77777777" w:rsidR="000E16CE" w:rsidRPr="001B7E15" w:rsidRDefault="000E16CE"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3DE62EDF" w14:textId="77777777" w:rsidR="000E16CE" w:rsidRPr="00231623" w:rsidRDefault="000E16CE" w:rsidP="00C130D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3908428"/>
      <w:docPartObj>
        <w:docPartGallery w:val="Page Numbers (Bottom of Page)"/>
        <w:docPartUnique/>
      </w:docPartObj>
    </w:sdtPr>
    <w:sdtEndPr>
      <w:rPr>
        <w:noProof/>
      </w:rPr>
    </w:sdtEndPr>
    <w:sdtContent>
      <w:p w14:paraId="7E01E8E6" w14:textId="5A63D796" w:rsidR="000E16CE" w:rsidRDefault="000E16CE" w:rsidP="00521A99">
        <w:pPr>
          <w:pStyle w:val="Footer"/>
          <w:jc w:val="left"/>
        </w:pPr>
        <w:r>
          <w:fldChar w:fldCharType="begin"/>
        </w:r>
        <w:r>
          <w:instrText xml:space="preserve"> PAGE   \* MERGEFORMAT </w:instrText>
        </w:r>
        <w:r>
          <w:fldChar w:fldCharType="separate"/>
        </w:r>
        <w:r w:rsidR="005C76CA">
          <w:rPr>
            <w:noProof/>
          </w:rPr>
          <w:t>7</w:t>
        </w:r>
        <w:r>
          <w:rPr>
            <w:noProof/>
          </w:rPr>
          <w:fldChar w:fldCharType="end"/>
        </w:r>
      </w:p>
    </w:sdtContent>
  </w:sdt>
  <w:p w14:paraId="2A50B678" w14:textId="77777777" w:rsidR="000E16CE" w:rsidRDefault="000E16CE">
    <w:pPr>
      <w:pStyle w:val="Foote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1336439"/>
      <w:docPartObj>
        <w:docPartGallery w:val="Page Numbers (Bottom of Page)"/>
        <w:docPartUnique/>
      </w:docPartObj>
    </w:sdtPr>
    <w:sdtEndPr>
      <w:rPr>
        <w:noProof/>
      </w:rPr>
    </w:sdtEndPr>
    <w:sdtContent>
      <w:p w14:paraId="34DB4DD5" w14:textId="30E5EB39" w:rsidR="000E16CE" w:rsidRDefault="000E16CE" w:rsidP="00C130D2">
        <w:pPr>
          <w:pStyle w:val="Footer"/>
          <w:rPr>
            <w:noProof/>
          </w:rPr>
        </w:pPr>
        <w:r w:rsidRPr="001B7E15">
          <w:fldChar w:fldCharType="begin"/>
        </w:r>
        <w:r w:rsidRPr="001B7E15">
          <w:instrText xml:space="preserve"> PAGE   \* MERGEFORMAT </w:instrText>
        </w:r>
        <w:r w:rsidRPr="001B7E15">
          <w:fldChar w:fldCharType="separate"/>
        </w:r>
        <w:r w:rsidR="005C76CA">
          <w:rPr>
            <w:noProof/>
          </w:rPr>
          <w:t>89</w:t>
        </w:r>
        <w:r w:rsidRPr="001B7E15">
          <w:rPr>
            <w:noProof/>
          </w:rPr>
          <w:fldChar w:fldCharType="end"/>
        </w:r>
      </w:p>
    </w:sdtContent>
  </w:sdt>
  <w:p w14:paraId="5C45C329" w14:textId="77777777" w:rsidR="000E16CE" w:rsidRPr="00956C60" w:rsidRDefault="000E16CE" w:rsidP="00956C60">
    <w:pPr>
      <w:pStyle w:val="Foote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90821"/>
      <w:docPartObj>
        <w:docPartGallery w:val="Page Numbers (Bottom of Page)"/>
        <w:docPartUnique/>
      </w:docPartObj>
    </w:sdtPr>
    <w:sdtEndPr>
      <w:rPr>
        <w:noProof/>
      </w:rPr>
    </w:sdtEndPr>
    <w:sdtContent>
      <w:p w14:paraId="1C51D891" w14:textId="33A57F9D" w:rsidR="000E16CE" w:rsidRDefault="000E16CE">
        <w:pPr>
          <w:pStyle w:val="Footer"/>
        </w:pPr>
        <w:r>
          <w:fldChar w:fldCharType="begin"/>
        </w:r>
        <w:r>
          <w:instrText xml:space="preserve"> PAGE   \* MERGEFORMAT </w:instrText>
        </w:r>
        <w:r>
          <w:fldChar w:fldCharType="separate"/>
        </w:r>
        <w:r w:rsidR="005C76CA">
          <w:rPr>
            <w:noProof/>
          </w:rPr>
          <w:t>90</w:t>
        </w:r>
        <w:r>
          <w:rPr>
            <w:noProof/>
          </w:rPr>
          <w:fldChar w:fldCharType="end"/>
        </w:r>
      </w:p>
    </w:sdtContent>
  </w:sdt>
  <w:p w14:paraId="0AEDF61D" w14:textId="77777777" w:rsidR="000E16CE" w:rsidRPr="00287EFB" w:rsidRDefault="000E16CE" w:rsidP="00C130D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2454558"/>
      <w:docPartObj>
        <w:docPartGallery w:val="Page Numbers (Bottom of Page)"/>
        <w:docPartUnique/>
      </w:docPartObj>
    </w:sdtPr>
    <w:sdtEndPr>
      <w:rPr>
        <w:noProof/>
      </w:rPr>
    </w:sdtEndPr>
    <w:sdtContent>
      <w:p w14:paraId="1E72EBA0" w14:textId="77777777" w:rsidR="000E16CE" w:rsidRDefault="000E16CE">
        <w:pPr>
          <w:pStyle w:val="Footer"/>
        </w:pPr>
        <w:r>
          <w:fldChar w:fldCharType="begin"/>
        </w:r>
        <w:r>
          <w:instrText xml:space="preserve"> PAGE   \* MERGEFORMAT </w:instrText>
        </w:r>
        <w:r>
          <w:fldChar w:fldCharType="separate"/>
        </w:r>
        <w:r>
          <w:rPr>
            <w:noProof/>
          </w:rPr>
          <w:t>8</w:t>
        </w:r>
        <w:r>
          <w:rPr>
            <w:noProof/>
          </w:rPr>
          <w:fldChar w:fldCharType="end"/>
        </w:r>
      </w:p>
    </w:sdtContent>
  </w:sdt>
  <w:p w14:paraId="39C61B4A" w14:textId="77777777" w:rsidR="000E16CE" w:rsidRPr="00287EFB" w:rsidRDefault="000E16CE" w:rsidP="00C130D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8068856"/>
      <w:docPartObj>
        <w:docPartGallery w:val="Page Numbers (Bottom of Page)"/>
        <w:docPartUnique/>
      </w:docPartObj>
    </w:sdtPr>
    <w:sdtEndPr>
      <w:rPr>
        <w:noProof/>
      </w:rPr>
    </w:sdtEndPr>
    <w:sdtContent>
      <w:p w14:paraId="205BC9A9" w14:textId="77777777" w:rsidR="000E16CE" w:rsidRDefault="000E16CE">
        <w:pPr>
          <w:pStyle w:val="Footer"/>
          <w:jc w:val="right"/>
        </w:pPr>
        <w:r>
          <w:fldChar w:fldCharType="begin"/>
        </w:r>
        <w:r>
          <w:instrText xml:space="preserve"> PAGE   \* MERGEFORMAT </w:instrText>
        </w:r>
        <w:r>
          <w:fldChar w:fldCharType="separate"/>
        </w:r>
        <w:r>
          <w:rPr>
            <w:noProof/>
          </w:rPr>
          <w:t>14</w:t>
        </w:r>
        <w:r>
          <w:rPr>
            <w:noProof/>
          </w:rPr>
          <w:fldChar w:fldCharType="end"/>
        </w:r>
      </w:p>
    </w:sdtContent>
  </w:sdt>
  <w:p w14:paraId="7C5425DE" w14:textId="77777777" w:rsidR="000E16CE" w:rsidRDefault="000E16C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1341562"/>
      <w:docPartObj>
        <w:docPartGallery w:val="Page Numbers (Bottom of Page)"/>
        <w:docPartUnique/>
      </w:docPartObj>
    </w:sdtPr>
    <w:sdtEndPr>
      <w:rPr>
        <w:noProof/>
      </w:rPr>
    </w:sdtEndPr>
    <w:sdtContent>
      <w:p w14:paraId="30680A1A" w14:textId="4B79217A" w:rsidR="000E16CE" w:rsidRDefault="000E16CE" w:rsidP="00521A99">
        <w:pPr>
          <w:pStyle w:val="Footer"/>
          <w:jc w:val="left"/>
        </w:pPr>
        <w:r>
          <w:fldChar w:fldCharType="begin"/>
        </w:r>
        <w:r>
          <w:instrText xml:space="preserve"> PAGE   \* MERGEFORMAT </w:instrText>
        </w:r>
        <w:r>
          <w:fldChar w:fldCharType="separate"/>
        </w:r>
        <w:r w:rsidR="005C76CA">
          <w:rPr>
            <w:noProof/>
          </w:rPr>
          <w:t>15</w:t>
        </w:r>
        <w:r>
          <w:rPr>
            <w:noProof/>
          </w:rPr>
          <w:fldChar w:fldCharType="end"/>
        </w:r>
      </w:p>
    </w:sdtContent>
  </w:sdt>
  <w:p w14:paraId="22584530" w14:textId="77777777" w:rsidR="000E16CE" w:rsidRDefault="000E16C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4371492"/>
      <w:docPartObj>
        <w:docPartGallery w:val="Page Numbers (Bottom of Page)"/>
        <w:docPartUnique/>
      </w:docPartObj>
    </w:sdtPr>
    <w:sdtEndPr>
      <w:rPr>
        <w:noProof/>
      </w:rPr>
    </w:sdtEndPr>
    <w:sdtContent>
      <w:p w14:paraId="52BF613B" w14:textId="77777777" w:rsidR="000E16CE" w:rsidRDefault="000E16CE" w:rsidP="00D20C27">
        <w:pPr>
          <w:pStyle w:val="Footer"/>
          <w:jc w:val="right"/>
        </w:pPr>
        <w:r>
          <w:fldChar w:fldCharType="begin"/>
        </w:r>
        <w:r>
          <w:instrText xml:space="preserve"> PAGE   \* MERGEFORMAT </w:instrText>
        </w:r>
        <w:r>
          <w:fldChar w:fldCharType="separate"/>
        </w:r>
        <w:r>
          <w:rPr>
            <w:noProof/>
          </w:rPr>
          <w:t>16</w:t>
        </w:r>
        <w:r>
          <w:rPr>
            <w:noProof/>
          </w:rPr>
          <w:fldChar w:fldCharType="end"/>
        </w:r>
      </w:p>
    </w:sdtContent>
  </w:sdt>
  <w:p w14:paraId="1301ED27" w14:textId="77777777" w:rsidR="000E16CE" w:rsidRDefault="000E16C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2726492"/>
      <w:docPartObj>
        <w:docPartGallery w:val="Page Numbers (Bottom of Page)"/>
        <w:docPartUnique/>
      </w:docPartObj>
    </w:sdtPr>
    <w:sdtEndPr>
      <w:rPr>
        <w:noProof/>
      </w:rPr>
    </w:sdtEndPr>
    <w:sdtContent>
      <w:p w14:paraId="5D5C1B79" w14:textId="644D8966" w:rsidR="000E16CE" w:rsidRDefault="000E16CE">
        <w:pPr>
          <w:pStyle w:val="Footer"/>
        </w:pPr>
        <w:r>
          <w:fldChar w:fldCharType="begin"/>
        </w:r>
        <w:r>
          <w:instrText xml:space="preserve"> PAGE   \* MERGEFORMAT </w:instrText>
        </w:r>
        <w:r>
          <w:fldChar w:fldCharType="separate"/>
        </w:r>
        <w:r w:rsidR="005C76CA">
          <w:rPr>
            <w:noProof/>
          </w:rPr>
          <w:t>16</w:t>
        </w:r>
        <w:r>
          <w:rPr>
            <w:noProof/>
          </w:rPr>
          <w:fldChar w:fldCharType="end"/>
        </w:r>
      </w:p>
    </w:sdtContent>
  </w:sdt>
  <w:p w14:paraId="3196DFED" w14:textId="77777777" w:rsidR="000E16CE" w:rsidRDefault="000E16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5F29E" w14:textId="77777777" w:rsidR="007B4E1C" w:rsidRDefault="007B4E1C" w:rsidP="00BF7F6A">
      <w:pPr>
        <w:spacing w:after="0" w:line="240" w:lineRule="auto"/>
      </w:pPr>
      <w:r>
        <w:separator/>
      </w:r>
    </w:p>
  </w:footnote>
  <w:footnote w:type="continuationSeparator" w:id="0">
    <w:p w14:paraId="50A2BD66" w14:textId="77777777" w:rsidR="007B4E1C" w:rsidRDefault="007B4E1C" w:rsidP="00BF7F6A">
      <w:pPr>
        <w:spacing w:after="0" w:line="240" w:lineRule="auto"/>
      </w:pPr>
      <w:r>
        <w:continuationSeparator/>
      </w:r>
    </w:p>
  </w:footnote>
  <w:footnote w:id="1">
    <w:p w14:paraId="5A5654AF" w14:textId="77777777" w:rsidR="000E16CE" w:rsidRPr="001A5AF4" w:rsidRDefault="000E16CE">
      <w:pPr>
        <w:pStyle w:val="FootnoteText"/>
        <w:rPr>
          <w:sz w:val="16"/>
          <w:szCs w:val="16"/>
          <w:lang w:val="sr-Cyrl-RS"/>
        </w:rPr>
      </w:pPr>
      <w:r w:rsidRPr="001A5AF4">
        <w:rPr>
          <w:rStyle w:val="FootnoteReference"/>
          <w:sz w:val="16"/>
          <w:szCs w:val="16"/>
          <w:lang w:val="sr-Cyrl-RS"/>
        </w:rPr>
        <w:footnoteRef/>
      </w:r>
      <w:r w:rsidRPr="001A5AF4">
        <w:rPr>
          <w:sz w:val="16"/>
          <w:szCs w:val="16"/>
          <w:lang w:val="sr-Cyrl-RS"/>
        </w:rPr>
        <w:t xml:space="preserve"> Подаци се односе збирно за Народну Републику Кину, Хонг Конг и Кинеску Провинцију Тајван.</w:t>
      </w:r>
    </w:p>
  </w:footnote>
  <w:footnote w:id="2">
    <w:p w14:paraId="203ECD8E" w14:textId="6CBDEFE0" w:rsidR="000E16CE" w:rsidRPr="001A5AF4" w:rsidRDefault="000E16CE">
      <w:pPr>
        <w:pStyle w:val="FootnoteText"/>
        <w:rPr>
          <w:sz w:val="16"/>
          <w:szCs w:val="16"/>
          <w:lang w:val="sr-Cyrl-RS"/>
        </w:rPr>
      </w:pPr>
      <w:r w:rsidRPr="001A5AF4">
        <w:rPr>
          <w:rStyle w:val="FootnoteReference"/>
          <w:sz w:val="16"/>
          <w:szCs w:val="16"/>
        </w:rPr>
        <w:footnoteRef/>
      </w:r>
      <w:r w:rsidRPr="001A5AF4">
        <w:rPr>
          <w:sz w:val="16"/>
          <w:szCs w:val="16"/>
        </w:rPr>
        <w:t xml:space="preserve"> </w:t>
      </w:r>
      <w:r w:rsidRPr="001A5AF4">
        <w:rPr>
          <w:rFonts w:eastAsia="Calibri" w:cstheme="minorHAnsi"/>
          <w:sz w:val="16"/>
          <w:szCs w:val="16"/>
          <w:lang w:val="sr-Cyrl-CS" w:eastAsia="ja-JP"/>
        </w:rPr>
        <w:t>Начин индексирања пензија детаљније је објашњен у делу Структурне мере за унапређење стабилности и одрживости јавних финансија.</w:t>
      </w:r>
    </w:p>
  </w:footnote>
  <w:footnote w:id="3">
    <w:p w14:paraId="24608CCA" w14:textId="77777777" w:rsidR="000E16CE" w:rsidRPr="002F6B52" w:rsidRDefault="000E16CE" w:rsidP="00C130D2">
      <w:pPr>
        <w:pStyle w:val="FootnoteText"/>
        <w:rPr>
          <w:rFonts w:cstheme="minorHAnsi"/>
          <w:sz w:val="16"/>
          <w:szCs w:val="16"/>
          <w:lang w:val="sr-Cyrl-RS"/>
        </w:rPr>
      </w:pPr>
      <w:r w:rsidRPr="002F6B52">
        <w:rPr>
          <w:rStyle w:val="FootnoteReference"/>
          <w:rFonts w:cstheme="minorHAnsi"/>
          <w:sz w:val="16"/>
          <w:szCs w:val="16"/>
          <w:lang w:val="sr-Cyrl-RS"/>
        </w:rPr>
        <w:footnoteRef/>
      </w:r>
      <w:r>
        <w:rPr>
          <w:rFonts w:cstheme="minorHAnsi"/>
          <w:sz w:val="16"/>
          <w:szCs w:val="16"/>
          <w:lang w:val="sr-Cyrl-RS"/>
        </w:rPr>
        <w:t xml:space="preserve"> Фискална стратегија за 2023. годину са пројекцијама за 2024. и 2025</w:t>
      </w:r>
      <w:r w:rsidRPr="002F6B52">
        <w:rPr>
          <w:rFonts w:cstheme="minorHAnsi"/>
          <w:sz w:val="16"/>
          <w:szCs w:val="16"/>
          <w:lang w:val="sr-Cyrl-RS"/>
        </w:rPr>
        <w:t>. годину.</w:t>
      </w:r>
    </w:p>
  </w:footnote>
  <w:footnote w:id="4">
    <w:p w14:paraId="3897665B" w14:textId="77777777" w:rsidR="000E16CE" w:rsidRPr="002F6B52" w:rsidRDefault="000E16CE" w:rsidP="00132FA9">
      <w:pPr>
        <w:pStyle w:val="FootnoteText"/>
        <w:rPr>
          <w:rFonts w:cstheme="minorHAnsi"/>
          <w:spacing w:val="-2"/>
          <w:sz w:val="16"/>
          <w:szCs w:val="16"/>
          <w:lang w:val="sr-Cyrl-RS"/>
        </w:rPr>
      </w:pPr>
      <w:r w:rsidRPr="00CB04CB">
        <w:rPr>
          <w:rStyle w:val="FootnoteReference"/>
          <w:rFonts w:cstheme="minorHAnsi"/>
          <w:spacing w:val="-2"/>
          <w:sz w:val="16"/>
          <w:szCs w:val="16"/>
          <w:lang w:val="sr-Cyrl-RS"/>
        </w:rPr>
        <w:footnoteRef/>
      </w:r>
      <w:r w:rsidRPr="00CB04CB">
        <w:rPr>
          <w:rFonts w:cstheme="minorHAnsi"/>
          <w:spacing w:val="-2"/>
          <w:sz w:val="16"/>
          <w:szCs w:val="16"/>
          <w:lang w:val="sr-Cyrl-RS"/>
        </w:rPr>
        <w:t xml:space="preserve"> Детаљнији приказ структурних реформи по приоритетним областима је саставни део Програма економских реформи у периоду 202</w:t>
      </w:r>
      <w:r w:rsidRPr="00CB04CB">
        <w:rPr>
          <w:rFonts w:cstheme="minorHAnsi"/>
          <w:spacing w:val="-2"/>
          <w:sz w:val="16"/>
          <w:szCs w:val="16"/>
        </w:rPr>
        <w:t>2</w:t>
      </w:r>
      <w:r w:rsidRPr="00CB04CB">
        <w:rPr>
          <w:rFonts w:cstheme="minorHAnsi"/>
          <w:spacing w:val="-2"/>
          <w:sz w:val="16"/>
          <w:szCs w:val="16"/>
          <w:lang w:val="sr-Cyrl-RS"/>
        </w:rPr>
        <w:t>–202</w:t>
      </w:r>
      <w:r w:rsidRPr="00CB04CB">
        <w:rPr>
          <w:rFonts w:cstheme="minorHAnsi"/>
          <w:spacing w:val="-2"/>
          <w:sz w:val="16"/>
          <w:szCs w:val="16"/>
        </w:rPr>
        <w:t>4</w:t>
      </w:r>
      <w:r w:rsidRPr="00CB04CB">
        <w:rPr>
          <w:rFonts w:cstheme="minorHAnsi"/>
          <w:spacing w:val="-2"/>
          <w:sz w:val="16"/>
          <w:szCs w:val="16"/>
          <w:lang w:val="sr-Cyrl-RS"/>
        </w:rPr>
        <w:t>.</w:t>
      </w:r>
    </w:p>
  </w:footnote>
  <w:footnote w:id="5">
    <w:p w14:paraId="135551CF" w14:textId="77777777" w:rsidR="000E16CE" w:rsidRPr="002F6B52" w:rsidRDefault="000E16CE" w:rsidP="00A42963">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Закон о јавном дугу </w:t>
      </w:r>
      <w:r>
        <w:rPr>
          <w:rFonts w:cstheme="minorHAnsi"/>
          <w:sz w:val="16"/>
          <w:szCs w:val="16"/>
          <w:lang w:val="sr-Cyrl-RS"/>
        </w:rPr>
        <w:t>(</w:t>
      </w:r>
      <w:r w:rsidRPr="002F6B52">
        <w:rPr>
          <w:rFonts w:cstheme="minorHAnsi"/>
          <w:sz w:val="16"/>
          <w:szCs w:val="16"/>
          <w:lang w:val="sr-Cyrl-RS"/>
        </w:rPr>
        <w:t>„Службени гласник РС”, бр. 61/05, 107/09, 78/11, 68/15, 95/18, 91/19 и 149/20</w:t>
      </w:r>
      <w:r>
        <w:rPr>
          <w:rFonts w:cstheme="minorHAnsi"/>
          <w:sz w:val="16"/>
          <w:szCs w:val="16"/>
          <w:lang w:val="sr-Cyrl-RS"/>
        </w:rPr>
        <w:t>)</w:t>
      </w:r>
      <w:r w:rsidRPr="002F6B52">
        <w:rPr>
          <w:rFonts w:cstheme="minorHAnsi"/>
          <w:sz w:val="16"/>
          <w:szCs w:val="16"/>
          <w:lang w:val="sr-Cyrl-RS"/>
        </w:rPr>
        <w:t>.</w:t>
      </w:r>
    </w:p>
  </w:footnote>
  <w:footnote w:id="6">
    <w:p w14:paraId="4B303869" w14:textId="77777777" w:rsidR="000E16CE" w:rsidRPr="002F6B52" w:rsidRDefault="000E16CE" w:rsidP="00A42963">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Дефиниција дуга, према критеријумима из Мастрихта, између осталог, различито третира издате гаранције, у односу на дефиницију јавног дуга према домаћем законодавству. У јавни дуг (дуг опште државе) улазе, према критеријумима из Мастрихта, само активиране гаранције. Домаће законодавство, по овом питању има конзервативнији приступ, и све издате гаранције укључује у јавни дуг.</w:t>
      </w:r>
    </w:p>
  </w:footnote>
  <w:footnote w:id="7">
    <w:p w14:paraId="13F0E632" w14:textId="77777777" w:rsidR="000E16CE" w:rsidRPr="002F6B52" w:rsidRDefault="000E16CE" w:rsidP="00A42963">
      <w:pPr>
        <w:pStyle w:val="FootnoteText"/>
        <w:spacing w:after="40"/>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Отплата по основу гаранција из републичког буџета је у расходе укључена по готовинској основи. Међународни стандарди, који се заснивају на обрачунској основи, у расходе укључују цео износ преосталог дуга, у моменту активирања гаранције, док се сама отплата дуга по том основу третира као финансијска трансакција.</w:t>
      </w:r>
    </w:p>
  </w:footnote>
  <w:footnote w:id="8">
    <w:p w14:paraId="1BBBBBAC" w14:textId="77777777" w:rsidR="000E16CE" w:rsidRPr="002F6B52" w:rsidRDefault="000E16CE" w:rsidP="00A42963">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Део расхода по основу отплате по гаранцијама за ЈП „Путеви Србије” не укључује се у расходе буџета, јер је ово предузеће део сектора опште државе, те су расходи који су финансирани гарантованим кредитима били део расхода опште државе у моменту трошења средстава, док се сама отплата третира као финансијска трансакција („испод црте”).</w:t>
      </w:r>
    </w:p>
  </w:footnote>
  <w:footnote w:id="9">
    <w:p w14:paraId="0C1B6F1C" w14:textId="77777777" w:rsidR="000E16CE" w:rsidRPr="002F6B52" w:rsidRDefault="000E16CE" w:rsidP="00A42963">
      <w:pPr>
        <w:pStyle w:val="FootnoteText"/>
        <w:rPr>
          <w:rFonts w:cs="Calibri"/>
          <w:sz w:val="16"/>
          <w:szCs w:val="16"/>
          <w:lang w:val="sr-Cyrl-RS"/>
        </w:rPr>
      </w:pPr>
      <w:r w:rsidRPr="002F6B52">
        <w:rPr>
          <w:rStyle w:val="FootnoteReference"/>
          <w:rFonts w:cs="Calibri"/>
          <w:sz w:val="16"/>
          <w:szCs w:val="16"/>
          <w:lang w:val="sr-Cyrl-RS"/>
        </w:rPr>
        <w:footnoteRef/>
      </w:r>
      <w:r w:rsidRPr="002F6B52">
        <w:rPr>
          <w:rFonts w:cs="Calibri"/>
          <w:sz w:val="16"/>
          <w:szCs w:val="16"/>
          <w:lang w:val="sr-Cyrl-RS"/>
        </w:rPr>
        <w:t xml:space="preserve"> Народна скупштина усвојила је измене и допуне Закона о НБС и Закона о банкама, као и нови Закон о АОД, Закон о осигурању депозита, Закон о стечају и ликвидацији банака и друштава за осигурање. Са изменом сета финансијских закона, наметнуло се и усвајање допуне Закона о министарствима.</w:t>
      </w:r>
    </w:p>
  </w:footnote>
  <w:footnote w:id="10">
    <w:p w14:paraId="13822C70" w14:textId="77777777" w:rsidR="000E16CE" w:rsidRPr="002F6B52" w:rsidRDefault="000E16CE" w:rsidP="00A42963">
      <w:pPr>
        <w:pStyle w:val="FootnoteText"/>
        <w:rPr>
          <w:rFonts w:cs="Calibri"/>
          <w:sz w:val="16"/>
          <w:szCs w:val="16"/>
          <w:lang w:val="sr-Cyrl-RS"/>
        </w:rPr>
      </w:pPr>
      <w:r w:rsidRPr="002F6B52">
        <w:rPr>
          <w:rStyle w:val="FootnoteReference"/>
          <w:rFonts w:cs="Calibri"/>
          <w:sz w:val="16"/>
          <w:szCs w:val="16"/>
          <w:lang w:val="sr-Cyrl-RS"/>
        </w:rPr>
        <w:footnoteRef/>
      </w:r>
      <w:r w:rsidRPr="002F6B52">
        <w:rPr>
          <w:rFonts w:cs="Calibri"/>
          <w:sz w:val="16"/>
          <w:szCs w:val="16"/>
          <w:lang w:val="sr-Cyrl-RS"/>
        </w:rPr>
        <w:t xml:space="preserve"> Заштићени депоненти су: физичка лица, предузетници, микро, мала и средња правна лица, након искључења предвиђеним Законом о осигурању депозита.</w:t>
      </w:r>
    </w:p>
  </w:footnote>
  <w:footnote w:id="11">
    <w:p w14:paraId="622A3547" w14:textId="70405570" w:rsidR="000E16CE" w:rsidRPr="00CD1400" w:rsidRDefault="000E16CE" w:rsidP="00E124CF">
      <w:pPr>
        <w:spacing w:after="0"/>
      </w:pPr>
      <w:r w:rsidRPr="00CD1400">
        <w:rPr>
          <w:rStyle w:val="FootnoteReference"/>
          <w:rFonts w:cstheme="minorHAnsi"/>
          <w:sz w:val="16"/>
          <w:szCs w:val="16"/>
          <w:lang w:val="sr-Cyrl-RS"/>
        </w:rPr>
        <w:footnoteRef/>
      </w:r>
      <w:r w:rsidRPr="00CD1400">
        <w:rPr>
          <w:rFonts w:cstheme="minorHAnsi"/>
          <w:sz w:val="16"/>
          <w:szCs w:val="16"/>
          <w:lang w:val="sr-Cyrl-RS"/>
        </w:rPr>
        <w:t xml:space="preserve"> </w:t>
      </w:r>
      <w:r w:rsidRPr="00CD1400">
        <w:rPr>
          <w:rFonts w:eastAsia="Times New Roman" w:cstheme="minorHAnsi"/>
          <w:bCs/>
          <w:sz w:val="16"/>
          <w:szCs w:val="16"/>
          <w:lang w:val="sr-Cyrl-RS"/>
        </w:rPr>
        <w:t>Детаљнији опис коришћене методологије и резултата могу се пронаћи у Фискалној стратегији за 2013. годину са пројекцијама за 2014. и 2015. годину или путем линка</w:t>
      </w:r>
      <w:r w:rsidRPr="00CD1400">
        <w:rPr>
          <w:rFonts w:cstheme="minorHAnsi"/>
          <w:sz w:val="16"/>
          <w:szCs w:val="16"/>
          <w:lang w:val="sr-Cyrl-RS"/>
        </w:rPr>
        <w:t xml:space="preserve"> </w:t>
      </w:r>
      <w:hyperlink r:id="rId1" w:history="1">
        <w:r w:rsidRPr="00CD1400">
          <w:rPr>
            <w:rStyle w:val="Hyperlink"/>
            <w:color w:val="44546A" w:themeColor="text2"/>
            <w:sz w:val="16"/>
            <w:szCs w:val="16"/>
            <w:u w:val="none"/>
          </w:rPr>
          <w:t>https://www.mfin.gov.rs//upload/media/jzsbpL_601ab1585ca02.pdf</w:t>
        </w:r>
      </w:hyperlink>
    </w:p>
  </w:footnote>
  <w:footnote w:id="12">
    <w:p w14:paraId="113C3471" w14:textId="77777777" w:rsidR="000E16CE" w:rsidRPr="002F6B52" w:rsidRDefault="000E16CE" w:rsidP="00E124CF">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Јавни дуг у овом документу не обухвата дуг по основу реституције у складу са дефиницијом дуга из Закона о буџетском систему.</w:t>
      </w:r>
    </w:p>
  </w:footnote>
  <w:footnote w:id="13">
    <w:p w14:paraId="4DB49D28" w14:textId="77777777" w:rsidR="000E16CE" w:rsidRPr="00EC5384" w:rsidRDefault="000E16CE">
      <w:pPr>
        <w:pStyle w:val="FootnoteText"/>
        <w:rPr>
          <w:sz w:val="16"/>
          <w:szCs w:val="16"/>
          <w:lang w:val="sr-Cyrl-RS"/>
        </w:rPr>
      </w:pPr>
      <w:r w:rsidRPr="0078176B">
        <w:rPr>
          <w:rFonts w:cstheme="minorHAnsi"/>
          <w:sz w:val="16"/>
          <w:szCs w:val="16"/>
          <w:vertAlign w:val="superscript"/>
          <w:lang w:val="sr-Cyrl-RS"/>
        </w:rPr>
        <w:footnoteRef/>
      </w:r>
      <w:r w:rsidRPr="00EC5384">
        <w:rPr>
          <w:sz w:val="16"/>
          <w:szCs w:val="16"/>
          <w:lang w:val="sr-Cyrl-RS"/>
        </w:rPr>
        <w:t xml:space="preserve"> Више о редефинисаним фискалним правилима видети у делу који се односи на структурне фискалне реформе.</w:t>
      </w:r>
    </w:p>
  </w:footnote>
  <w:footnote w:id="14">
    <w:p w14:paraId="0C5044D1" w14:textId="77777777" w:rsidR="000E16CE" w:rsidRPr="002F6B52" w:rsidRDefault="000E16CE" w:rsidP="00ED5386">
      <w:pPr>
        <w:pStyle w:val="FootnoteText"/>
        <w:rPr>
          <w:rStyle w:val="FootnoteReference"/>
          <w:rFonts w:cs="Times New Roman"/>
          <w:sz w:val="16"/>
          <w:szCs w:val="16"/>
          <w:vertAlign w:val="baseline"/>
          <w:lang w:val="sr-Cyrl-RS"/>
        </w:rPr>
      </w:pPr>
      <w:r w:rsidRPr="002F6B52">
        <w:rPr>
          <w:rStyle w:val="FootnoteReference"/>
          <w:sz w:val="16"/>
          <w:szCs w:val="16"/>
          <w:lang w:val="sr-Cyrl-RS"/>
        </w:rPr>
        <w:footnoteRef/>
      </w:r>
      <w:r w:rsidRPr="002F6B52">
        <w:rPr>
          <w:rStyle w:val="FootnoteReference"/>
          <w:sz w:val="16"/>
          <w:szCs w:val="16"/>
          <w:vertAlign w:val="baseline"/>
          <w:lang w:val="sr-Cyrl-RS"/>
        </w:rPr>
        <w:t xml:space="preserve"> АТМ (</w:t>
      </w:r>
      <w:r w:rsidRPr="002F6B52">
        <w:rPr>
          <w:rStyle w:val="FootnoteReference"/>
          <w:i/>
          <w:sz w:val="16"/>
          <w:szCs w:val="16"/>
          <w:vertAlign w:val="baseline"/>
          <w:lang w:val="sr-Cyrl-RS"/>
        </w:rPr>
        <w:t>Average Time to Maturity</w:t>
      </w:r>
      <w:r w:rsidRPr="002F6B52">
        <w:rPr>
          <w:rStyle w:val="FootnoteReference"/>
          <w:sz w:val="16"/>
          <w:szCs w:val="16"/>
          <w:vertAlign w:val="baseline"/>
          <w:lang w:val="sr-Cyrl-RS"/>
        </w:rPr>
        <w:t>) – енглеска скраћеница за просечно време до доспећа.</w:t>
      </w:r>
    </w:p>
  </w:footnote>
  <w:footnote w:id="15">
    <w:p w14:paraId="7E6CC89C" w14:textId="77777777" w:rsidR="000E16CE" w:rsidRPr="002F6B52" w:rsidRDefault="000E16CE" w:rsidP="00ED5386">
      <w:pPr>
        <w:pStyle w:val="FootnoteText"/>
        <w:rPr>
          <w:lang w:val="sr-Cyrl-RS"/>
        </w:rPr>
      </w:pPr>
      <w:r w:rsidRPr="002F6B52">
        <w:rPr>
          <w:rStyle w:val="FootnoteReference"/>
          <w:sz w:val="16"/>
          <w:szCs w:val="16"/>
          <w:lang w:val="sr-Cyrl-RS"/>
        </w:rPr>
        <w:footnoteRef/>
      </w:r>
      <w:r w:rsidRPr="002F6B52">
        <w:rPr>
          <w:rStyle w:val="FootnoteReference"/>
          <w:sz w:val="16"/>
          <w:szCs w:val="16"/>
          <w:vertAlign w:val="baseline"/>
          <w:lang w:val="sr-Cyrl-RS"/>
        </w:rPr>
        <w:t xml:space="preserve"> АТR (</w:t>
      </w:r>
      <w:r w:rsidRPr="002F6B52">
        <w:rPr>
          <w:rStyle w:val="FootnoteReference"/>
          <w:i/>
          <w:sz w:val="16"/>
          <w:szCs w:val="16"/>
          <w:vertAlign w:val="baseline"/>
          <w:lang w:val="sr-Cyrl-RS"/>
        </w:rPr>
        <w:t>Average Time to Refixing</w:t>
      </w:r>
      <w:r w:rsidRPr="002F6B52">
        <w:rPr>
          <w:rStyle w:val="FootnoteReference"/>
          <w:sz w:val="16"/>
          <w:szCs w:val="16"/>
          <w:vertAlign w:val="baseline"/>
          <w:lang w:val="sr-Cyrl-RS"/>
        </w:rPr>
        <w:t>) – енглеска скраћеница за просечно време до промене каматних стопа.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FA238" w14:textId="77777777" w:rsidR="000E16CE" w:rsidRDefault="000E16CE" w:rsidP="0065412F">
    <w:pPr>
      <w:pStyle w:val="Header"/>
      <w:jc w:val="center"/>
    </w:pPr>
    <w:r>
      <w:rPr>
        <w:lang w:val="sr-Cyrl-RS"/>
      </w:rPr>
      <w:t>Ревидирана Фискална стратегија за 202</w:t>
    </w:r>
    <w:r>
      <w:rPr>
        <w:lang w:val="en-GB"/>
      </w:rPr>
      <w:t>3</w:t>
    </w:r>
    <w:r>
      <w:rPr>
        <w:lang w:val="sr-Cyrl-RS"/>
      </w:rPr>
      <w:t>. годину са пројекцијама за 202</w:t>
    </w:r>
    <w:r>
      <w:rPr>
        <w:lang w:val="en-GB"/>
      </w:rPr>
      <w:t>4</w:t>
    </w:r>
    <w:r>
      <w:rPr>
        <w:lang w:val="sr-Cyrl-RS"/>
      </w:rPr>
      <w:t>. и 202</w:t>
    </w:r>
    <w:r>
      <w:rPr>
        <w:lang w:val="en-GB"/>
      </w:rPr>
      <w:t>5</w:t>
    </w:r>
    <w:r>
      <w:rPr>
        <w:lang w:val="sr-Cyrl-RS"/>
      </w:rPr>
      <w:t>. годину</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1378E" w14:textId="77777777" w:rsidR="000E16CE" w:rsidRPr="00EF6D92" w:rsidRDefault="000E16CE" w:rsidP="0065412F">
    <w:pPr>
      <w:pStyle w:val="Header"/>
      <w:jc w:val="center"/>
      <w:rPr>
        <w:lang w:val="sr-Cyrl-RS"/>
      </w:rPr>
    </w:pPr>
    <w:r w:rsidRPr="00374D4D">
      <w:rPr>
        <w:lang w:val="sr-Cyrl-RS"/>
      </w:rPr>
      <w:t>Ревидирана</w:t>
    </w:r>
    <w:r>
      <w:rPr>
        <w:lang w:val="sr-Cyrl-RS"/>
      </w:rPr>
      <w:t xml:space="preserve"> Фискална стратегија за 202</w:t>
    </w:r>
    <w:r>
      <w:rPr>
        <w:lang w:val="en-GB"/>
      </w:rPr>
      <w:t>3</w:t>
    </w:r>
    <w:r>
      <w:rPr>
        <w:lang w:val="sr-Cyrl-RS"/>
      </w:rPr>
      <w:t>. годину са пројекцијама за 202</w:t>
    </w:r>
    <w:r>
      <w:t>4</w:t>
    </w:r>
    <w:r>
      <w:rPr>
        <w:lang w:val="sr-Cyrl-RS"/>
      </w:rPr>
      <w:t>. и 202</w:t>
    </w:r>
    <w:r>
      <w:t>5</w:t>
    </w:r>
    <w:r>
      <w:rPr>
        <w:lang w:val="sr-Cyrl-RS"/>
      </w:rPr>
      <w:t>. годину</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F85BE" w14:textId="77777777" w:rsidR="000E16CE" w:rsidRPr="00F061F2" w:rsidRDefault="000E16CE" w:rsidP="00C130D2">
    <w:pPr>
      <w:pStyle w:val="Header"/>
      <w:jc w:val="center"/>
    </w:pPr>
    <w:r>
      <w:rPr>
        <w:lang w:val="sr-Cyrl-RS"/>
      </w:rPr>
      <w:t>Фискална стратегија за 202</w:t>
    </w:r>
    <w:r>
      <w:t>1</w:t>
    </w:r>
    <w:r>
      <w:rPr>
        <w:lang w:val="sr-Cyrl-RS"/>
      </w:rPr>
      <w:t>. годину са пројекцијама за 202</w:t>
    </w:r>
    <w:r>
      <w:t>2</w:t>
    </w:r>
    <w:r>
      <w:rPr>
        <w:lang w:val="sr-Cyrl-RS"/>
      </w:rPr>
      <w:t>. и 202</w:t>
    </w:r>
    <w:r>
      <w:t>3</w:t>
    </w:r>
    <w:r w:rsidRPr="00F061F2">
      <w:rPr>
        <w:lang w:val="sr-Cyrl-RS"/>
      </w:rPr>
      <w:t>. годину</w:t>
    </w:r>
  </w:p>
  <w:p w14:paraId="06FA9661" w14:textId="77777777" w:rsidR="000E16CE" w:rsidRPr="004F72C4" w:rsidRDefault="000E16CE" w:rsidP="004F72C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B32638" w14:textId="77777777" w:rsidR="000E16CE" w:rsidRPr="007F0724" w:rsidRDefault="000E16CE" w:rsidP="00A42963">
    <w:pPr>
      <w:pStyle w:val="Header"/>
      <w:jc w:val="center"/>
      <w:rPr>
        <w:lang w:val="sr-Cyrl-RS"/>
      </w:rPr>
    </w:pPr>
    <w:r w:rsidRPr="00374D4D">
      <w:rPr>
        <w:lang w:val="sr-Cyrl-RS"/>
      </w:rPr>
      <w:t>Ревидирана</w:t>
    </w:r>
    <w:r>
      <w:rPr>
        <w:lang w:val="sr-Cyrl-RS"/>
      </w:rPr>
      <w:t xml:space="preserve"> Фискална стратегија за 202</w:t>
    </w:r>
    <w:r>
      <w:rPr>
        <w:lang w:val="en-GB"/>
      </w:rPr>
      <w:t>3</w:t>
    </w:r>
    <w:r>
      <w:rPr>
        <w:lang w:val="sr-Cyrl-RS"/>
      </w:rPr>
      <w:t>. годину са пројекцијама за 202</w:t>
    </w:r>
    <w:r>
      <w:t>4</w:t>
    </w:r>
    <w:r>
      <w:rPr>
        <w:lang w:val="sr-Cyrl-RS"/>
      </w:rPr>
      <w:t>. и 202</w:t>
    </w:r>
    <w:r>
      <w:t>5</w:t>
    </w:r>
    <w:r>
      <w:rPr>
        <w:lang w:val="sr-Cyrl-RS"/>
      </w:rPr>
      <w:t>. годину</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DEA17" w14:textId="77777777" w:rsidR="000E16CE" w:rsidRPr="00BF7F6A" w:rsidRDefault="000E16CE" w:rsidP="00BD7EB6">
    <w:pPr>
      <w:pStyle w:val="Header"/>
      <w:jc w:val="center"/>
      <w:rPr>
        <w:lang w:val="sr-Cyrl-RS"/>
      </w:rPr>
    </w:pPr>
    <w:r>
      <w:rPr>
        <w:lang w:val="sr-Cyrl-RS"/>
      </w:rPr>
      <w:t>Фискална стратегија за 2019. годину са пројекцијама за 2020. и 2021. годину</w:t>
    </w:r>
  </w:p>
  <w:p w14:paraId="039A79CF" w14:textId="77777777" w:rsidR="000E16CE" w:rsidRDefault="000E16C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C785F" w14:textId="77777777" w:rsidR="000E16CE" w:rsidRPr="00F061F2" w:rsidRDefault="000E16CE" w:rsidP="005D42AC">
    <w:pPr>
      <w:pStyle w:val="Header"/>
      <w:jc w:val="center"/>
    </w:pPr>
    <w:r>
      <w:t>Фискална стратегија за 2021. годину са пројекцијама за 2022. и 2023</w:t>
    </w:r>
    <w:r w:rsidRPr="00F061F2">
      <w:t>. годину</w:t>
    </w:r>
  </w:p>
  <w:p w14:paraId="2E42927B" w14:textId="77777777" w:rsidR="000E16CE" w:rsidRPr="004F72C4" w:rsidRDefault="000E16CE" w:rsidP="004F72C4">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C0435" w14:textId="77777777" w:rsidR="000E16CE" w:rsidRPr="00094ACF" w:rsidRDefault="000E16CE" w:rsidP="00E124CF">
    <w:pPr>
      <w:tabs>
        <w:tab w:val="center" w:pos="4680"/>
        <w:tab w:val="right" w:pos="9360"/>
      </w:tabs>
      <w:spacing w:after="0" w:line="240" w:lineRule="auto"/>
      <w:jc w:val="center"/>
      <w:rPr>
        <w:lang w:val="sr-Cyrl-RS"/>
      </w:rPr>
    </w:pPr>
    <w:r w:rsidRPr="00094ACF">
      <w:rPr>
        <w:lang w:val="sr-Cyrl-RS"/>
      </w:rPr>
      <w:t>Фискална стратегија за 2023. годину са пројекцијама за 2024. и 2025. годину</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FFBE" w14:textId="77777777" w:rsidR="000E16CE" w:rsidRPr="00BF7F6A" w:rsidRDefault="000E16CE" w:rsidP="00BD7EB6">
    <w:pPr>
      <w:pStyle w:val="Header"/>
      <w:jc w:val="center"/>
    </w:pPr>
    <w:r>
      <w:t>Фискална стратегија за 2019. годину са пројекцијама за 2020. и 2021. годину</w:t>
    </w:r>
  </w:p>
  <w:p w14:paraId="5F40ED65" w14:textId="77777777" w:rsidR="000E16CE" w:rsidRDefault="000E16CE">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D3B89" w14:textId="77777777" w:rsidR="000E16CE" w:rsidRPr="00F061F2" w:rsidRDefault="000E16CE" w:rsidP="005D42AC">
    <w:pPr>
      <w:pStyle w:val="Header"/>
      <w:jc w:val="center"/>
    </w:pPr>
    <w:r>
      <w:t>Фискална стратегија за 2021. годину са пројекцијама за 2022. и 2023</w:t>
    </w:r>
    <w:r w:rsidRPr="00F061F2">
      <w:t>. годину</w:t>
    </w:r>
  </w:p>
  <w:p w14:paraId="7F81E00A" w14:textId="77777777" w:rsidR="000E16CE" w:rsidRPr="004F72C4" w:rsidRDefault="000E16CE" w:rsidP="004F72C4">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1B8D6" w14:textId="1F11C75F" w:rsidR="000E16CE" w:rsidRPr="00ED5386" w:rsidRDefault="000E16CE" w:rsidP="00ED5386">
    <w:pPr>
      <w:pStyle w:val="Header"/>
      <w:jc w:val="center"/>
      <w:rPr>
        <w:lang w:val="sr-Cyrl-RS"/>
      </w:rPr>
    </w:pPr>
    <w:r w:rsidRPr="00374D4D">
      <w:rPr>
        <w:lang w:val="sr-Cyrl-RS"/>
      </w:rPr>
      <w:t>Ревидирана</w:t>
    </w:r>
    <w:r>
      <w:rPr>
        <w:lang w:val="sr-Cyrl-RS"/>
      </w:rPr>
      <w:t xml:space="preserve"> Фискална стратегија за 202</w:t>
    </w:r>
    <w:r>
      <w:rPr>
        <w:lang w:val="en-GB"/>
      </w:rPr>
      <w:t>3</w:t>
    </w:r>
    <w:r>
      <w:rPr>
        <w:lang w:val="sr-Cyrl-RS"/>
      </w:rPr>
      <w:t>. годину са пројекцијама за 202</w:t>
    </w:r>
    <w:r>
      <w:t>4</w:t>
    </w:r>
    <w:r>
      <w:rPr>
        <w:lang w:val="sr-Cyrl-RS"/>
      </w:rPr>
      <w:t>. и 202</w:t>
    </w:r>
    <w:r>
      <w:t>5</w:t>
    </w:r>
    <w:r>
      <w:rPr>
        <w:lang w:val="sr-Cyrl-RS"/>
      </w:rPr>
      <w:t>. годину</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78E16" w14:textId="77777777" w:rsidR="000E16CE" w:rsidRPr="00BF7F6A" w:rsidRDefault="000E16CE" w:rsidP="00BD7EB6">
    <w:pPr>
      <w:pStyle w:val="Header"/>
      <w:jc w:val="center"/>
    </w:pPr>
    <w:r>
      <w:t>Фискална стратегија за 2019. годину са пројекцијама за 2020. и 2021. годину</w:t>
    </w:r>
  </w:p>
  <w:p w14:paraId="6172BD41" w14:textId="77777777" w:rsidR="000E16CE" w:rsidRDefault="000E16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CEF31" w14:textId="77777777" w:rsidR="000E16CE" w:rsidRDefault="000E16CE" w:rsidP="0065412F">
    <w:pPr>
      <w:pStyle w:val="Header"/>
      <w:jc w:val="center"/>
    </w:pPr>
    <w:r>
      <w:rPr>
        <w:lang w:val="sr-Cyrl-RS"/>
      </w:rPr>
      <w:t>Ревидирана Фискална стратегија за 202</w:t>
    </w:r>
    <w:r>
      <w:rPr>
        <w:lang w:val="en-GB"/>
      </w:rPr>
      <w:t>3</w:t>
    </w:r>
    <w:r>
      <w:rPr>
        <w:lang w:val="sr-Cyrl-RS"/>
      </w:rPr>
      <w:t>. годину са пројекцијама за 202</w:t>
    </w:r>
    <w:r>
      <w:rPr>
        <w:lang w:val="en-GB"/>
      </w:rPr>
      <w:t>4</w:t>
    </w:r>
    <w:r>
      <w:rPr>
        <w:lang w:val="sr-Cyrl-RS"/>
      </w:rPr>
      <w:t>. и 202</w:t>
    </w:r>
    <w:r>
      <w:rPr>
        <w:lang w:val="en-GB"/>
      </w:rPr>
      <w:t>5</w:t>
    </w:r>
    <w:r>
      <w:rPr>
        <w:lang w:val="sr-Cyrl-RS"/>
      </w:rPr>
      <w:t>. годину</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B240A" w14:textId="77777777" w:rsidR="000E16CE" w:rsidRPr="00F061F2" w:rsidRDefault="000E16CE" w:rsidP="00C130D2">
    <w:pPr>
      <w:pStyle w:val="Header"/>
      <w:jc w:val="center"/>
    </w:pPr>
    <w:r w:rsidRPr="00724C89">
      <w:t xml:space="preserve">Ревидирана фискална </w:t>
    </w:r>
    <w:r>
      <w:t>стратегија за 2020. годину са пројекцијама за 2021. и 2022</w:t>
    </w:r>
    <w:r w:rsidRPr="00F061F2">
      <w:t>. годину</w:t>
    </w:r>
  </w:p>
  <w:p w14:paraId="6B62429C" w14:textId="77777777" w:rsidR="000E16CE" w:rsidRPr="004F72C4" w:rsidRDefault="000E16CE" w:rsidP="004F72C4">
    <w:pPr>
      <w:pStyle w:val="Header"/>
    </w:pPr>
  </w:p>
  <w:p w14:paraId="33A2569B" w14:textId="77777777" w:rsidR="000E16CE" w:rsidRDefault="000E16CE"/>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D72B9" w14:textId="77777777" w:rsidR="000E16CE" w:rsidRPr="000766DD" w:rsidRDefault="000E16CE" w:rsidP="000766DD">
    <w:pPr>
      <w:pStyle w:val="Header"/>
    </w:pPr>
  </w:p>
  <w:p w14:paraId="3686FA59" w14:textId="77777777" w:rsidR="000E16CE" w:rsidRDefault="000E16CE"/>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AA175" w14:textId="77777777" w:rsidR="000E16CE" w:rsidRPr="00BF7F6A" w:rsidRDefault="000E16CE" w:rsidP="00BD7EB6">
    <w:pPr>
      <w:pStyle w:val="Header"/>
      <w:jc w:val="center"/>
    </w:pPr>
    <w:r>
      <w:t>Фискална стратегија за 2019. годину са пројекцијама за 2020. и 2021. годину</w:t>
    </w:r>
  </w:p>
  <w:p w14:paraId="39810076" w14:textId="77777777" w:rsidR="000E16CE" w:rsidRDefault="000E16CE">
    <w:pPr>
      <w:pStyle w:val="Header"/>
    </w:pPr>
  </w:p>
  <w:p w14:paraId="24FB8B8E" w14:textId="77777777" w:rsidR="000E16CE" w:rsidRDefault="000E16CE"/>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F3BD4" w14:textId="77777777" w:rsidR="000E16CE" w:rsidRPr="00F061F2" w:rsidRDefault="000E16CE"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386736D7" w14:textId="77777777" w:rsidR="000E16CE" w:rsidRDefault="000E16CE">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81EC1" w14:textId="77777777" w:rsidR="000E16CE" w:rsidRDefault="000E16CE" w:rsidP="00ED5386">
    <w:pPr>
      <w:pStyle w:val="Header"/>
      <w:jc w:val="center"/>
    </w:pPr>
    <w:r>
      <w:rPr>
        <w:lang w:val="sr-Cyrl-RS"/>
      </w:rPr>
      <w:t>Ревидирана Фискална стратегија за 202</w:t>
    </w:r>
    <w:r>
      <w:rPr>
        <w:lang w:val="en-GB"/>
      </w:rPr>
      <w:t>3</w:t>
    </w:r>
    <w:r>
      <w:rPr>
        <w:lang w:val="sr-Cyrl-RS"/>
      </w:rPr>
      <w:t>. годину са пројекцијама за 202</w:t>
    </w:r>
    <w:r>
      <w:rPr>
        <w:lang w:val="en-GB"/>
      </w:rPr>
      <w:t>4</w:t>
    </w:r>
    <w:r>
      <w:rPr>
        <w:lang w:val="sr-Cyrl-RS"/>
      </w:rPr>
      <w:t>. и 202</w:t>
    </w:r>
    <w:r>
      <w:rPr>
        <w:lang w:val="en-GB"/>
      </w:rPr>
      <w:t>5</w:t>
    </w:r>
    <w:r>
      <w:rPr>
        <w:lang w:val="sr-Cyrl-RS"/>
      </w:rPr>
      <w:t>. годину</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A6221" w14:textId="77777777" w:rsidR="000E16CE" w:rsidRPr="00BF7F6A" w:rsidRDefault="000E16CE" w:rsidP="00BD7EB6">
    <w:pPr>
      <w:pStyle w:val="Header"/>
      <w:jc w:val="center"/>
      <w:rPr>
        <w:lang w:val="sr-Cyrl-RS"/>
      </w:rPr>
    </w:pPr>
    <w:r>
      <w:rPr>
        <w:lang w:val="sr-Cyrl-RS"/>
      </w:rPr>
      <w:t>Фискална стратегија за 2019. годину са пројекцијама за 2020. и 2021. годину</w:t>
    </w:r>
  </w:p>
  <w:p w14:paraId="46B3447C" w14:textId="77777777" w:rsidR="000E16CE" w:rsidRDefault="000E16CE">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2F2FC" w14:textId="77777777" w:rsidR="000E16CE" w:rsidRPr="00F061F2" w:rsidRDefault="000E16CE" w:rsidP="00C130D2">
    <w:pPr>
      <w:pStyle w:val="Header"/>
      <w:jc w:val="center"/>
    </w:pPr>
    <w:r w:rsidRPr="00724C89">
      <w:t xml:space="preserve">Ревидирана фискална </w:t>
    </w:r>
    <w:r>
      <w:t>стратегија за 2020. годину са пројекцијама за 2021. и 2022</w:t>
    </w:r>
    <w:r w:rsidRPr="00F061F2">
      <w:t>. годину</w:t>
    </w:r>
  </w:p>
  <w:p w14:paraId="01506E84" w14:textId="77777777" w:rsidR="000E16CE" w:rsidRDefault="000E16CE">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E9CE8" w14:textId="7EBB0FCF" w:rsidR="000E16CE" w:rsidRPr="00ED5386" w:rsidRDefault="000E16CE" w:rsidP="00ED5386">
    <w:pPr>
      <w:pStyle w:val="Header"/>
      <w:jc w:val="center"/>
    </w:pPr>
    <w:r>
      <w:rPr>
        <w:lang w:val="sr-Cyrl-RS"/>
      </w:rPr>
      <w:t>Ревидирана Фискална стратегија за 202</w:t>
    </w:r>
    <w:r>
      <w:rPr>
        <w:lang w:val="en-GB"/>
      </w:rPr>
      <w:t>3</w:t>
    </w:r>
    <w:r>
      <w:rPr>
        <w:lang w:val="sr-Cyrl-RS"/>
      </w:rPr>
      <w:t>. годину са пројекцијама за 202</w:t>
    </w:r>
    <w:r>
      <w:rPr>
        <w:lang w:val="en-GB"/>
      </w:rPr>
      <w:t>4</w:t>
    </w:r>
    <w:r>
      <w:rPr>
        <w:lang w:val="sr-Cyrl-RS"/>
      </w:rPr>
      <w:t>. и 202</w:t>
    </w:r>
    <w:r>
      <w:rPr>
        <w:lang w:val="en-GB"/>
      </w:rPr>
      <w:t>5</w:t>
    </w:r>
    <w:r>
      <w:rPr>
        <w:lang w:val="sr-Cyrl-RS"/>
      </w:rPr>
      <w:t>. годину</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A0E56" w14:textId="77777777" w:rsidR="000E16CE" w:rsidRPr="00BF7F6A" w:rsidRDefault="000E16CE" w:rsidP="00BD7EB6">
    <w:pPr>
      <w:pStyle w:val="Header"/>
      <w:jc w:val="center"/>
    </w:pPr>
    <w:r>
      <w:t>Фискална стратегија за 2019. годину са пројекцијама за 2020. и 2021. годину</w:t>
    </w:r>
  </w:p>
  <w:p w14:paraId="40D4F9F8" w14:textId="77777777" w:rsidR="000E16CE" w:rsidRDefault="000E16CE">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6365B" w14:textId="77777777" w:rsidR="000E16CE" w:rsidRPr="00F061F2" w:rsidRDefault="000E16CE" w:rsidP="00C130D2">
    <w:pPr>
      <w:pStyle w:val="Header"/>
      <w:jc w:val="center"/>
    </w:pPr>
    <w:r w:rsidRPr="006C57DB">
      <w:t xml:space="preserve">Фискална </w:t>
    </w:r>
    <w:r>
      <w:t>стратегија за 2020. годину са пројекцијама за 2021. и 2022</w:t>
    </w:r>
    <w:r w:rsidRPr="00F061F2">
      <w:t>. годину</w:t>
    </w:r>
  </w:p>
  <w:p w14:paraId="61D03007" w14:textId="77777777" w:rsidR="000E16CE" w:rsidRDefault="000E16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AADE7" w14:textId="77777777" w:rsidR="000E16CE" w:rsidRPr="00521A99" w:rsidRDefault="000E16CE" w:rsidP="00521A99">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8E210" w14:textId="77777777" w:rsidR="000E16CE" w:rsidRPr="00BF7F6A" w:rsidRDefault="000E16CE" w:rsidP="00BD7EB6">
    <w:pPr>
      <w:pStyle w:val="Header"/>
      <w:jc w:val="center"/>
    </w:pPr>
    <w:r>
      <w:t>Фискална стратегија за 2019. годину са пројекцијама за 2020. и 2021. годину</w:t>
    </w:r>
  </w:p>
  <w:p w14:paraId="0B35450D" w14:textId="77777777" w:rsidR="000E16CE" w:rsidRDefault="000E16CE">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5F4FA" w14:textId="77777777" w:rsidR="000E16CE" w:rsidRPr="007F0724" w:rsidRDefault="000E16CE" w:rsidP="00A42963">
    <w:pPr>
      <w:pStyle w:val="Header"/>
      <w:jc w:val="center"/>
      <w:rPr>
        <w:lang w:val="sr-Cyrl-RS"/>
      </w:rPr>
    </w:pPr>
    <w:r w:rsidRPr="00374D4D">
      <w:rPr>
        <w:lang w:val="sr-Cyrl-RS"/>
      </w:rPr>
      <w:t>Ревидирана</w:t>
    </w:r>
    <w:r>
      <w:rPr>
        <w:lang w:val="sr-Cyrl-RS"/>
      </w:rPr>
      <w:t xml:space="preserve"> Фискална стратегија за 202</w:t>
    </w:r>
    <w:r>
      <w:rPr>
        <w:lang w:val="en-GB"/>
      </w:rPr>
      <w:t>3</w:t>
    </w:r>
    <w:r>
      <w:rPr>
        <w:lang w:val="sr-Cyrl-RS"/>
      </w:rPr>
      <w:t>. годину са пројекцијама за 202</w:t>
    </w:r>
    <w:r>
      <w:t>4</w:t>
    </w:r>
    <w:r>
      <w:rPr>
        <w:lang w:val="sr-Cyrl-RS"/>
      </w:rPr>
      <w:t>. и 202</w:t>
    </w:r>
    <w:r>
      <w:t>5</w:t>
    </w:r>
    <w:r>
      <w:rPr>
        <w:lang w:val="sr-Cyrl-RS"/>
      </w:rPr>
      <w:t>. годину</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F3D6D0" w14:textId="77777777" w:rsidR="000E16CE" w:rsidRPr="00BF7F6A" w:rsidRDefault="000E16CE" w:rsidP="00BD7EB6">
    <w:pPr>
      <w:pStyle w:val="Header"/>
      <w:jc w:val="center"/>
      <w:rPr>
        <w:lang w:val="sr-Cyrl-RS"/>
      </w:rPr>
    </w:pPr>
    <w:r>
      <w:rPr>
        <w:lang w:val="sr-Cyrl-RS"/>
      </w:rPr>
      <w:t>Фискална стратегија за 2019. годину са пројекцијама за 2020. и 2021. годину</w:t>
    </w:r>
  </w:p>
  <w:p w14:paraId="0984ADAD" w14:textId="77777777" w:rsidR="000E16CE" w:rsidRDefault="000E16CE">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B3ED5" w14:textId="77777777" w:rsidR="000E16CE" w:rsidRPr="00BF7F6A" w:rsidRDefault="000E16CE" w:rsidP="00BD7EB6">
    <w:pPr>
      <w:pStyle w:val="Header"/>
      <w:jc w:val="center"/>
      <w:rPr>
        <w:lang w:val="sr-Cyrl-RS"/>
      </w:rPr>
    </w:pPr>
    <w:r>
      <w:rPr>
        <w:lang w:val="sr-Cyrl-RS"/>
      </w:rPr>
      <w:t>Фискална стратегија за 2019. годину са пројекцијама за 2020. и 2021. годину</w:t>
    </w:r>
  </w:p>
  <w:p w14:paraId="6AA64419" w14:textId="77777777" w:rsidR="000E16CE" w:rsidRDefault="000E16CE">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E7F36" w14:textId="77777777" w:rsidR="000E16CE" w:rsidRDefault="000E16CE" w:rsidP="006874FA">
    <w:pPr>
      <w:pStyle w:val="Header"/>
      <w:jc w:val="center"/>
    </w:pPr>
    <w:r>
      <w:rPr>
        <w:lang w:val="sr-Cyrl-RS"/>
      </w:rPr>
      <w:t>Ревидирана Фискална стратегија за 202</w:t>
    </w:r>
    <w:r>
      <w:rPr>
        <w:lang w:val="en-GB"/>
      </w:rPr>
      <w:t>3</w:t>
    </w:r>
    <w:r>
      <w:rPr>
        <w:lang w:val="sr-Cyrl-RS"/>
      </w:rPr>
      <w:t>. годину са пројекцијама за 202</w:t>
    </w:r>
    <w:r>
      <w:rPr>
        <w:lang w:val="en-GB"/>
      </w:rPr>
      <w:t>4</w:t>
    </w:r>
    <w:r>
      <w:rPr>
        <w:lang w:val="sr-Cyrl-RS"/>
      </w:rPr>
      <w:t>. и 202</w:t>
    </w:r>
    <w:r>
      <w:rPr>
        <w:lang w:val="en-GB"/>
      </w:rPr>
      <w:t>5</w:t>
    </w:r>
    <w:r>
      <w:rPr>
        <w:lang w:val="sr-Cyrl-RS"/>
      </w:rPr>
      <w:t>. годину</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6AE88" w14:textId="77777777" w:rsidR="000E16CE" w:rsidRDefault="000E16CE" w:rsidP="006874FA">
    <w:pPr>
      <w:pStyle w:val="Header"/>
      <w:jc w:val="center"/>
    </w:pPr>
    <w:r>
      <w:rPr>
        <w:lang w:val="sr-Cyrl-RS"/>
      </w:rPr>
      <w:t>Ревидирана Фискална стратегија за 202</w:t>
    </w:r>
    <w:r>
      <w:rPr>
        <w:lang w:val="en-GB"/>
      </w:rPr>
      <w:t>3</w:t>
    </w:r>
    <w:r>
      <w:rPr>
        <w:lang w:val="sr-Cyrl-RS"/>
      </w:rPr>
      <w:t>. годину са пројекцијама за 202</w:t>
    </w:r>
    <w:r>
      <w:rPr>
        <w:lang w:val="en-GB"/>
      </w:rPr>
      <w:t>4</w:t>
    </w:r>
    <w:r>
      <w:rPr>
        <w:lang w:val="sr-Cyrl-RS"/>
      </w:rPr>
      <w:t>. и 202</w:t>
    </w:r>
    <w:r>
      <w:rPr>
        <w:lang w:val="en-GB"/>
      </w:rPr>
      <w:t>5</w:t>
    </w:r>
    <w:r>
      <w:rPr>
        <w:lang w:val="sr-Cyrl-RS"/>
      </w:rPr>
      <w:t>. годину</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7C10" w14:textId="77777777" w:rsidR="000E16CE" w:rsidRDefault="000E16CE" w:rsidP="00815831">
    <w:pPr>
      <w:pStyle w:val="Header"/>
      <w:jc w:val="center"/>
    </w:pPr>
    <w:r w:rsidRPr="00724C89">
      <w:t xml:space="preserve">Ревидирана фискална </w:t>
    </w:r>
    <w:r>
      <w:t>стратегија за 2020. годину са пројекцијама за 2021. и 2022</w:t>
    </w:r>
    <w:r w:rsidRPr="00F061F2">
      <w:t>. годину</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6990D" w14:textId="77777777" w:rsidR="000E16CE" w:rsidRPr="00BF7F6A" w:rsidRDefault="000E16CE" w:rsidP="00BD7EB6">
    <w:pPr>
      <w:pStyle w:val="Header"/>
      <w:jc w:val="center"/>
    </w:pPr>
    <w:r>
      <w:t>Фискална стратегија за 2019. годину са пројекцијама за 2020. и 2021. годину</w:t>
    </w:r>
  </w:p>
  <w:p w14:paraId="699A51F9" w14:textId="77777777" w:rsidR="000E16CE" w:rsidRDefault="000E16CE">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7F10" w14:textId="77777777" w:rsidR="000E16CE" w:rsidRPr="003B6D80" w:rsidRDefault="000E16CE" w:rsidP="00A42963">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55C3E" w14:textId="77777777" w:rsidR="000E16CE" w:rsidRPr="00BF7F6A" w:rsidRDefault="000E16CE" w:rsidP="00A42963">
    <w:pPr>
      <w:pStyle w:val="Header"/>
      <w:jc w:val="center"/>
      <w:rPr>
        <w:lang w:val="sr-Cyrl-RS"/>
      </w:rPr>
    </w:pPr>
    <w:r>
      <w:rPr>
        <w:lang w:val="sr-Cyrl-RS"/>
      </w:rPr>
      <w:t>Фискална стратегија за 2019. годину са пројекцијама за 2020. и 2021. годину</w:t>
    </w:r>
  </w:p>
  <w:p w14:paraId="4FB06CEC" w14:textId="77777777" w:rsidR="000E16CE" w:rsidRDefault="000E16C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ED0DC" w14:textId="77777777" w:rsidR="000E16CE" w:rsidRDefault="000E16CE" w:rsidP="008527D6">
    <w:pPr>
      <w:pStyle w:val="Header"/>
      <w:jc w:val="center"/>
    </w:pPr>
    <w:r>
      <w:rPr>
        <w:lang w:val="sr-Cyrl-RS"/>
      </w:rPr>
      <w:t xml:space="preserve">Ревидирана </w:t>
    </w:r>
    <w:r w:rsidRPr="006C57DB">
      <w:rPr>
        <w:lang w:val="sr-Cyrl-RS"/>
      </w:rPr>
      <w:t xml:space="preserve">Фискална </w:t>
    </w:r>
    <w:r w:rsidRPr="000C433F">
      <w:rPr>
        <w:lang w:val="sr-Cyrl-RS"/>
      </w:rPr>
      <w:t>стратегија за 202</w:t>
    </w:r>
    <w:r>
      <w:rPr>
        <w:lang w:val="en-GB"/>
      </w:rPr>
      <w:t>3</w:t>
    </w:r>
    <w:r w:rsidRPr="000C433F">
      <w:rPr>
        <w:lang w:val="sr-Cyrl-RS"/>
      </w:rPr>
      <w:t>. годину са пројекцијама за 202</w:t>
    </w:r>
    <w:r>
      <w:rPr>
        <w:lang w:val="en-GB"/>
      </w:rPr>
      <w:t>4</w:t>
    </w:r>
    <w:r w:rsidRPr="000C433F">
      <w:rPr>
        <w:lang w:val="sr-Cyrl-RS"/>
      </w:rPr>
      <w:t>. и 202</w:t>
    </w:r>
    <w:r>
      <w:rPr>
        <w:lang w:val="en-GB"/>
      </w:rPr>
      <w:t>5</w:t>
    </w:r>
    <w:r w:rsidRPr="000C433F">
      <w:rPr>
        <w:lang w:val="sr-Cyrl-RS"/>
      </w:rPr>
      <w:t>. годину</w: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C6DAE" w14:textId="77777777" w:rsidR="000E16CE" w:rsidRDefault="000E16CE" w:rsidP="005158F5">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361C29">
      <w:rPr>
        <w:lang w:val="sr-Cyrl-RS"/>
      </w:rPr>
      <w:t>. годину</w:t>
    </w:r>
  </w:p>
  <w:p w14:paraId="7E18793C" w14:textId="77777777" w:rsidR="000E16CE" w:rsidRDefault="000E16CE"/>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7AADB" w14:textId="77777777" w:rsidR="000E16CE" w:rsidRPr="00D15A77" w:rsidRDefault="000E16CE" w:rsidP="00C91F83">
    <w:pPr>
      <w:pStyle w:val="Header"/>
      <w:jc w:val="center"/>
      <w:rPr>
        <w:lang w:val="sr-Cyrl-RS"/>
      </w:rPr>
    </w:pPr>
    <w:r>
      <w:rPr>
        <w:lang w:val="sr-Cyrl-RS"/>
      </w:rPr>
      <w:t>Фискална стратегија за 20</w:t>
    </w:r>
    <w:r>
      <w:rPr>
        <w:lang w:val="sr-Latn-RS"/>
      </w:rPr>
      <w:t>23</w:t>
    </w:r>
    <w:r>
      <w:rPr>
        <w:lang w:val="sr-Cyrl-RS"/>
      </w:rPr>
      <w:t>. годину са пројекцијама за 202</w:t>
    </w:r>
    <w:r>
      <w:rPr>
        <w:lang w:val="sr-Latn-RS"/>
      </w:rPr>
      <w:t>4</w:t>
    </w:r>
    <w:r>
      <w:rPr>
        <w:lang w:val="sr-Cyrl-RS"/>
      </w:rPr>
      <w:t>. и 202</w:t>
    </w:r>
    <w:r>
      <w:rPr>
        <w:lang w:val="sr-Latn-RS"/>
      </w:rPr>
      <w:t>5</w:t>
    </w:r>
    <w:r>
      <w:rPr>
        <w:lang w:val="sr-Cyrl-RS"/>
      </w:rPr>
      <w:t>. годину</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E1575" w14:textId="77777777" w:rsidR="000E16CE" w:rsidRPr="00BF7F6A" w:rsidRDefault="000E16CE" w:rsidP="00BD7EB6">
    <w:pPr>
      <w:pStyle w:val="Header"/>
      <w:jc w:val="center"/>
      <w:rPr>
        <w:lang w:val="sr-Cyrl-RS"/>
      </w:rPr>
    </w:pPr>
    <w:r>
      <w:rPr>
        <w:lang w:val="sr-Cyrl-RS"/>
      </w:rPr>
      <w:t>Фискална стратегија за 2019. годину са пројекцијама за 2020. и 2021. годину</w:t>
    </w:r>
  </w:p>
  <w:p w14:paraId="5D09D2F0" w14:textId="77777777" w:rsidR="000E16CE" w:rsidRDefault="000E16CE">
    <w:pPr>
      <w:pStyle w:val="Header"/>
    </w:pPr>
  </w:p>
  <w:p w14:paraId="5CEE2C2F" w14:textId="77777777" w:rsidR="000E16CE" w:rsidRDefault="000E16CE"/>
  <w:p w14:paraId="3821FB10" w14:textId="77777777" w:rsidR="000E16CE" w:rsidRDefault="000E16CE"/>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8FBD7" w14:textId="77777777" w:rsidR="000E16CE" w:rsidRDefault="000E16CE" w:rsidP="005158F5">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361C29">
      <w:rPr>
        <w:lang w:val="sr-Cyrl-RS"/>
      </w:rPr>
      <w:t>. годину</w:t>
    </w:r>
  </w:p>
  <w:p w14:paraId="26C221A0" w14:textId="77777777" w:rsidR="000E16CE" w:rsidRDefault="000E16CE"/>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14E95" w14:textId="7698FC2F" w:rsidR="000E16CE" w:rsidRPr="0062301D" w:rsidRDefault="000E16CE" w:rsidP="0062301D">
    <w:pPr>
      <w:pStyle w:val="Header"/>
      <w:jc w:val="center"/>
      <w:rPr>
        <w:lang w:val="sr-Cyrl-RS"/>
      </w:rPr>
    </w:pPr>
    <w:r w:rsidRPr="00374D4D">
      <w:rPr>
        <w:lang w:val="sr-Cyrl-RS"/>
      </w:rPr>
      <w:t>Ревидирана</w:t>
    </w:r>
    <w:r>
      <w:rPr>
        <w:lang w:val="sr-Cyrl-RS"/>
      </w:rPr>
      <w:t xml:space="preserve"> Фискална стратегија за 202</w:t>
    </w:r>
    <w:r>
      <w:rPr>
        <w:lang w:val="en-GB"/>
      </w:rPr>
      <w:t>3</w:t>
    </w:r>
    <w:r>
      <w:rPr>
        <w:lang w:val="sr-Cyrl-RS"/>
      </w:rPr>
      <w:t>. годину са пројекцијама за 202</w:t>
    </w:r>
    <w:r>
      <w:t>4</w:t>
    </w:r>
    <w:r>
      <w:rPr>
        <w:lang w:val="sr-Cyrl-RS"/>
      </w:rPr>
      <w:t>. и 202</w:t>
    </w:r>
    <w:r>
      <w:t>5</w:t>
    </w:r>
    <w:r>
      <w:rPr>
        <w:lang w:val="sr-Cyrl-RS"/>
      </w:rPr>
      <w:t>. годину</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C1EF2" w14:textId="77777777" w:rsidR="000E16CE" w:rsidRPr="00BF7F6A" w:rsidRDefault="000E16CE" w:rsidP="00BD7EB6">
    <w:pPr>
      <w:pStyle w:val="Header"/>
      <w:jc w:val="center"/>
      <w:rPr>
        <w:lang w:val="sr-Cyrl-RS"/>
      </w:rPr>
    </w:pPr>
    <w:r>
      <w:rPr>
        <w:lang w:val="sr-Cyrl-RS"/>
      </w:rPr>
      <w:t>Фискална стратегија за 2019. годину са пројекцијама за 2020. и 2021. годину</w:t>
    </w:r>
  </w:p>
  <w:p w14:paraId="4AABF597" w14:textId="77777777" w:rsidR="000E16CE" w:rsidRDefault="000E16CE">
    <w:pPr>
      <w:pStyle w:val="Header"/>
    </w:pPr>
  </w:p>
  <w:p w14:paraId="41F98D3A" w14:textId="77777777" w:rsidR="000E16CE" w:rsidRDefault="000E16CE"/>
  <w:p w14:paraId="1DABCF13" w14:textId="77777777" w:rsidR="000E16CE" w:rsidRDefault="000E16CE"/>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F9486" w14:textId="77777777" w:rsidR="000E16CE" w:rsidRPr="00F061F2" w:rsidRDefault="000E16CE"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2431CF98" w14:textId="77777777" w:rsidR="000E16CE" w:rsidRDefault="000E16CE">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58BA1" w14:textId="77777777" w:rsidR="000E16CE" w:rsidRPr="00BF7F6A" w:rsidRDefault="000E16CE" w:rsidP="00BD7EB6">
    <w:pPr>
      <w:pStyle w:val="Header"/>
      <w:jc w:val="center"/>
      <w:rPr>
        <w:lang w:val="sr-Cyrl-RS"/>
      </w:rPr>
    </w:pPr>
    <w:r>
      <w:rPr>
        <w:lang w:val="sr-Cyrl-RS"/>
      </w:rPr>
      <w:t>Фискална стратегија за 2019. годину са пројекцијама за 2020. и 2021. годину</w:t>
    </w:r>
  </w:p>
  <w:p w14:paraId="61FA6026" w14:textId="77777777" w:rsidR="000E16CE" w:rsidRDefault="000E16C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1365C" w14:textId="77777777" w:rsidR="000E16CE" w:rsidRPr="00521A99" w:rsidRDefault="000E16CE" w:rsidP="00521A99">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B8062" w14:textId="77777777" w:rsidR="000E16CE" w:rsidRPr="00BF7F6A" w:rsidRDefault="000E16CE" w:rsidP="000C433F">
    <w:pPr>
      <w:pStyle w:val="Header"/>
      <w:jc w:val="center"/>
      <w:rPr>
        <w:lang w:val="sr-Cyrl-RS"/>
      </w:rPr>
    </w:pPr>
    <w:r w:rsidRPr="001D7F8D">
      <w:rPr>
        <w:lang w:val="sr-Cyrl-RS"/>
      </w:rPr>
      <w:t>Ревидирана</w:t>
    </w:r>
    <w:r>
      <w:rPr>
        <w:lang w:val="sr-Cyrl-RS"/>
      </w:rPr>
      <w:t xml:space="preserve"> </w:t>
    </w:r>
    <w:r w:rsidRPr="006C57DB">
      <w:rPr>
        <w:lang w:val="sr-Cyrl-RS"/>
      </w:rPr>
      <w:t xml:space="preserve">Фискална </w:t>
    </w:r>
    <w:r w:rsidRPr="000C433F">
      <w:rPr>
        <w:lang w:val="sr-Cyrl-RS"/>
      </w:rPr>
      <w:t>стратегија за 202</w:t>
    </w:r>
    <w:r>
      <w:rPr>
        <w:lang w:val="en-GB"/>
      </w:rPr>
      <w:t>3</w:t>
    </w:r>
    <w:r w:rsidRPr="000C433F">
      <w:rPr>
        <w:lang w:val="sr-Cyrl-RS"/>
      </w:rPr>
      <w:t>. годину са пројекцијама за 202</w:t>
    </w:r>
    <w:r>
      <w:rPr>
        <w:lang w:val="en-GB"/>
      </w:rPr>
      <w:t>4</w:t>
    </w:r>
    <w:r w:rsidRPr="000C433F">
      <w:rPr>
        <w:lang w:val="sr-Cyrl-RS"/>
      </w:rPr>
      <w:t>. и 202</w:t>
    </w:r>
    <w:r>
      <w:rPr>
        <w:lang w:val="en-GB"/>
      </w:rPr>
      <w:t>5</w:t>
    </w:r>
    <w:r w:rsidRPr="000C433F">
      <w:rPr>
        <w:lang w:val="sr-Cyrl-RS"/>
      </w:rPr>
      <w:t>. годину</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DB732" w14:textId="77777777" w:rsidR="000E16CE" w:rsidRPr="000C433F" w:rsidRDefault="000E16CE" w:rsidP="00B14FC0">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p w14:paraId="5449ADFD" w14:textId="77777777" w:rsidR="000E16CE" w:rsidRDefault="000E16C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19FAC" w14:textId="77777777" w:rsidR="000E16CE" w:rsidRPr="0072482F" w:rsidRDefault="000E16CE" w:rsidP="008527D6">
    <w:pPr>
      <w:pStyle w:val="Header"/>
      <w:jc w:val="center"/>
      <w:rPr>
        <w:lang w:val="sr-Cyrl-RS"/>
      </w:rPr>
    </w:pPr>
    <w:r w:rsidRPr="00374D4D">
      <w:rPr>
        <w:lang w:val="sr-Cyrl-RS"/>
      </w:rPr>
      <w:t>Ревидирана</w:t>
    </w:r>
    <w:r>
      <w:rPr>
        <w:lang w:val="sr-Cyrl-RS"/>
      </w:rPr>
      <w:t xml:space="preserve"> Фискална стратегија за 202</w:t>
    </w:r>
    <w:r>
      <w:rPr>
        <w:lang w:val="en-GB"/>
      </w:rPr>
      <w:t>3</w:t>
    </w:r>
    <w:r>
      <w:rPr>
        <w:lang w:val="sr-Cyrl-RS"/>
      </w:rPr>
      <w:t>. годину са пројекцијама за 202</w:t>
    </w:r>
    <w:r>
      <w:t>4</w:t>
    </w:r>
    <w:r>
      <w:rPr>
        <w:lang w:val="sr-Cyrl-RS"/>
      </w:rPr>
      <w:t>. и 202</w:t>
    </w:r>
    <w:r>
      <w:t>5</w:t>
    </w:r>
    <w:r>
      <w:rPr>
        <w:lang w:val="sr-Cyrl-RS"/>
      </w:rPr>
      <w:t>. годину</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70836" w14:textId="77777777" w:rsidR="000E16CE" w:rsidRPr="00BF7F6A" w:rsidRDefault="000E16CE" w:rsidP="00BD7EB6">
    <w:pPr>
      <w:pStyle w:val="Header"/>
      <w:jc w:val="center"/>
      <w:rPr>
        <w:lang w:val="sr-Cyrl-RS"/>
      </w:rPr>
    </w:pPr>
    <w:r>
      <w:rPr>
        <w:lang w:val="sr-Cyrl-RS"/>
      </w:rPr>
      <w:t>Фискална стратегија за 2019. годину са пројекцијама за 2020. и 2021. годину</w:t>
    </w:r>
  </w:p>
  <w:p w14:paraId="74C2EAC3" w14:textId="77777777" w:rsidR="000E16CE" w:rsidRDefault="000E16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328B3"/>
    <w:multiLevelType w:val="hybridMultilevel"/>
    <w:tmpl w:val="4B80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7C45D5"/>
    <w:multiLevelType w:val="hybridMultilevel"/>
    <w:tmpl w:val="9756494C"/>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 w15:restartNumberingAfterBreak="0">
    <w:nsid w:val="20FA5E91"/>
    <w:multiLevelType w:val="hybridMultilevel"/>
    <w:tmpl w:val="5DF4BD4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11B23A4"/>
    <w:multiLevelType w:val="hybridMultilevel"/>
    <w:tmpl w:val="0F4E72E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14850F7"/>
    <w:multiLevelType w:val="hybridMultilevel"/>
    <w:tmpl w:val="9D58C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B5F6A1A"/>
    <w:multiLevelType w:val="hybridMultilevel"/>
    <w:tmpl w:val="6358C0B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F974621"/>
    <w:multiLevelType w:val="hybridMultilevel"/>
    <w:tmpl w:val="3D1E117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817CF4"/>
    <w:multiLevelType w:val="hybridMultilevel"/>
    <w:tmpl w:val="BBAC36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A85611"/>
    <w:multiLevelType w:val="multilevel"/>
    <w:tmpl w:val="18667D1A"/>
    <w:lvl w:ilvl="0">
      <w:start w:val="1"/>
      <w:numFmt w:val="decimal"/>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9" w15:restartNumberingAfterBreak="0">
    <w:nsid w:val="4D6972A3"/>
    <w:multiLevelType w:val="hybridMultilevel"/>
    <w:tmpl w:val="3750566E"/>
    <w:lvl w:ilvl="0" w:tplc="04090005">
      <w:start w:val="1"/>
      <w:numFmt w:val="bullet"/>
      <w:lvlText w:val=""/>
      <w:lvlJc w:val="left"/>
      <w:pPr>
        <w:ind w:left="1077" w:hanging="360"/>
      </w:pPr>
      <w:rPr>
        <w:rFonts w:ascii="Wingdings" w:hAnsi="Wingdings" w:hint="default"/>
      </w:rPr>
    </w:lvl>
    <w:lvl w:ilvl="1" w:tplc="04090003">
      <w:start w:val="1"/>
      <w:numFmt w:val="bullet"/>
      <w:lvlText w:val="o"/>
      <w:lvlJc w:val="left"/>
      <w:pPr>
        <w:ind w:left="1797" w:hanging="360"/>
      </w:pPr>
      <w:rPr>
        <w:rFonts w:ascii="Courier New" w:hAnsi="Courier New" w:cs="Courier New" w:hint="default"/>
      </w:rPr>
    </w:lvl>
    <w:lvl w:ilvl="2" w:tplc="04090005">
      <w:start w:val="1"/>
      <w:numFmt w:val="bullet"/>
      <w:lvlText w:val=""/>
      <w:lvlJc w:val="left"/>
      <w:pPr>
        <w:ind w:left="2517" w:hanging="360"/>
      </w:pPr>
      <w:rPr>
        <w:rFonts w:ascii="Wingdings" w:hAnsi="Wingdings" w:hint="default"/>
      </w:rPr>
    </w:lvl>
    <w:lvl w:ilvl="3" w:tplc="04090001">
      <w:start w:val="1"/>
      <w:numFmt w:val="bullet"/>
      <w:lvlText w:val=""/>
      <w:lvlJc w:val="left"/>
      <w:pPr>
        <w:ind w:left="3237" w:hanging="360"/>
      </w:pPr>
      <w:rPr>
        <w:rFonts w:ascii="Symbol" w:hAnsi="Symbol" w:hint="default"/>
      </w:rPr>
    </w:lvl>
    <w:lvl w:ilvl="4" w:tplc="04090003">
      <w:start w:val="1"/>
      <w:numFmt w:val="bullet"/>
      <w:lvlText w:val="o"/>
      <w:lvlJc w:val="left"/>
      <w:pPr>
        <w:ind w:left="3957" w:hanging="360"/>
      </w:pPr>
      <w:rPr>
        <w:rFonts w:ascii="Courier New" w:hAnsi="Courier New" w:cs="Courier New" w:hint="default"/>
      </w:rPr>
    </w:lvl>
    <w:lvl w:ilvl="5" w:tplc="04090005">
      <w:start w:val="1"/>
      <w:numFmt w:val="bullet"/>
      <w:lvlText w:val=""/>
      <w:lvlJc w:val="left"/>
      <w:pPr>
        <w:ind w:left="4677" w:hanging="360"/>
      </w:pPr>
      <w:rPr>
        <w:rFonts w:ascii="Wingdings" w:hAnsi="Wingdings" w:hint="default"/>
      </w:rPr>
    </w:lvl>
    <w:lvl w:ilvl="6" w:tplc="04090001">
      <w:start w:val="1"/>
      <w:numFmt w:val="bullet"/>
      <w:lvlText w:val=""/>
      <w:lvlJc w:val="left"/>
      <w:pPr>
        <w:ind w:left="5397" w:hanging="360"/>
      </w:pPr>
      <w:rPr>
        <w:rFonts w:ascii="Symbol" w:hAnsi="Symbol" w:hint="default"/>
      </w:rPr>
    </w:lvl>
    <w:lvl w:ilvl="7" w:tplc="04090003">
      <w:start w:val="1"/>
      <w:numFmt w:val="bullet"/>
      <w:lvlText w:val="o"/>
      <w:lvlJc w:val="left"/>
      <w:pPr>
        <w:ind w:left="6117" w:hanging="360"/>
      </w:pPr>
      <w:rPr>
        <w:rFonts w:ascii="Courier New" w:hAnsi="Courier New" w:cs="Courier New" w:hint="default"/>
      </w:rPr>
    </w:lvl>
    <w:lvl w:ilvl="8" w:tplc="04090005">
      <w:start w:val="1"/>
      <w:numFmt w:val="bullet"/>
      <w:lvlText w:val=""/>
      <w:lvlJc w:val="left"/>
      <w:pPr>
        <w:ind w:left="6837" w:hanging="360"/>
      </w:pPr>
      <w:rPr>
        <w:rFonts w:ascii="Wingdings" w:hAnsi="Wingdings" w:hint="default"/>
      </w:rPr>
    </w:lvl>
  </w:abstractNum>
  <w:abstractNum w:abstractNumId="10" w15:restartNumberingAfterBreak="0">
    <w:nsid w:val="4E321928"/>
    <w:multiLevelType w:val="hybridMultilevel"/>
    <w:tmpl w:val="7D3273FE"/>
    <w:lvl w:ilvl="0" w:tplc="04090005">
      <w:start w:val="1"/>
      <w:numFmt w:val="bullet"/>
      <w:lvlText w:val=""/>
      <w:lvlJc w:val="left"/>
      <w:pPr>
        <w:ind w:left="1797" w:hanging="360"/>
      </w:pPr>
      <w:rPr>
        <w:rFonts w:ascii="Wingdings" w:hAnsi="Wingdings" w:hint="default"/>
      </w:rPr>
    </w:lvl>
    <w:lvl w:ilvl="1" w:tplc="04090003">
      <w:start w:val="1"/>
      <w:numFmt w:val="bullet"/>
      <w:lvlText w:val="o"/>
      <w:lvlJc w:val="left"/>
      <w:pPr>
        <w:ind w:left="2517" w:hanging="360"/>
      </w:pPr>
      <w:rPr>
        <w:rFonts w:ascii="Courier New" w:hAnsi="Courier New" w:cs="Courier New" w:hint="default"/>
      </w:rPr>
    </w:lvl>
    <w:lvl w:ilvl="2" w:tplc="04090005">
      <w:start w:val="1"/>
      <w:numFmt w:val="bullet"/>
      <w:lvlText w:val=""/>
      <w:lvlJc w:val="left"/>
      <w:pPr>
        <w:ind w:left="3237" w:hanging="360"/>
      </w:pPr>
      <w:rPr>
        <w:rFonts w:ascii="Wingdings" w:hAnsi="Wingdings" w:hint="default"/>
      </w:rPr>
    </w:lvl>
    <w:lvl w:ilvl="3" w:tplc="04090001">
      <w:start w:val="1"/>
      <w:numFmt w:val="bullet"/>
      <w:lvlText w:val=""/>
      <w:lvlJc w:val="left"/>
      <w:pPr>
        <w:ind w:left="3957" w:hanging="360"/>
      </w:pPr>
      <w:rPr>
        <w:rFonts w:ascii="Symbol" w:hAnsi="Symbol" w:hint="default"/>
      </w:rPr>
    </w:lvl>
    <w:lvl w:ilvl="4" w:tplc="04090003">
      <w:start w:val="1"/>
      <w:numFmt w:val="bullet"/>
      <w:lvlText w:val="o"/>
      <w:lvlJc w:val="left"/>
      <w:pPr>
        <w:ind w:left="4677" w:hanging="360"/>
      </w:pPr>
      <w:rPr>
        <w:rFonts w:ascii="Courier New" w:hAnsi="Courier New" w:cs="Courier New" w:hint="default"/>
      </w:rPr>
    </w:lvl>
    <w:lvl w:ilvl="5" w:tplc="04090005">
      <w:start w:val="1"/>
      <w:numFmt w:val="bullet"/>
      <w:lvlText w:val=""/>
      <w:lvlJc w:val="left"/>
      <w:pPr>
        <w:ind w:left="5397" w:hanging="360"/>
      </w:pPr>
      <w:rPr>
        <w:rFonts w:ascii="Wingdings" w:hAnsi="Wingdings" w:hint="default"/>
      </w:rPr>
    </w:lvl>
    <w:lvl w:ilvl="6" w:tplc="04090001">
      <w:start w:val="1"/>
      <w:numFmt w:val="bullet"/>
      <w:lvlText w:val=""/>
      <w:lvlJc w:val="left"/>
      <w:pPr>
        <w:ind w:left="6117" w:hanging="360"/>
      </w:pPr>
      <w:rPr>
        <w:rFonts w:ascii="Symbol" w:hAnsi="Symbol" w:hint="default"/>
      </w:rPr>
    </w:lvl>
    <w:lvl w:ilvl="7" w:tplc="04090003">
      <w:start w:val="1"/>
      <w:numFmt w:val="bullet"/>
      <w:lvlText w:val="o"/>
      <w:lvlJc w:val="left"/>
      <w:pPr>
        <w:ind w:left="6837" w:hanging="360"/>
      </w:pPr>
      <w:rPr>
        <w:rFonts w:ascii="Courier New" w:hAnsi="Courier New" w:cs="Courier New" w:hint="default"/>
      </w:rPr>
    </w:lvl>
    <w:lvl w:ilvl="8" w:tplc="04090005">
      <w:start w:val="1"/>
      <w:numFmt w:val="bullet"/>
      <w:lvlText w:val=""/>
      <w:lvlJc w:val="left"/>
      <w:pPr>
        <w:ind w:left="7557" w:hanging="360"/>
      </w:pPr>
      <w:rPr>
        <w:rFonts w:ascii="Wingdings" w:hAnsi="Wingdings" w:hint="default"/>
      </w:rPr>
    </w:lvl>
  </w:abstractNum>
  <w:abstractNum w:abstractNumId="11" w15:restartNumberingAfterBreak="0">
    <w:nsid w:val="54592C15"/>
    <w:multiLevelType w:val="hybridMultilevel"/>
    <w:tmpl w:val="CC3CD6FE"/>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C003055"/>
    <w:multiLevelType w:val="hybridMultilevel"/>
    <w:tmpl w:val="DB8ACF72"/>
    <w:lvl w:ilvl="0" w:tplc="04090005">
      <w:start w:val="1"/>
      <w:numFmt w:val="bullet"/>
      <w:lvlText w:val=""/>
      <w:lvlJc w:val="left"/>
      <w:pPr>
        <w:ind w:left="720" w:hanging="360"/>
      </w:pPr>
      <w:rPr>
        <w:rFonts w:ascii="Wingdings" w:hAnsi="Wingdings" w:hint="default"/>
      </w:rPr>
    </w:lvl>
    <w:lvl w:ilvl="1" w:tplc="CE94C130">
      <w:start w:val="6"/>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AA75434"/>
    <w:multiLevelType w:val="hybridMultilevel"/>
    <w:tmpl w:val="1F682A8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F667808"/>
    <w:multiLevelType w:val="hybridMultilevel"/>
    <w:tmpl w:val="38E0640C"/>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4430566"/>
    <w:multiLevelType w:val="hybridMultilevel"/>
    <w:tmpl w:val="8BBC2DA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44B4078"/>
    <w:multiLevelType w:val="hybridMultilevel"/>
    <w:tmpl w:val="E1122C1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4B74E8F"/>
    <w:multiLevelType w:val="hybridMultilevel"/>
    <w:tmpl w:val="335221A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78869C2"/>
    <w:multiLevelType w:val="hybridMultilevel"/>
    <w:tmpl w:val="F64093A4"/>
    <w:lvl w:ilvl="0" w:tplc="04090005">
      <w:start w:val="1"/>
      <w:numFmt w:val="bullet"/>
      <w:lvlText w:val=""/>
      <w:lvlJc w:val="left"/>
      <w:pPr>
        <w:ind w:left="720" w:hanging="360"/>
      </w:pPr>
      <w:rPr>
        <w:rFonts w:ascii="Wingdings" w:hAnsi="Wingdings" w:hint="default"/>
      </w:rPr>
    </w:lvl>
    <w:lvl w:ilvl="1" w:tplc="8828E634">
      <w:start w:val="6"/>
      <w:numFmt w:val="bullet"/>
      <w:lvlText w:val="•"/>
      <w:lvlJc w:val="left"/>
      <w:pPr>
        <w:ind w:left="1440" w:hanging="360"/>
      </w:pPr>
      <w:rPr>
        <w:rFonts w:ascii="Calibri" w:eastAsiaTheme="minorHAnsi" w:hAnsi="Calibri" w:cs="Calibri"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7133008">
    <w:abstractNumId w:val="3"/>
  </w:num>
  <w:num w:numId="2" w16cid:durableId="646084306">
    <w:abstractNumId w:val="9"/>
  </w:num>
  <w:num w:numId="3" w16cid:durableId="1233663907">
    <w:abstractNumId w:val="10"/>
  </w:num>
  <w:num w:numId="4" w16cid:durableId="1851409443">
    <w:abstractNumId w:val="15"/>
  </w:num>
  <w:num w:numId="5" w16cid:durableId="709036105">
    <w:abstractNumId w:val="7"/>
  </w:num>
  <w:num w:numId="6" w16cid:durableId="1741562074">
    <w:abstractNumId w:val="18"/>
  </w:num>
  <w:num w:numId="7" w16cid:durableId="713964890">
    <w:abstractNumId w:val="6"/>
  </w:num>
  <w:num w:numId="8" w16cid:durableId="562104761">
    <w:abstractNumId w:val="12"/>
  </w:num>
  <w:num w:numId="9" w16cid:durableId="1351764425">
    <w:abstractNumId w:val="17"/>
  </w:num>
  <w:num w:numId="10" w16cid:durableId="747381488">
    <w:abstractNumId w:val="11"/>
  </w:num>
  <w:num w:numId="11" w16cid:durableId="626084340">
    <w:abstractNumId w:val="14"/>
  </w:num>
  <w:num w:numId="12" w16cid:durableId="2130195725">
    <w:abstractNumId w:val="16"/>
  </w:num>
  <w:num w:numId="13" w16cid:durableId="433283684">
    <w:abstractNumId w:val="5"/>
  </w:num>
  <w:num w:numId="14" w16cid:durableId="1485197598">
    <w:abstractNumId w:val="13"/>
  </w:num>
  <w:num w:numId="15" w16cid:durableId="959610330">
    <w:abstractNumId w:val="0"/>
  </w:num>
  <w:num w:numId="16" w16cid:durableId="813645728">
    <w:abstractNumId w:val="1"/>
  </w:num>
  <w:num w:numId="17" w16cid:durableId="1225488874">
    <w:abstractNumId w:val="2"/>
  </w:num>
  <w:num w:numId="18" w16cid:durableId="1678459844">
    <w:abstractNumId w:val="8"/>
  </w:num>
  <w:num w:numId="19" w16cid:durableId="1958636827">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Grammatical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zMTS2sDAxNzYwM7RU0lEKTi0uzszPAymwrAUAebTbxCwAAAA="/>
  </w:docVars>
  <w:rsids>
    <w:rsidRoot w:val="00570694"/>
    <w:rsid w:val="00000738"/>
    <w:rsid w:val="000024E4"/>
    <w:rsid w:val="00005A98"/>
    <w:rsid w:val="00005B4B"/>
    <w:rsid w:val="000070D4"/>
    <w:rsid w:val="00007166"/>
    <w:rsid w:val="00007450"/>
    <w:rsid w:val="00007DCD"/>
    <w:rsid w:val="00010104"/>
    <w:rsid w:val="0001031F"/>
    <w:rsid w:val="0001068B"/>
    <w:rsid w:val="00010C73"/>
    <w:rsid w:val="00011441"/>
    <w:rsid w:val="00011F40"/>
    <w:rsid w:val="00012A00"/>
    <w:rsid w:val="000137D6"/>
    <w:rsid w:val="0001436A"/>
    <w:rsid w:val="0001456F"/>
    <w:rsid w:val="000146BD"/>
    <w:rsid w:val="0001479F"/>
    <w:rsid w:val="00014BF7"/>
    <w:rsid w:val="0001518F"/>
    <w:rsid w:val="00015481"/>
    <w:rsid w:val="00015AF3"/>
    <w:rsid w:val="00016599"/>
    <w:rsid w:val="000176BA"/>
    <w:rsid w:val="00017CE7"/>
    <w:rsid w:val="00017FEA"/>
    <w:rsid w:val="00020F32"/>
    <w:rsid w:val="0002394D"/>
    <w:rsid w:val="00023CAD"/>
    <w:rsid w:val="00024B73"/>
    <w:rsid w:val="00024C9A"/>
    <w:rsid w:val="00025419"/>
    <w:rsid w:val="00025B30"/>
    <w:rsid w:val="00025DEA"/>
    <w:rsid w:val="00026799"/>
    <w:rsid w:val="00030428"/>
    <w:rsid w:val="00030ED7"/>
    <w:rsid w:val="00030F56"/>
    <w:rsid w:val="00031215"/>
    <w:rsid w:val="000312CC"/>
    <w:rsid w:val="0003151D"/>
    <w:rsid w:val="0003267D"/>
    <w:rsid w:val="00032ABE"/>
    <w:rsid w:val="00033236"/>
    <w:rsid w:val="0003520F"/>
    <w:rsid w:val="00035397"/>
    <w:rsid w:val="00036174"/>
    <w:rsid w:val="000373BC"/>
    <w:rsid w:val="000378CD"/>
    <w:rsid w:val="00040A56"/>
    <w:rsid w:val="00040D82"/>
    <w:rsid w:val="00040FBC"/>
    <w:rsid w:val="0004265A"/>
    <w:rsid w:val="00043D88"/>
    <w:rsid w:val="0004446C"/>
    <w:rsid w:val="00044F53"/>
    <w:rsid w:val="0004786A"/>
    <w:rsid w:val="00047F55"/>
    <w:rsid w:val="00050D40"/>
    <w:rsid w:val="00050E4C"/>
    <w:rsid w:val="00051446"/>
    <w:rsid w:val="00051E16"/>
    <w:rsid w:val="000520C7"/>
    <w:rsid w:val="0005265C"/>
    <w:rsid w:val="000526AB"/>
    <w:rsid w:val="00052880"/>
    <w:rsid w:val="00053791"/>
    <w:rsid w:val="00053E30"/>
    <w:rsid w:val="00053E87"/>
    <w:rsid w:val="00054089"/>
    <w:rsid w:val="000544FF"/>
    <w:rsid w:val="00054623"/>
    <w:rsid w:val="00054A7A"/>
    <w:rsid w:val="00055075"/>
    <w:rsid w:val="000554B1"/>
    <w:rsid w:val="00055FE2"/>
    <w:rsid w:val="00057424"/>
    <w:rsid w:val="000579BB"/>
    <w:rsid w:val="00061EA4"/>
    <w:rsid w:val="000623F6"/>
    <w:rsid w:val="000628F2"/>
    <w:rsid w:val="00063949"/>
    <w:rsid w:val="00063E59"/>
    <w:rsid w:val="0006488B"/>
    <w:rsid w:val="0006524C"/>
    <w:rsid w:val="000662DC"/>
    <w:rsid w:val="000676C7"/>
    <w:rsid w:val="00067B90"/>
    <w:rsid w:val="000718C2"/>
    <w:rsid w:val="000727B2"/>
    <w:rsid w:val="00073179"/>
    <w:rsid w:val="00073336"/>
    <w:rsid w:val="000766DD"/>
    <w:rsid w:val="00076EF0"/>
    <w:rsid w:val="000771A0"/>
    <w:rsid w:val="000771A3"/>
    <w:rsid w:val="00077230"/>
    <w:rsid w:val="00077663"/>
    <w:rsid w:val="00077711"/>
    <w:rsid w:val="00080CB4"/>
    <w:rsid w:val="000810C0"/>
    <w:rsid w:val="000814C2"/>
    <w:rsid w:val="00081C1E"/>
    <w:rsid w:val="00082B03"/>
    <w:rsid w:val="000836F4"/>
    <w:rsid w:val="00084E65"/>
    <w:rsid w:val="00085D4A"/>
    <w:rsid w:val="00085ECE"/>
    <w:rsid w:val="00086B41"/>
    <w:rsid w:val="0008731A"/>
    <w:rsid w:val="00087CD9"/>
    <w:rsid w:val="00091211"/>
    <w:rsid w:val="000919A1"/>
    <w:rsid w:val="00092123"/>
    <w:rsid w:val="00092CEE"/>
    <w:rsid w:val="000931AB"/>
    <w:rsid w:val="00094ACF"/>
    <w:rsid w:val="00095B36"/>
    <w:rsid w:val="00095C15"/>
    <w:rsid w:val="000964C9"/>
    <w:rsid w:val="000966AF"/>
    <w:rsid w:val="000A00D2"/>
    <w:rsid w:val="000A066D"/>
    <w:rsid w:val="000A125C"/>
    <w:rsid w:val="000A357F"/>
    <w:rsid w:val="000A3AAB"/>
    <w:rsid w:val="000A3BA4"/>
    <w:rsid w:val="000A3DA9"/>
    <w:rsid w:val="000A46FE"/>
    <w:rsid w:val="000A55CF"/>
    <w:rsid w:val="000A5C49"/>
    <w:rsid w:val="000A72D6"/>
    <w:rsid w:val="000A772F"/>
    <w:rsid w:val="000A7AA9"/>
    <w:rsid w:val="000A7CCE"/>
    <w:rsid w:val="000B062E"/>
    <w:rsid w:val="000B24C5"/>
    <w:rsid w:val="000B282B"/>
    <w:rsid w:val="000B2BAB"/>
    <w:rsid w:val="000B3520"/>
    <w:rsid w:val="000B3E5D"/>
    <w:rsid w:val="000B43F5"/>
    <w:rsid w:val="000B44BA"/>
    <w:rsid w:val="000B4B0D"/>
    <w:rsid w:val="000B4B5F"/>
    <w:rsid w:val="000B6D0C"/>
    <w:rsid w:val="000C08A1"/>
    <w:rsid w:val="000C20F5"/>
    <w:rsid w:val="000C255B"/>
    <w:rsid w:val="000C2568"/>
    <w:rsid w:val="000C433F"/>
    <w:rsid w:val="000C4E9D"/>
    <w:rsid w:val="000C5A76"/>
    <w:rsid w:val="000C7AEF"/>
    <w:rsid w:val="000C7D6F"/>
    <w:rsid w:val="000D0A45"/>
    <w:rsid w:val="000D1073"/>
    <w:rsid w:val="000D2FC6"/>
    <w:rsid w:val="000D3521"/>
    <w:rsid w:val="000D35C5"/>
    <w:rsid w:val="000D3B88"/>
    <w:rsid w:val="000D408C"/>
    <w:rsid w:val="000D477E"/>
    <w:rsid w:val="000D5A02"/>
    <w:rsid w:val="000D63DF"/>
    <w:rsid w:val="000D6511"/>
    <w:rsid w:val="000D6FF5"/>
    <w:rsid w:val="000E05E0"/>
    <w:rsid w:val="000E16CE"/>
    <w:rsid w:val="000E1901"/>
    <w:rsid w:val="000E1A99"/>
    <w:rsid w:val="000E1F38"/>
    <w:rsid w:val="000E2AEF"/>
    <w:rsid w:val="000E2C4E"/>
    <w:rsid w:val="000E3344"/>
    <w:rsid w:val="000E343C"/>
    <w:rsid w:val="000E3594"/>
    <w:rsid w:val="000E376B"/>
    <w:rsid w:val="000E4558"/>
    <w:rsid w:val="000E5961"/>
    <w:rsid w:val="000E608D"/>
    <w:rsid w:val="000E61F4"/>
    <w:rsid w:val="000E651E"/>
    <w:rsid w:val="000E692C"/>
    <w:rsid w:val="000E72F0"/>
    <w:rsid w:val="000E7385"/>
    <w:rsid w:val="000F0F1A"/>
    <w:rsid w:val="000F1CF3"/>
    <w:rsid w:val="000F1EB4"/>
    <w:rsid w:val="000F33F8"/>
    <w:rsid w:val="000F3E46"/>
    <w:rsid w:val="000F435F"/>
    <w:rsid w:val="000F4BFA"/>
    <w:rsid w:val="000F4E58"/>
    <w:rsid w:val="000F4F17"/>
    <w:rsid w:val="000F58B5"/>
    <w:rsid w:val="000F6048"/>
    <w:rsid w:val="00100B11"/>
    <w:rsid w:val="00101649"/>
    <w:rsid w:val="0010507B"/>
    <w:rsid w:val="00105FA7"/>
    <w:rsid w:val="00107CFA"/>
    <w:rsid w:val="00107E08"/>
    <w:rsid w:val="00110235"/>
    <w:rsid w:val="00111810"/>
    <w:rsid w:val="00111833"/>
    <w:rsid w:val="00111DAF"/>
    <w:rsid w:val="0011303A"/>
    <w:rsid w:val="00113079"/>
    <w:rsid w:val="00114519"/>
    <w:rsid w:val="0011480F"/>
    <w:rsid w:val="001152C5"/>
    <w:rsid w:val="00116920"/>
    <w:rsid w:val="00117192"/>
    <w:rsid w:val="00117933"/>
    <w:rsid w:val="001200FD"/>
    <w:rsid w:val="00120DA0"/>
    <w:rsid w:val="00122265"/>
    <w:rsid w:val="0012307B"/>
    <w:rsid w:val="00123E26"/>
    <w:rsid w:val="001259A9"/>
    <w:rsid w:val="001275CF"/>
    <w:rsid w:val="0012767A"/>
    <w:rsid w:val="00127B1A"/>
    <w:rsid w:val="001315A6"/>
    <w:rsid w:val="00131C9F"/>
    <w:rsid w:val="00132FA9"/>
    <w:rsid w:val="00133AB2"/>
    <w:rsid w:val="00133CD9"/>
    <w:rsid w:val="00133D9B"/>
    <w:rsid w:val="001359FB"/>
    <w:rsid w:val="00135A8B"/>
    <w:rsid w:val="00135AAB"/>
    <w:rsid w:val="001367C0"/>
    <w:rsid w:val="00137CAB"/>
    <w:rsid w:val="00140BC2"/>
    <w:rsid w:val="00140BCF"/>
    <w:rsid w:val="00140F69"/>
    <w:rsid w:val="00141A18"/>
    <w:rsid w:val="00142BB2"/>
    <w:rsid w:val="0014307F"/>
    <w:rsid w:val="001441C8"/>
    <w:rsid w:val="00144472"/>
    <w:rsid w:val="001444DA"/>
    <w:rsid w:val="00144545"/>
    <w:rsid w:val="00144917"/>
    <w:rsid w:val="00144C44"/>
    <w:rsid w:val="0014561B"/>
    <w:rsid w:val="00146101"/>
    <w:rsid w:val="00146506"/>
    <w:rsid w:val="00146813"/>
    <w:rsid w:val="00146DDA"/>
    <w:rsid w:val="001476C8"/>
    <w:rsid w:val="00147925"/>
    <w:rsid w:val="00147C55"/>
    <w:rsid w:val="0015014A"/>
    <w:rsid w:val="00150351"/>
    <w:rsid w:val="00150B26"/>
    <w:rsid w:val="00151DA1"/>
    <w:rsid w:val="001527EE"/>
    <w:rsid w:val="0015290B"/>
    <w:rsid w:val="00152FE9"/>
    <w:rsid w:val="00153636"/>
    <w:rsid w:val="0015484A"/>
    <w:rsid w:val="00154CBB"/>
    <w:rsid w:val="00155570"/>
    <w:rsid w:val="0015584E"/>
    <w:rsid w:val="00156088"/>
    <w:rsid w:val="00156BFA"/>
    <w:rsid w:val="001604B9"/>
    <w:rsid w:val="00161001"/>
    <w:rsid w:val="00162A08"/>
    <w:rsid w:val="00163ABC"/>
    <w:rsid w:val="00164283"/>
    <w:rsid w:val="0016494D"/>
    <w:rsid w:val="001654B4"/>
    <w:rsid w:val="001658DB"/>
    <w:rsid w:val="00166017"/>
    <w:rsid w:val="00166653"/>
    <w:rsid w:val="0017035F"/>
    <w:rsid w:val="0017154C"/>
    <w:rsid w:val="00171E52"/>
    <w:rsid w:val="00172947"/>
    <w:rsid w:val="00173BBB"/>
    <w:rsid w:val="00173CF3"/>
    <w:rsid w:val="001748A7"/>
    <w:rsid w:val="00174D34"/>
    <w:rsid w:val="00175A72"/>
    <w:rsid w:val="00175A7F"/>
    <w:rsid w:val="00176249"/>
    <w:rsid w:val="00176F75"/>
    <w:rsid w:val="001773CD"/>
    <w:rsid w:val="00180DF6"/>
    <w:rsid w:val="00182173"/>
    <w:rsid w:val="001829CE"/>
    <w:rsid w:val="00182A86"/>
    <w:rsid w:val="00183A2A"/>
    <w:rsid w:val="00183C60"/>
    <w:rsid w:val="00184007"/>
    <w:rsid w:val="00187838"/>
    <w:rsid w:val="001901A5"/>
    <w:rsid w:val="001901FC"/>
    <w:rsid w:val="00190616"/>
    <w:rsid w:val="00190661"/>
    <w:rsid w:val="0019112F"/>
    <w:rsid w:val="00191645"/>
    <w:rsid w:val="001940DA"/>
    <w:rsid w:val="00195054"/>
    <w:rsid w:val="00195D34"/>
    <w:rsid w:val="00195EED"/>
    <w:rsid w:val="0019659D"/>
    <w:rsid w:val="00196FF3"/>
    <w:rsid w:val="00197D5B"/>
    <w:rsid w:val="001A0255"/>
    <w:rsid w:val="001A0449"/>
    <w:rsid w:val="001A06AE"/>
    <w:rsid w:val="001A108B"/>
    <w:rsid w:val="001A1B3E"/>
    <w:rsid w:val="001A25EA"/>
    <w:rsid w:val="001A2C4E"/>
    <w:rsid w:val="001A342B"/>
    <w:rsid w:val="001A35AD"/>
    <w:rsid w:val="001A4391"/>
    <w:rsid w:val="001A57BB"/>
    <w:rsid w:val="001A5AF4"/>
    <w:rsid w:val="001A681C"/>
    <w:rsid w:val="001A7C3B"/>
    <w:rsid w:val="001B0D1E"/>
    <w:rsid w:val="001B0E94"/>
    <w:rsid w:val="001B200E"/>
    <w:rsid w:val="001B2B9F"/>
    <w:rsid w:val="001B3294"/>
    <w:rsid w:val="001B39B1"/>
    <w:rsid w:val="001B3F5A"/>
    <w:rsid w:val="001B4899"/>
    <w:rsid w:val="001B5A30"/>
    <w:rsid w:val="001B5D92"/>
    <w:rsid w:val="001B6CF0"/>
    <w:rsid w:val="001B7B6D"/>
    <w:rsid w:val="001C31E8"/>
    <w:rsid w:val="001C37C3"/>
    <w:rsid w:val="001C3EB8"/>
    <w:rsid w:val="001C5986"/>
    <w:rsid w:val="001C5C26"/>
    <w:rsid w:val="001C5E46"/>
    <w:rsid w:val="001C624A"/>
    <w:rsid w:val="001C6D5F"/>
    <w:rsid w:val="001C7486"/>
    <w:rsid w:val="001C7944"/>
    <w:rsid w:val="001D109A"/>
    <w:rsid w:val="001D12AA"/>
    <w:rsid w:val="001D190D"/>
    <w:rsid w:val="001D1BC3"/>
    <w:rsid w:val="001D254C"/>
    <w:rsid w:val="001D2764"/>
    <w:rsid w:val="001D3241"/>
    <w:rsid w:val="001D3262"/>
    <w:rsid w:val="001D3316"/>
    <w:rsid w:val="001D3601"/>
    <w:rsid w:val="001D3A04"/>
    <w:rsid w:val="001D528E"/>
    <w:rsid w:val="001D52A6"/>
    <w:rsid w:val="001D530B"/>
    <w:rsid w:val="001D5B47"/>
    <w:rsid w:val="001D5B59"/>
    <w:rsid w:val="001D6584"/>
    <w:rsid w:val="001D6890"/>
    <w:rsid w:val="001D6BAB"/>
    <w:rsid w:val="001D6C6B"/>
    <w:rsid w:val="001D7587"/>
    <w:rsid w:val="001E0313"/>
    <w:rsid w:val="001E1EFD"/>
    <w:rsid w:val="001E3C08"/>
    <w:rsid w:val="001E43C2"/>
    <w:rsid w:val="001E499B"/>
    <w:rsid w:val="001E5B42"/>
    <w:rsid w:val="001E677A"/>
    <w:rsid w:val="001E71AB"/>
    <w:rsid w:val="001F0A52"/>
    <w:rsid w:val="001F1F84"/>
    <w:rsid w:val="001F4750"/>
    <w:rsid w:val="001F4A1C"/>
    <w:rsid w:val="001F4FBB"/>
    <w:rsid w:val="001F52FB"/>
    <w:rsid w:val="001F5CF6"/>
    <w:rsid w:val="001F5D30"/>
    <w:rsid w:val="001F6AEA"/>
    <w:rsid w:val="001F72DE"/>
    <w:rsid w:val="001F796C"/>
    <w:rsid w:val="00200346"/>
    <w:rsid w:val="00201099"/>
    <w:rsid w:val="00201586"/>
    <w:rsid w:val="0020165D"/>
    <w:rsid w:val="002016D9"/>
    <w:rsid w:val="00201771"/>
    <w:rsid w:val="002027E9"/>
    <w:rsid w:val="00202B84"/>
    <w:rsid w:val="00203391"/>
    <w:rsid w:val="0020373B"/>
    <w:rsid w:val="002048DF"/>
    <w:rsid w:val="00204F22"/>
    <w:rsid w:val="00205098"/>
    <w:rsid w:val="00205636"/>
    <w:rsid w:val="00206FBA"/>
    <w:rsid w:val="0020757D"/>
    <w:rsid w:val="0020784A"/>
    <w:rsid w:val="0021016A"/>
    <w:rsid w:val="00213C53"/>
    <w:rsid w:val="00214CFC"/>
    <w:rsid w:val="002152C6"/>
    <w:rsid w:val="0021538A"/>
    <w:rsid w:val="002165A3"/>
    <w:rsid w:val="002166F8"/>
    <w:rsid w:val="00220291"/>
    <w:rsid w:val="00220B7B"/>
    <w:rsid w:val="00222C42"/>
    <w:rsid w:val="00222C68"/>
    <w:rsid w:val="00223E15"/>
    <w:rsid w:val="00224E76"/>
    <w:rsid w:val="0022573C"/>
    <w:rsid w:val="00225A4E"/>
    <w:rsid w:val="0022630A"/>
    <w:rsid w:val="0022672A"/>
    <w:rsid w:val="00227CB2"/>
    <w:rsid w:val="0023004A"/>
    <w:rsid w:val="00230F86"/>
    <w:rsid w:val="00231623"/>
    <w:rsid w:val="00231D59"/>
    <w:rsid w:val="0023268B"/>
    <w:rsid w:val="00232965"/>
    <w:rsid w:val="00233E12"/>
    <w:rsid w:val="00234D55"/>
    <w:rsid w:val="00236619"/>
    <w:rsid w:val="0023793B"/>
    <w:rsid w:val="0024018B"/>
    <w:rsid w:val="00240195"/>
    <w:rsid w:val="002406BD"/>
    <w:rsid w:val="002408F9"/>
    <w:rsid w:val="00240E2E"/>
    <w:rsid w:val="00242481"/>
    <w:rsid w:val="00242716"/>
    <w:rsid w:val="00242C1B"/>
    <w:rsid w:val="0024388A"/>
    <w:rsid w:val="00244274"/>
    <w:rsid w:val="002478B5"/>
    <w:rsid w:val="00250469"/>
    <w:rsid w:val="002514DB"/>
    <w:rsid w:val="0025163B"/>
    <w:rsid w:val="00252092"/>
    <w:rsid w:val="002520BF"/>
    <w:rsid w:val="002520F2"/>
    <w:rsid w:val="00253BCE"/>
    <w:rsid w:val="00253CF6"/>
    <w:rsid w:val="00254447"/>
    <w:rsid w:val="002545C4"/>
    <w:rsid w:val="002556EE"/>
    <w:rsid w:val="00255D7F"/>
    <w:rsid w:val="002567C7"/>
    <w:rsid w:val="00256C5B"/>
    <w:rsid w:val="00260796"/>
    <w:rsid w:val="002607ED"/>
    <w:rsid w:val="002608D1"/>
    <w:rsid w:val="00260C97"/>
    <w:rsid w:val="00261423"/>
    <w:rsid w:val="0026168D"/>
    <w:rsid w:val="0026272F"/>
    <w:rsid w:val="002646A6"/>
    <w:rsid w:val="00264858"/>
    <w:rsid w:val="002648C4"/>
    <w:rsid w:val="00265394"/>
    <w:rsid w:val="002654A4"/>
    <w:rsid w:val="00266355"/>
    <w:rsid w:val="00270566"/>
    <w:rsid w:val="00273106"/>
    <w:rsid w:val="00273E35"/>
    <w:rsid w:val="0027402D"/>
    <w:rsid w:val="002745EB"/>
    <w:rsid w:val="002754E6"/>
    <w:rsid w:val="00276744"/>
    <w:rsid w:val="00276FCA"/>
    <w:rsid w:val="00277E7D"/>
    <w:rsid w:val="00277F83"/>
    <w:rsid w:val="00280B97"/>
    <w:rsid w:val="00282BAA"/>
    <w:rsid w:val="00285087"/>
    <w:rsid w:val="00285491"/>
    <w:rsid w:val="00285CFC"/>
    <w:rsid w:val="00285E24"/>
    <w:rsid w:val="002864D9"/>
    <w:rsid w:val="00287721"/>
    <w:rsid w:val="0029105C"/>
    <w:rsid w:val="00291A64"/>
    <w:rsid w:val="00291CA6"/>
    <w:rsid w:val="00291ED0"/>
    <w:rsid w:val="00292465"/>
    <w:rsid w:val="00292A4F"/>
    <w:rsid w:val="002931F2"/>
    <w:rsid w:val="00293770"/>
    <w:rsid w:val="002944BB"/>
    <w:rsid w:val="00297111"/>
    <w:rsid w:val="002976D7"/>
    <w:rsid w:val="002A0D22"/>
    <w:rsid w:val="002A11EE"/>
    <w:rsid w:val="002A2849"/>
    <w:rsid w:val="002A3DF9"/>
    <w:rsid w:val="002A4AC6"/>
    <w:rsid w:val="002A5107"/>
    <w:rsid w:val="002A5D8B"/>
    <w:rsid w:val="002A65F6"/>
    <w:rsid w:val="002A7D0E"/>
    <w:rsid w:val="002B0A7B"/>
    <w:rsid w:val="002B0A81"/>
    <w:rsid w:val="002B0D7A"/>
    <w:rsid w:val="002B161B"/>
    <w:rsid w:val="002B1810"/>
    <w:rsid w:val="002B1A52"/>
    <w:rsid w:val="002B26DE"/>
    <w:rsid w:val="002B373F"/>
    <w:rsid w:val="002B3B09"/>
    <w:rsid w:val="002B46CB"/>
    <w:rsid w:val="002B60EF"/>
    <w:rsid w:val="002B644D"/>
    <w:rsid w:val="002B7144"/>
    <w:rsid w:val="002C0021"/>
    <w:rsid w:val="002C13B8"/>
    <w:rsid w:val="002C1D90"/>
    <w:rsid w:val="002C1FBC"/>
    <w:rsid w:val="002C216B"/>
    <w:rsid w:val="002C3192"/>
    <w:rsid w:val="002C3568"/>
    <w:rsid w:val="002C4A5E"/>
    <w:rsid w:val="002C4D04"/>
    <w:rsid w:val="002C5CC6"/>
    <w:rsid w:val="002C675F"/>
    <w:rsid w:val="002D0316"/>
    <w:rsid w:val="002D0A04"/>
    <w:rsid w:val="002D0E7B"/>
    <w:rsid w:val="002D11E6"/>
    <w:rsid w:val="002D1432"/>
    <w:rsid w:val="002D29FF"/>
    <w:rsid w:val="002D37F1"/>
    <w:rsid w:val="002D5C73"/>
    <w:rsid w:val="002D6257"/>
    <w:rsid w:val="002D6307"/>
    <w:rsid w:val="002D65A5"/>
    <w:rsid w:val="002D7900"/>
    <w:rsid w:val="002D7C40"/>
    <w:rsid w:val="002E1402"/>
    <w:rsid w:val="002E15A1"/>
    <w:rsid w:val="002E1612"/>
    <w:rsid w:val="002E197B"/>
    <w:rsid w:val="002E320D"/>
    <w:rsid w:val="002E3A44"/>
    <w:rsid w:val="002E4487"/>
    <w:rsid w:val="002E4662"/>
    <w:rsid w:val="002E4759"/>
    <w:rsid w:val="002E47F1"/>
    <w:rsid w:val="002E4A8C"/>
    <w:rsid w:val="002E4BCE"/>
    <w:rsid w:val="002E51AD"/>
    <w:rsid w:val="002E527B"/>
    <w:rsid w:val="002E52CA"/>
    <w:rsid w:val="002E58F2"/>
    <w:rsid w:val="002E5BAB"/>
    <w:rsid w:val="002E61D1"/>
    <w:rsid w:val="002E6657"/>
    <w:rsid w:val="002E6AEF"/>
    <w:rsid w:val="002E6BDA"/>
    <w:rsid w:val="002E6EF0"/>
    <w:rsid w:val="002E7C10"/>
    <w:rsid w:val="002E7E1E"/>
    <w:rsid w:val="002F02EE"/>
    <w:rsid w:val="002F0472"/>
    <w:rsid w:val="002F2261"/>
    <w:rsid w:val="002F2D0F"/>
    <w:rsid w:val="002F3901"/>
    <w:rsid w:val="002F3CE6"/>
    <w:rsid w:val="002F42FE"/>
    <w:rsid w:val="002F451B"/>
    <w:rsid w:val="002F558D"/>
    <w:rsid w:val="002F5833"/>
    <w:rsid w:val="002F5CFE"/>
    <w:rsid w:val="002F6B52"/>
    <w:rsid w:val="002F7235"/>
    <w:rsid w:val="002F7460"/>
    <w:rsid w:val="00300901"/>
    <w:rsid w:val="00302ADE"/>
    <w:rsid w:val="00302B46"/>
    <w:rsid w:val="00302E90"/>
    <w:rsid w:val="00303B83"/>
    <w:rsid w:val="00303C2E"/>
    <w:rsid w:val="00303D95"/>
    <w:rsid w:val="00304ECA"/>
    <w:rsid w:val="003050C6"/>
    <w:rsid w:val="00305241"/>
    <w:rsid w:val="003058D5"/>
    <w:rsid w:val="00306BE8"/>
    <w:rsid w:val="00307F73"/>
    <w:rsid w:val="00310B9F"/>
    <w:rsid w:val="00311ADB"/>
    <w:rsid w:val="00312646"/>
    <w:rsid w:val="003126F7"/>
    <w:rsid w:val="003128B5"/>
    <w:rsid w:val="00313A94"/>
    <w:rsid w:val="00314629"/>
    <w:rsid w:val="00314A83"/>
    <w:rsid w:val="00315856"/>
    <w:rsid w:val="00315D1D"/>
    <w:rsid w:val="00316892"/>
    <w:rsid w:val="00316FEE"/>
    <w:rsid w:val="003170C0"/>
    <w:rsid w:val="003171D3"/>
    <w:rsid w:val="003207C4"/>
    <w:rsid w:val="00320855"/>
    <w:rsid w:val="003213AE"/>
    <w:rsid w:val="003214DF"/>
    <w:rsid w:val="00321BDF"/>
    <w:rsid w:val="00323A26"/>
    <w:rsid w:val="00324DF0"/>
    <w:rsid w:val="00324EBE"/>
    <w:rsid w:val="00326508"/>
    <w:rsid w:val="00326551"/>
    <w:rsid w:val="00327FC8"/>
    <w:rsid w:val="00330B52"/>
    <w:rsid w:val="003313B5"/>
    <w:rsid w:val="00331854"/>
    <w:rsid w:val="00332E3E"/>
    <w:rsid w:val="0033359D"/>
    <w:rsid w:val="00333942"/>
    <w:rsid w:val="00333B2E"/>
    <w:rsid w:val="00334D0A"/>
    <w:rsid w:val="00335B68"/>
    <w:rsid w:val="00336934"/>
    <w:rsid w:val="00337862"/>
    <w:rsid w:val="00341069"/>
    <w:rsid w:val="00341D14"/>
    <w:rsid w:val="00342910"/>
    <w:rsid w:val="00342D1C"/>
    <w:rsid w:val="00343872"/>
    <w:rsid w:val="003438A0"/>
    <w:rsid w:val="00343A94"/>
    <w:rsid w:val="00344AF8"/>
    <w:rsid w:val="00345423"/>
    <w:rsid w:val="00346311"/>
    <w:rsid w:val="00346D2C"/>
    <w:rsid w:val="003472D1"/>
    <w:rsid w:val="00350002"/>
    <w:rsid w:val="00350B37"/>
    <w:rsid w:val="0035103D"/>
    <w:rsid w:val="00351636"/>
    <w:rsid w:val="003524B2"/>
    <w:rsid w:val="003528CF"/>
    <w:rsid w:val="00352961"/>
    <w:rsid w:val="00353092"/>
    <w:rsid w:val="00354453"/>
    <w:rsid w:val="00354DC3"/>
    <w:rsid w:val="00356647"/>
    <w:rsid w:val="003567E9"/>
    <w:rsid w:val="00357050"/>
    <w:rsid w:val="00357300"/>
    <w:rsid w:val="003609A6"/>
    <w:rsid w:val="00361C29"/>
    <w:rsid w:val="00361F64"/>
    <w:rsid w:val="0036237E"/>
    <w:rsid w:val="00362E17"/>
    <w:rsid w:val="00363ACB"/>
    <w:rsid w:val="00363C14"/>
    <w:rsid w:val="00363FDA"/>
    <w:rsid w:val="00363FE4"/>
    <w:rsid w:val="00365A06"/>
    <w:rsid w:val="00365A0C"/>
    <w:rsid w:val="00367B4C"/>
    <w:rsid w:val="00370F51"/>
    <w:rsid w:val="00371E4D"/>
    <w:rsid w:val="00372639"/>
    <w:rsid w:val="0037429D"/>
    <w:rsid w:val="00374B60"/>
    <w:rsid w:val="003755DE"/>
    <w:rsid w:val="0037637C"/>
    <w:rsid w:val="003763EB"/>
    <w:rsid w:val="00376D86"/>
    <w:rsid w:val="00377BFC"/>
    <w:rsid w:val="003811C4"/>
    <w:rsid w:val="003825BA"/>
    <w:rsid w:val="0038330F"/>
    <w:rsid w:val="003848B5"/>
    <w:rsid w:val="00384EC9"/>
    <w:rsid w:val="003851DF"/>
    <w:rsid w:val="0038706A"/>
    <w:rsid w:val="003875C2"/>
    <w:rsid w:val="003901E7"/>
    <w:rsid w:val="0039057A"/>
    <w:rsid w:val="003906A5"/>
    <w:rsid w:val="0039113B"/>
    <w:rsid w:val="0039118D"/>
    <w:rsid w:val="0039350E"/>
    <w:rsid w:val="00393534"/>
    <w:rsid w:val="00395E09"/>
    <w:rsid w:val="00395F56"/>
    <w:rsid w:val="0039693A"/>
    <w:rsid w:val="00397D63"/>
    <w:rsid w:val="003A1553"/>
    <w:rsid w:val="003A1B75"/>
    <w:rsid w:val="003A3457"/>
    <w:rsid w:val="003A3F4B"/>
    <w:rsid w:val="003A3F7F"/>
    <w:rsid w:val="003A4087"/>
    <w:rsid w:val="003A4382"/>
    <w:rsid w:val="003A4697"/>
    <w:rsid w:val="003A4F0F"/>
    <w:rsid w:val="003A4FB0"/>
    <w:rsid w:val="003A5A50"/>
    <w:rsid w:val="003A5BB2"/>
    <w:rsid w:val="003A75B2"/>
    <w:rsid w:val="003B0D50"/>
    <w:rsid w:val="003B0E3D"/>
    <w:rsid w:val="003B1963"/>
    <w:rsid w:val="003B2341"/>
    <w:rsid w:val="003B31C0"/>
    <w:rsid w:val="003B33D2"/>
    <w:rsid w:val="003B3426"/>
    <w:rsid w:val="003B3DC1"/>
    <w:rsid w:val="003B46C2"/>
    <w:rsid w:val="003B4A2C"/>
    <w:rsid w:val="003B4C3D"/>
    <w:rsid w:val="003B6075"/>
    <w:rsid w:val="003B7D18"/>
    <w:rsid w:val="003C0D09"/>
    <w:rsid w:val="003C1760"/>
    <w:rsid w:val="003C1E44"/>
    <w:rsid w:val="003C2754"/>
    <w:rsid w:val="003C325A"/>
    <w:rsid w:val="003C3685"/>
    <w:rsid w:val="003C6192"/>
    <w:rsid w:val="003C66D7"/>
    <w:rsid w:val="003C6B14"/>
    <w:rsid w:val="003C7D26"/>
    <w:rsid w:val="003D0615"/>
    <w:rsid w:val="003D0AB3"/>
    <w:rsid w:val="003D2059"/>
    <w:rsid w:val="003D21F5"/>
    <w:rsid w:val="003D2901"/>
    <w:rsid w:val="003D3667"/>
    <w:rsid w:val="003D388E"/>
    <w:rsid w:val="003D402A"/>
    <w:rsid w:val="003D4203"/>
    <w:rsid w:val="003D6556"/>
    <w:rsid w:val="003D6EFD"/>
    <w:rsid w:val="003D7413"/>
    <w:rsid w:val="003E09E6"/>
    <w:rsid w:val="003E10D3"/>
    <w:rsid w:val="003E166B"/>
    <w:rsid w:val="003E2525"/>
    <w:rsid w:val="003E2BAE"/>
    <w:rsid w:val="003E2EFC"/>
    <w:rsid w:val="003E5626"/>
    <w:rsid w:val="003E7579"/>
    <w:rsid w:val="003E7703"/>
    <w:rsid w:val="003F04D6"/>
    <w:rsid w:val="003F128E"/>
    <w:rsid w:val="003F1AC5"/>
    <w:rsid w:val="003F1D6A"/>
    <w:rsid w:val="003F1F8C"/>
    <w:rsid w:val="003F2C39"/>
    <w:rsid w:val="003F3BF5"/>
    <w:rsid w:val="003F3C4D"/>
    <w:rsid w:val="003F3CA3"/>
    <w:rsid w:val="003F4E09"/>
    <w:rsid w:val="003F5542"/>
    <w:rsid w:val="003F5F46"/>
    <w:rsid w:val="003F7B20"/>
    <w:rsid w:val="0040042E"/>
    <w:rsid w:val="00400E19"/>
    <w:rsid w:val="00402E3B"/>
    <w:rsid w:val="004044DC"/>
    <w:rsid w:val="0040477D"/>
    <w:rsid w:val="00404B0E"/>
    <w:rsid w:val="00405B9F"/>
    <w:rsid w:val="00406314"/>
    <w:rsid w:val="0040647C"/>
    <w:rsid w:val="004065FD"/>
    <w:rsid w:val="00407313"/>
    <w:rsid w:val="00410830"/>
    <w:rsid w:val="00411215"/>
    <w:rsid w:val="004121B6"/>
    <w:rsid w:val="004127CC"/>
    <w:rsid w:val="00412D34"/>
    <w:rsid w:val="00412E79"/>
    <w:rsid w:val="004134F8"/>
    <w:rsid w:val="004138CA"/>
    <w:rsid w:val="00416B5D"/>
    <w:rsid w:val="004173FC"/>
    <w:rsid w:val="00417419"/>
    <w:rsid w:val="004200F6"/>
    <w:rsid w:val="004201B0"/>
    <w:rsid w:val="004209B8"/>
    <w:rsid w:val="00422B7E"/>
    <w:rsid w:val="00422D28"/>
    <w:rsid w:val="00423472"/>
    <w:rsid w:val="0042379E"/>
    <w:rsid w:val="004243B9"/>
    <w:rsid w:val="0042607B"/>
    <w:rsid w:val="00427276"/>
    <w:rsid w:val="004273B8"/>
    <w:rsid w:val="004275BE"/>
    <w:rsid w:val="00427829"/>
    <w:rsid w:val="00430AB5"/>
    <w:rsid w:val="004313FD"/>
    <w:rsid w:val="0043178B"/>
    <w:rsid w:val="00433D97"/>
    <w:rsid w:val="00434194"/>
    <w:rsid w:val="00434A28"/>
    <w:rsid w:val="00434D42"/>
    <w:rsid w:val="00435184"/>
    <w:rsid w:val="0043564D"/>
    <w:rsid w:val="00436726"/>
    <w:rsid w:val="00436A9B"/>
    <w:rsid w:val="00437576"/>
    <w:rsid w:val="004376E1"/>
    <w:rsid w:val="00437E7E"/>
    <w:rsid w:val="00440D31"/>
    <w:rsid w:val="00440F0C"/>
    <w:rsid w:val="00441209"/>
    <w:rsid w:val="00441BAD"/>
    <w:rsid w:val="00441C39"/>
    <w:rsid w:val="004437A3"/>
    <w:rsid w:val="00443C0C"/>
    <w:rsid w:val="00443E1E"/>
    <w:rsid w:val="00444E7F"/>
    <w:rsid w:val="00445557"/>
    <w:rsid w:val="004455A1"/>
    <w:rsid w:val="00446736"/>
    <w:rsid w:val="00446FCF"/>
    <w:rsid w:val="00447320"/>
    <w:rsid w:val="004478A8"/>
    <w:rsid w:val="00447A83"/>
    <w:rsid w:val="00447C3A"/>
    <w:rsid w:val="0045088D"/>
    <w:rsid w:val="00451069"/>
    <w:rsid w:val="00451097"/>
    <w:rsid w:val="00451DCA"/>
    <w:rsid w:val="004523FE"/>
    <w:rsid w:val="0045264B"/>
    <w:rsid w:val="00453DB6"/>
    <w:rsid w:val="004543DA"/>
    <w:rsid w:val="0045496D"/>
    <w:rsid w:val="00454B55"/>
    <w:rsid w:val="00455783"/>
    <w:rsid w:val="0045597B"/>
    <w:rsid w:val="00455EB5"/>
    <w:rsid w:val="004562C1"/>
    <w:rsid w:val="0045670B"/>
    <w:rsid w:val="00457864"/>
    <w:rsid w:val="0046074A"/>
    <w:rsid w:val="00460E02"/>
    <w:rsid w:val="00460E5A"/>
    <w:rsid w:val="004614F8"/>
    <w:rsid w:val="00462CF3"/>
    <w:rsid w:val="00463868"/>
    <w:rsid w:val="0046394A"/>
    <w:rsid w:val="00464617"/>
    <w:rsid w:val="00465410"/>
    <w:rsid w:val="00465E4D"/>
    <w:rsid w:val="00465F14"/>
    <w:rsid w:val="00465FE6"/>
    <w:rsid w:val="004662E0"/>
    <w:rsid w:val="00467107"/>
    <w:rsid w:val="004671E9"/>
    <w:rsid w:val="0047251C"/>
    <w:rsid w:val="00472FF1"/>
    <w:rsid w:val="0047345F"/>
    <w:rsid w:val="004736C8"/>
    <w:rsid w:val="00474B98"/>
    <w:rsid w:val="00474C78"/>
    <w:rsid w:val="00474C81"/>
    <w:rsid w:val="00476BF8"/>
    <w:rsid w:val="00476DFD"/>
    <w:rsid w:val="004773C3"/>
    <w:rsid w:val="00477B6F"/>
    <w:rsid w:val="00480402"/>
    <w:rsid w:val="00481258"/>
    <w:rsid w:val="00481D90"/>
    <w:rsid w:val="0048215F"/>
    <w:rsid w:val="00482D55"/>
    <w:rsid w:val="00483CA8"/>
    <w:rsid w:val="0048453A"/>
    <w:rsid w:val="00485369"/>
    <w:rsid w:val="00485382"/>
    <w:rsid w:val="00485CEA"/>
    <w:rsid w:val="00486102"/>
    <w:rsid w:val="00486812"/>
    <w:rsid w:val="00486A4A"/>
    <w:rsid w:val="00486C6D"/>
    <w:rsid w:val="00487177"/>
    <w:rsid w:val="00487392"/>
    <w:rsid w:val="004877B6"/>
    <w:rsid w:val="00487A72"/>
    <w:rsid w:val="00487F67"/>
    <w:rsid w:val="00490293"/>
    <w:rsid w:val="00490411"/>
    <w:rsid w:val="004905BA"/>
    <w:rsid w:val="00490D10"/>
    <w:rsid w:val="004920E0"/>
    <w:rsid w:val="00492511"/>
    <w:rsid w:val="004931BE"/>
    <w:rsid w:val="00493500"/>
    <w:rsid w:val="0049357E"/>
    <w:rsid w:val="0049459A"/>
    <w:rsid w:val="00494D28"/>
    <w:rsid w:val="00495319"/>
    <w:rsid w:val="00495C4D"/>
    <w:rsid w:val="004966D7"/>
    <w:rsid w:val="00496856"/>
    <w:rsid w:val="00496AB9"/>
    <w:rsid w:val="00497252"/>
    <w:rsid w:val="00497F7C"/>
    <w:rsid w:val="004A0011"/>
    <w:rsid w:val="004A0713"/>
    <w:rsid w:val="004A0B95"/>
    <w:rsid w:val="004A3CBD"/>
    <w:rsid w:val="004A3F6C"/>
    <w:rsid w:val="004A5331"/>
    <w:rsid w:val="004A5E49"/>
    <w:rsid w:val="004A615F"/>
    <w:rsid w:val="004A664E"/>
    <w:rsid w:val="004A66E3"/>
    <w:rsid w:val="004A6826"/>
    <w:rsid w:val="004A715B"/>
    <w:rsid w:val="004A74E7"/>
    <w:rsid w:val="004A7AFD"/>
    <w:rsid w:val="004B073E"/>
    <w:rsid w:val="004B1180"/>
    <w:rsid w:val="004B175D"/>
    <w:rsid w:val="004B192B"/>
    <w:rsid w:val="004B197B"/>
    <w:rsid w:val="004B1AEE"/>
    <w:rsid w:val="004B28B5"/>
    <w:rsid w:val="004B2AEA"/>
    <w:rsid w:val="004B3880"/>
    <w:rsid w:val="004B3BC2"/>
    <w:rsid w:val="004B3FB4"/>
    <w:rsid w:val="004B49D5"/>
    <w:rsid w:val="004B56B4"/>
    <w:rsid w:val="004B69DB"/>
    <w:rsid w:val="004B7C27"/>
    <w:rsid w:val="004B7FB2"/>
    <w:rsid w:val="004C0ACF"/>
    <w:rsid w:val="004C206D"/>
    <w:rsid w:val="004C3E16"/>
    <w:rsid w:val="004C4667"/>
    <w:rsid w:val="004C58CF"/>
    <w:rsid w:val="004C7539"/>
    <w:rsid w:val="004C77F5"/>
    <w:rsid w:val="004D0C9A"/>
    <w:rsid w:val="004D2365"/>
    <w:rsid w:val="004D25B1"/>
    <w:rsid w:val="004D26BF"/>
    <w:rsid w:val="004D4748"/>
    <w:rsid w:val="004D4B24"/>
    <w:rsid w:val="004D51A8"/>
    <w:rsid w:val="004D52F8"/>
    <w:rsid w:val="004D5CF1"/>
    <w:rsid w:val="004D694B"/>
    <w:rsid w:val="004D72FF"/>
    <w:rsid w:val="004D75A3"/>
    <w:rsid w:val="004E030B"/>
    <w:rsid w:val="004E0E6B"/>
    <w:rsid w:val="004E0F92"/>
    <w:rsid w:val="004E1EC6"/>
    <w:rsid w:val="004E2D5D"/>
    <w:rsid w:val="004E3106"/>
    <w:rsid w:val="004E3225"/>
    <w:rsid w:val="004E3705"/>
    <w:rsid w:val="004E3C3C"/>
    <w:rsid w:val="004E4676"/>
    <w:rsid w:val="004E46D6"/>
    <w:rsid w:val="004E4814"/>
    <w:rsid w:val="004E4EE4"/>
    <w:rsid w:val="004E58FD"/>
    <w:rsid w:val="004E661B"/>
    <w:rsid w:val="004E66CD"/>
    <w:rsid w:val="004E76C7"/>
    <w:rsid w:val="004E7959"/>
    <w:rsid w:val="004E7EE8"/>
    <w:rsid w:val="004F073A"/>
    <w:rsid w:val="004F0E01"/>
    <w:rsid w:val="004F2238"/>
    <w:rsid w:val="004F25CE"/>
    <w:rsid w:val="004F3761"/>
    <w:rsid w:val="004F41C7"/>
    <w:rsid w:val="004F4B48"/>
    <w:rsid w:val="004F4E32"/>
    <w:rsid w:val="004F4F5A"/>
    <w:rsid w:val="004F5279"/>
    <w:rsid w:val="004F7089"/>
    <w:rsid w:val="004F72C4"/>
    <w:rsid w:val="0050096A"/>
    <w:rsid w:val="0050101D"/>
    <w:rsid w:val="00502DA2"/>
    <w:rsid w:val="00503015"/>
    <w:rsid w:val="00503173"/>
    <w:rsid w:val="00503519"/>
    <w:rsid w:val="00504364"/>
    <w:rsid w:val="00504B69"/>
    <w:rsid w:val="00504BBD"/>
    <w:rsid w:val="00506397"/>
    <w:rsid w:val="00507709"/>
    <w:rsid w:val="005106B7"/>
    <w:rsid w:val="00510D82"/>
    <w:rsid w:val="005111A6"/>
    <w:rsid w:val="00511A02"/>
    <w:rsid w:val="00511A74"/>
    <w:rsid w:val="0051301A"/>
    <w:rsid w:val="005158F5"/>
    <w:rsid w:val="0051621D"/>
    <w:rsid w:val="005162BA"/>
    <w:rsid w:val="00516843"/>
    <w:rsid w:val="005169E5"/>
    <w:rsid w:val="0051790E"/>
    <w:rsid w:val="00517C76"/>
    <w:rsid w:val="00520856"/>
    <w:rsid w:val="00521A99"/>
    <w:rsid w:val="0052313D"/>
    <w:rsid w:val="00523867"/>
    <w:rsid w:val="0052388D"/>
    <w:rsid w:val="005238EC"/>
    <w:rsid w:val="00523F2B"/>
    <w:rsid w:val="005242EC"/>
    <w:rsid w:val="00524F75"/>
    <w:rsid w:val="00524F94"/>
    <w:rsid w:val="005255CB"/>
    <w:rsid w:val="00525761"/>
    <w:rsid w:val="00525A10"/>
    <w:rsid w:val="0053001A"/>
    <w:rsid w:val="005300AF"/>
    <w:rsid w:val="00530698"/>
    <w:rsid w:val="00530706"/>
    <w:rsid w:val="00530ACA"/>
    <w:rsid w:val="005311D2"/>
    <w:rsid w:val="00531681"/>
    <w:rsid w:val="005329B5"/>
    <w:rsid w:val="00533625"/>
    <w:rsid w:val="00533F12"/>
    <w:rsid w:val="005340DC"/>
    <w:rsid w:val="00534E19"/>
    <w:rsid w:val="00535017"/>
    <w:rsid w:val="00535489"/>
    <w:rsid w:val="0053608E"/>
    <w:rsid w:val="005368CB"/>
    <w:rsid w:val="00540213"/>
    <w:rsid w:val="005403FC"/>
    <w:rsid w:val="00542CA2"/>
    <w:rsid w:val="00542E6D"/>
    <w:rsid w:val="00543BEB"/>
    <w:rsid w:val="00544704"/>
    <w:rsid w:val="005453D2"/>
    <w:rsid w:val="005459CF"/>
    <w:rsid w:val="00545CD8"/>
    <w:rsid w:val="005469A1"/>
    <w:rsid w:val="00550482"/>
    <w:rsid w:val="005516BC"/>
    <w:rsid w:val="005518F3"/>
    <w:rsid w:val="00551C37"/>
    <w:rsid w:val="0055482B"/>
    <w:rsid w:val="005556DC"/>
    <w:rsid w:val="0055757E"/>
    <w:rsid w:val="0055787A"/>
    <w:rsid w:val="00560132"/>
    <w:rsid w:val="00560817"/>
    <w:rsid w:val="00561164"/>
    <w:rsid w:val="00561D71"/>
    <w:rsid w:val="00562159"/>
    <w:rsid w:val="005621B8"/>
    <w:rsid w:val="005623C1"/>
    <w:rsid w:val="0056244A"/>
    <w:rsid w:val="00562681"/>
    <w:rsid w:val="00562F03"/>
    <w:rsid w:val="00565F27"/>
    <w:rsid w:val="0056605A"/>
    <w:rsid w:val="005671BE"/>
    <w:rsid w:val="0056783C"/>
    <w:rsid w:val="00567BB6"/>
    <w:rsid w:val="005701A2"/>
    <w:rsid w:val="0057022A"/>
    <w:rsid w:val="00570694"/>
    <w:rsid w:val="00570B3E"/>
    <w:rsid w:val="00571A05"/>
    <w:rsid w:val="005726C0"/>
    <w:rsid w:val="00573995"/>
    <w:rsid w:val="00574642"/>
    <w:rsid w:val="00574B64"/>
    <w:rsid w:val="0057670C"/>
    <w:rsid w:val="00577A3B"/>
    <w:rsid w:val="00580DE1"/>
    <w:rsid w:val="00581D29"/>
    <w:rsid w:val="00582122"/>
    <w:rsid w:val="00582D52"/>
    <w:rsid w:val="0058317B"/>
    <w:rsid w:val="005833E6"/>
    <w:rsid w:val="005845FD"/>
    <w:rsid w:val="00584EBD"/>
    <w:rsid w:val="0058502B"/>
    <w:rsid w:val="0058512D"/>
    <w:rsid w:val="00585281"/>
    <w:rsid w:val="00585AB5"/>
    <w:rsid w:val="00586765"/>
    <w:rsid w:val="00587B1C"/>
    <w:rsid w:val="0059003C"/>
    <w:rsid w:val="00591A00"/>
    <w:rsid w:val="00592092"/>
    <w:rsid w:val="005933F9"/>
    <w:rsid w:val="00593E7B"/>
    <w:rsid w:val="00594BCB"/>
    <w:rsid w:val="0059568E"/>
    <w:rsid w:val="00595E68"/>
    <w:rsid w:val="00595FF9"/>
    <w:rsid w:val="005965A5"/>
    <w:rsid w:val="005A0A68"/>
    <w:rsid w:val="005A0EB4"/>
    <w:rsid w:val="005A1745"/>
    <w:rsid w:val="005A184B"/>
    <w:rsid w:val="005A20B3"/>
    <w:rsid w:val="005A24CD"/>
    <w:rsid w:val="005A3CA5"/>
    <w:rsid w:val="005A4A41"/>
    <w:rsid w:val="005A4AFC"/>
    <w:rsid w:val="005A5CE8"/>
    <w:rsid w:val="005A5D3D"/>
    <w:rsid w:val="005A64A7"/>
    <w:rsid w:val="005B00AD"/>
    <w:rsid w:val="005B01D9"/>
    <w:rsid w:val="005B04E0"/>
    <w:rsid w:val="005B1B23"/>
    <w:rsid w:val="005B36FD"/>
    <w:rsid w:val="005B5934"/>
    <w:rsid w:val="005B5B2A"/>
    <w:rsid w:val="005B6B35"/>
    <w:rsid w:val="005B6DB4"/>
    <w:rsid w:val="005B7570"/>
    <w:rsid w:val="005B7B61"/>
    <w:rsid w:val="005C051A"/>
    <w:rsid w:val="005C0A05"/>
    <w:rsid w:val="005C10E6"/>
    <w:rsid w:val="005C17AD"/>
    <w:rsid w:val="005C1814"/>
    <w:rsid w:val="005C2D35"/>
    <w:rsid w:val="005C34A0"/>
    <w:rsid w:val="005C3A15"/>
    <w:rsid w:val="005C421C"/>
    <w:rsid w:val="005C475C"/>
    <w:rsid w:val="005C67D4"/>
    <w:rsid w:val="005C6DCF"/>
    <w:rsid w:val="005C76CA"/>
    <w:rsid w:val="005C7A63"/>
    <w:rsid w:val="005D0D9E"/>
    <w:rsid w:val="005D135B"/>
    <w:rsid w:val="005D1410"/>
    <w:rsid w:val="005D1F22"/>
    <w:rsid w:val="005D3372"/>
    <w:rsid w:val="005D3E17"/>
    <w:rsid w:val="005D3E3F"/>
    <w:rsid w:val="005D4150"/>
    <w:rsid w:val="005D42AC"/>
    <w:rsid w:val="005D471C"/>
    <w:rsid w:val="005D635E"/>
    <w:rsid w:val="005D70C3"/>
    <w:rsid w:val="005D7980"/>
    <w:rsid w:val="005E01E3"/>
    <w:rsid w:val="005E0E99"/>
    <w:rsid w:val="005E1AB4"/>
    <w:rsid w:val="005E209A"/>
    <w:rsid w:val="005E3C9F"/>
    <w:rsid w:val="005E46AC"/>
    <w:rsid w:val="005E54A1"/>
    <w:rsid w:val="005E54B2"/>
    <w:rsid w:val="005E5FBA"/>
    <w:rsid w:val="005E663F"/>
    <w:rsid w:val="005F3096"/>
    <w:rsid w:val="005F572E"/>
    <w:rsid w:val="005F5F71"/>
    <w:rsid w:val="005F5FB2"/>
    <w:rsid w:val="005F6FCC"/>
    <w:rsid w:val="005F74AF"/>
    <w:rsid w:val="0060082B"/>
    <w:rsid w:val="00601314"/>
    <w:rsid w:val="00601E97"/>
    <w:rsid w:val="00602707"/>
    <w:rsid w:val="00603DF0"/>
    <w:rsid w:val="006047AC"/>
    <w:rsid w:val="00606F2B"/>
    <w:rsid w:val="00607233"/>
    <w:rsid w:val="00607829"/>
    <w:rsid w:val="00610B47"/>
    <w:rsid w:val="00611243"/>
    <w:rsid w:val="00611407"/>
    <w:rsid w:val="006115E3"/>
    <w:rsid w:val="0061294E"/>
    <w:rsid w:val="00612ABB"/>
    <w:rsid w:val="00614D23"/>
    <w:rsid w:val="006152A4"/>
    <w:rsid w:val="006159C6"/>
    <w:rsid w:val="006163D6"/>
    <w:rsid w:val="006211AD"/>
    <w:rsid w:val="0062189A"/>
    <w:rsid w:val="006223AC"/>
    <w:rsid w:val="00622743"/>
    <w:rsid w:val="0062301D"/>
    <w:rsid w:val="006238CA"/>
    <w:rsid w:val="006239CC"/>
    <w:rsid w:val="006239F9"/>
    <w:rsid w:val="00623D63"/>
    <w:rsid w:val="00623E62"/>
    <w:rsid w:val="00624634"/>
    <w:rsid w:val="0062573C"/>
    <w:rsid w:val="0062653B"/>
    <w:rsid w:val="00626E7B"/>
    <w:rsid w:val="00630A81"/>
    <w:rsid w:val="006323F3"/>
    <w:rsid w:val="00632DDC"/>
    <w:rsid w:val="00633E59"/>
    <w:rsid w:val="00635D55"/>
    <w:rsid w:val="00635FB8"/>
    <w:rsid w:val="00637897"/>
    <w:rsid w:val="0064006B"/>
    <w:rsid w:val="00640813"/>
    <w:rsid w:val="00640C2E"/>
    <w:rsid w:val="00641D83"/>
    <w:rsid w:val="00642143"/>
    <w:rsid w:val="00642D38"/>
    <w:rsid w:val="00642DA6"/>
    <w:rsid w:val="00643204"/>
    <w:rsid w:val="0064418F"/>
    <w:rsid w:val="00644B03"/>
    <w:rsid w:val="006451A0"/>
    <w:rsid w:val="006459B9"/>
    <w:rsid w:val="006459CC"/>
    <w:rsid w:val="00645A77"/>
    <w:rsid w:val="00646358"/>
    <w:rsid w:val="00646BC4"/>
    <w:rsid w:val="00647469"/>
    <w:rsid w:val="00647661"/>
    <w:rsid w:val="0065080C"/>
    <w:rsid w:val="006539A1"/>
    <w:rsid w:val="00653A8B"/>
    <w:rsid w:val="00653CBF"/>
    <w:rsid w:val="00653D81"/>
    <w:rsid w:val="0065412F"/>
    <w:rsid w:val="00654C94"/>
    <w:rsid w:val="00654D69"/>
    <w:rsid w:val="00655402"/>
    <w:rsid w:val="0065552D"/>
    <w:rsid w:val="00655667"/>
    <w:rsid w:val="00656716"/>
    <w:rsid w:val="00657085"/>
    <w:rsid w:val="00657F55"/>
    <w:rsid w:val="00661CA0"/>
    <w:rsid w:val="0066295C"/>
    <w:rsid w:val="00662A2F"/>
    <w:rsid w:val="00663DA8"/>
    <w:rsid w:val="00663DB0"/>
    <w:rsid w:val="0066425F"/>
    <w:rsid w:val="00664623"/>
    <w:rsid w:val="0066483F"/>
    <w:rsid w:val="00664EEB"/>
    <w:rsid w:val="006652B3"/>
    <w:rsid w:val="00665AE5"/>
    <w:rsid w:val="00665C3A"/>
    <w:rsid w:val="00665C9F"/>
    <w:rsid w:val="00667DE7"/>
    <w:rsid w:val="00670AA4"/>
    <w:rsid w:val="00671A44"/>
    <w:rsid w:val="00671BBD"/>
    <w:rsid w:val="00671CEB"/>
    <w:rsid w:val="00671DF9"/>
    <w:rsid w:val="00671F5D"/>
    <w:rsid w:val="0067261A"/>
    <w:rsid w:val="006731F0"/>
    <w:rsid w:val="00676EDE"/>
    <w:rsid w:val="00676EF0"/>
    <w:rsid w:val="006778D3"/>
    <w:rsid w:val="00681648"/>
    <w:rsid w:val="006827A9"/>
    <w:rsid w:val="00683313"/>
    <w:rsid w:val="0068345D"/>
    <w:rsid w:val="00684083"/>
    <w:rsid w:val="00684329"/>
    <w:rsid w:val="006845F5"/>
    <w:rsid w:val="0068496E"/>
    <w:rsid w:val="006854A8"/>
    <w:rsid w:val="006858DE"/>
    <w:rsid w:val="00687377"/>
    <w:rsid w:val="006873BE"/>
    <w:rsid w:val="006874FA"/>
    <w:rsid w:val="0069037E"/>
    <w:rsid w:val="00690953"/>
    <w:rsid w:val="00691521"/>
    <w:rsid w:val="00692290"/>
    <w:rsid w:val="00692557"/>
    <w:rsid w:val="00693B83"/>
    <w:rsid w:val="00693CD4"/>
    <w:rsid w:val="006948A1"/>
    <w:rsid w:val="00694B47"/>
    <w:rsid w:val="006950DE"/>
    <w:rsid w:val="00695460"/>
    <w:rsid w:val="006959FA"/>
    <w:rsid w:val="00695D98"/>
    <w:rsid w:val="00696B61"/>
    <w:rsid w:val="0069782B"/>
    <w:rsid w:val="00697C00"/>
    <w:rsid w:val="006A090A"/>
    <w:rsid w:val="006A0D22"/>
    <w:rsid w:val="006A0FAB"/>
    <w:rsid w:val="006A12BC"/>
    <w:rsid w:val="006A2834"/>
    <w:rsid w:val="006A3282"/>
    <w:rsid w:val="006A3DC2"/>
    <w:rsid w:val="006A3E66"/>
    <w:rsid w:val="006A4306"/>
    <w:rsid w:val="006A4FE4"/>
    <w:rsid w:val="006A5680"/>
    <w:rsid w:val="006A5824"/>
    <w:rsid w:val="006A6230"/>
    <w:rsid w:val="006A6AE5"/>
    <w:rsid w:val="006A7574"/>
    <w:rsid w:val="006B0391"/>
    <w:rsid w:val="006B09DC"/>
    <w:rsid w:val="006B1CF8"/>
    <w:rsid w:val="006B230B"/>
    <w:rsid w:val="006B4AB1"/>
    <w:rsid w:val="006B5D72"/>
    <w:rsid w:val="006B6229"/>
    <w:rsid w:val="006B68DD"/>
    <w:rsid w:val="006B7258"/>
    <w:rsid w:val="006B75EF"/>
    <w:rsid w:val="006C0018"/>
    <w:rsid w:val="006C0D02"/>
    <w:rsid w:val="006C1036"/>
    <w:rsid w:val="006C1A3D"/>
    <w:rsid w:val="006C1A59"/>
    <w:rsid w:val="006C355E"/>
    <w:rsid w:val="006C3A7E"/>
    <w:rsid w:val="006C45A5"/>
    <w:rsid w:val="006C47DD"/>
    <w:rsid w:val="006C48AD"/>
    <w:rsid w:val="006C57DB"/>
    <w:rsid w:val="006C6F5F"/>
    <w:rsid w:val="006D045B"/>
    <w:rsid w:val="006D2F2E"/>
    <w:rsid w:val="006D322D"/>
    <w:rsid w:val="006D361A"/>
    <w:rsid w:val="006D3788"/>
    <w:rsid w:val="006D3DAC"/>
    <w:rsid w:val="006D3FE2"/>
    <w:rsid w:val="006D4A78"/>
    <w:rsid w:val="006D4B54"/>
    <w:rsid w:val="006D5C20"/>
    <w:rsid w:val="006D7F9D"/>
    <w:rsid w:val="006E037B"/>
    <w:rsid w:val="006E22C0"/>
    <w:rsid w:val="006E2422"/>
    <w:rsid w:val="006E3102"/>
    <w:rsid w:val="006E3720"/>
    <w:rsid w:val="006E3D4E"/>
    <w:rsid w:val="006E480E"/>
    <w:rsid w:val="006E4FB8"/>
    <w:rsid w:val="006E5C68"/>
    <w:rsid w:val="006E5F7A"/>
    <w:rsid w:val="006F0448"/>
    <w:rsid w:val="006F0487"/>
    <w:rsid w:val="006F09FD"/>
    <w:rsid w:val="006F0A45"/>
    <w:rsid w:val="006F0C50"/>
    <w:rsid w:val="006F0D9F"/>
    <w:rsid w:val="006F331C"/>
    <w:rsid w:val="006F363F"/>
    <w:rsid w:val="006F4520"/>
    <w:rsid w:val="00701330"/>
    <w:rsid w:val="007017B2"/>
    <w:rsid w:val="00701A80"/>
    <w:rsid w:val="00702E9C"/>
    <w:rsid w:val="00702FDB"/>
    <w:rsid w:val="00706142"/>
    <w:rsid w:val="00706309"/>
    <w:rsid w:val="00706CBD"/>
    <w:rsid w:val="0070727F"/>
    <w:rsid w:val="007077DE"/>
    <w:rsid w:val="007103B3"/>
    <w:rsid w:val="00710858"/>
    <w:rsid w:val="00711E47"/>
    <w:rsid w:val="0071314A"/>
    <w:rsid w:val="007136A7"/>
    <w:rsid w:val="00713FFE"/>
    <w:rsid w:val="0071446C"/>
    <w:rsid w:val="007154E3"/>
    <w:rsid w:val="00717295"/>
    <w:rsid w:val="00717FCD"/>
    <w:rsid w:val="0072011A"/>
    <w:rsid w:val="00720593"/>
    <w:rsid w:val="0072065C"/>
    <w:rsid w:val="00721BBE"/>
    <w:rsid w:val="00722014"/>
    <w:rsid w:val="007221D9"/>
    <w:rsid w:val="00724228"/>
    <w:rsid w:val="00724A41"/>
    <w:rsid w:val="00724BF6"/>
    <w:rsid w:val="00724CE5"/>
    <w:rsid w:val="00725470"/>
    <w:rsid w:val="00725FF8"/>
    <w:rsid w:val="007266BA"/>
    <w:rsid w:val="007270EC"/>
    <w:rsid w:val="00727646"/>
    <w:rsid w:val="00730036"/>
    <w:rsid w:val="007301C2"/>
    <w:rsid w:val="00730FF2"/>
    <w:rsid w:val="00731670"/>
    <w:rsid w:val="00731BA1"/>
    <w:rsid w:val="00731D79"/>
    <w:rsid w:val="007327FF"/>
    <w:rsid w:val="00732E56"/>
    <w:rsid w:val="00732E8C"/>
    <w:rsid w:val="00735A07"/>
    <w:rsid w:val="007367F3"/>
    <w:rsid w:val="00737168"/>
    <w:rsid w:val="00737CA4"/>
    <w:rsid w:val="00737E1F"/>
    <w:rsid w:val="00740460"/>
    <w:rsid w:val="0074062C"/>
    <w:rsid w:val="00740854"/>
    <w:rsid w:val="00742999"/>
    <w:rsid w:val="00742B39"/>
    <w:rsid w:val="00743774"/>
    <w:rsid w:val="007437EA"/>
    <w:rsid w:val="00744077"/>
    <w:rsid w:val="007451D1"/>
    <w:rsid w:val="00745F06"/>
    <w:rsid w:val="00746584"/>
    <w:rsid w:val="007465D2"/>
    <w:rsid w:val="00746699"/>
    <w:rsid w:val="0074685C"/>
    <w:rsid w:val="00747061"/>
    <w:rsid w:val="007470C3"/>
    <w:rsid w:val="007474AD"/>
    <w:rsid w:val="007474FE"/>
    <w:rsid w:val="007521EA"/>
    <w:rsid w:val="007568A5"/>
    <w:rsid w:val="00757680"/>
    <w:rsid w:val="007603D5"/>
    <w:rsid w:val="0076040A"/>
    <w:rsid w:val="007607C7"/>
    <w:rsid w:val="00760A36"/>
    <w:rsid w:val="007611EF"/>
    <w:rsid w:val="007619D0"/>
    <w:rsid w:val="00762304"/>
    <w:rsid w:val="0076301D"/>
    <w:rsid w:val="007635E3"/>
    <w:rsid w:val="0076376F"/>
    <w:rsid w:val="00765266"/>
    <w:rsid w:val="00765F8D"/>
    <w:rsid w:val="00766984"/>
    <w:rsid w:val="00766A90"/>
    <w:rsid w:val="00767483"/>
    <w:rsid w:val="00767491"/>
    <w:rsid w:val="00767598"/>
    <w:rsid w:val="007703B5"/>
    <w:rsid w:val="00773406"/>
    <w:rsid w:val="00773C84"/>
    <w:rsid w:val="007744FC"/>
    <w:rsid w:val="00774F69"/>
    <w:rsid w:val="00776442"/>
    <w:rsid w:val="00776AA7"/>
    <w:rsid w:val="00776E13"/>
    <w:rsid w:val="00777619"/>
    <w:rsid w:val="00781143"/>
    <w:rsid w:val="0078176B"/>
    <w:rsid w:val="00783759"/>
    <w:rsid w:val="00783F09"/>
    <w:rsid w:val="0078423E"/>
    <w:rsid w:val="00784307"/>
    <w:rsid w:val="00784D33"/>
    <w:rsid w:val="0078544E"/>
    <w:rsid w:val="00785BB0"/>
    <w:rsid w:val="00785ED4"/>
    <w:rsid w:val="00786277"/>
    <w:rsid w:val="00786E90"/>
    <w:rsid w:val="0078739F"/>
    <w:rsid w:val="007873F7"/>
    <w:rsid w:val="00791B25"/>
    <w:rsid w:val="00791D58"/>
    <w:rsid w:val="00792EA4"/>
    <w:rsid w:val="00792F54"/>
    <w:rsid w:val="00793EB9"/>
    <w:rsid w:val="00795506"/>
    <w:rsid w:val="007A0432"/>
    <w:rsid w:val="007A09DE"/>
    <w:rsid w:val="007A1C93"/>
    <w:rsid w:val="007A273A"/>
    <w:rsid w:val="007A2962"/>
    <w:rsid w:val="007A2CD8"/>
    <w:rsid w:val="007A323B"/>
    <w:rsid w:val="007A379E"/>
    <w:rsid w:val="007A3B29"/>
    <w:rsid w:val="007A3DAD"/>
    <w:rsid w:val="007A3DE8"/>
    <w:rsid w:val="007A46F8"/>
    <w:rsid w:val="007A4CE6"/>
    <w:rsid w:val="007A4CEB"/>
    <w:rsid w:val="007A529E"/>
    <w:rsid w:val="007A5583"/>
    <w:rsid w:val="007A583B"/>
    <w:rsid w:val="007A5B91"/>
    <w:rsid w:val="007A62CE"/>
    <w:rsid w:val="007A6302"/>
    <w:rsid w:val="007A67B0"/>
    <w:rsid w:val="007A68D3"/>
    <w:rsid w:val="007A6FFE"/>
    <w:rsid w:val="007A737C"/>
    <w:rsid w:val="007A77AC"/>
    <w:rsid w:val="007A7960"/>
    <w:rsid w:val="007B1BB4"/>
    <w:rsid w:val="007B4E1C"/>
    <w:rsid w:val="007B54B7"/>
    <w:rsid w:val="007B5F3B"/>
    <w:rsid w:val="007B6265"/>
    <w:rsid w:val="007B65C0"/>
    <w:rsid w:val="007B6E26"/>
    <w:rsid w:val="007B6EAB"/>
    <w:rsid w:val="007B7D06"/>
    <w:rsid w:val="007C01B8"/>
    <w:rsid w:val="007C066B"/>
    <w:rsid w:val="007C1783"/>
    <w:rsid w:val="007C1DF7"/>
    <w:rsid w:val="007C3499"/>
    <w:rsid w:val="007C73FF"/>
    <w:rsid w:val="007D0989"/>
    <w:rsid w:val="007D2189"/>
    <w:rsid w:val="007D2BE3"/>
    <w:rsid w:val="007D2CAE"/>
    <w:rsid w:val="007D3E9D"/>
    <w:rsid w:val="007D4AE5"/>
    <w:rsid w:val="007D4CA5"/>
    <w:rsid w:val="007D5EE6"/>
    <w:rsid w:val="007D6891"/>
    <w:rsid w:val="007D6C1B"/>
    <w:rsid w:val="007D6E53"/>
    <w:rsid w:val="007D6F8E"/>
    <w:rsid w:val="007D7182"/>
    <w:rsid w:val="007D723C"/>
    <w:rsid w:val="007E0255"/>
    <w:rsid w:val="007E0A53"/>
    <w:rsid w:val="007E131A"/>
    <w:rsid w:val="007E143A"/>
    <w:rsid w:val="007E1689"/>
    <w:rsid w:val="007E1AAF"/>
    <w:rsid w:val="007E1ACF"/>
    <w:rsid w:val="007E34FF"/>
    <w:rsid w:val="007E384A"/>
    <w:rsid w:val="007E42E9"/>
    <w:rsid w:val="007E6465"/>
    <w:rsid w:val="007E66F5"/>
    <w:rsid w:val="007E6A5F"/>
    <w:rsid w:val="007E6EA3"/>
    <w:rsid w:val="007E701F"/>
    <w:rsid w:val="007E70CC"/>
    <w:rsid w:val="007E753D"/>
    <w:rsid w:val="007E770D"/>
    <w:rsid w:val="007F031C"/>
    <w:rsid w:val="007F1E4F"/>
    <w:rsid w:val="007F2AE5"/>
    <w:rsid w:val="007F6DAC"/>
    <w:rsid w:val="007F785E"/>
    <w:rsid w:val="007F7B66"/>
    <w:rsid w:val="008003FB"/>
    <w:rsid w:val="008023DB"/>
    <w:rsid w:val="0080289C"/>
    <w:rsid w:val="00802C14"/>
    <w:rsid w:val="008041DE"/>
    <w:rsid w:val="00804269"/>
    <w:rsid w:val="00805949"/>
    <w:rsid w:val="008066BE"/>
    <w:rsid w:val="008069CF"/>
    <w:rsid w:val="00807B2F"/>
    <w:rsid w:val="00807FC3"/>
    <w:rsid w:val="008110F6"/>
    <w:rsid w:val="00811761"/>
    <w:rsid w:val="00811807"/>
    <w:rsid w:val="00812637"/>
    <w:rsid w:val="00812BAA"/>
    <w:rsid w:val="00812EE2"/>
    <w:rsid w:val="00813312"/>
    <w:rsid w:val="008133E9"/>
    <w:rsid w:val="008139CB"/>
    <w:rsid w:val="00813A2C"/>
    <w:rsid w:val="00815831"/>
    <w:rsid w:val="00815C8F"/>
    <w:rsid w:val="00815CC2"/>
    <w:rsid w:val="00821663"/>
    <w:rsid w:val="008217BC"/>
    <w:rsid w:val="008218E5"/>
    <w:rsid w:val="00821D08"/>
    <w:rsid w:val="008221D2"/>
    <w:rsid w:val="00822BB3"/>
    <w:rsid w:val="00822F4C"/>
    <w:rsid w:val="008237F3"/>
    <w:rsid w:val="00825427"/>
    <w:rsid w:val="0082585E"/>
    <w:rsid w:val="008260FE"/>
    <w:rsid w:val="00826638"/>
    <w:rsid w:val="00826B52"/>
    <w:rsid w:val="00827961"/>
    <w:rsid w:val="0083046B"/>
    <w:rsid w:val="00830EFF"/>
    <w:rsid w:val="00831927"/>
    <w:rsid w:val="00832A91"/>
    <w:rsid w:val="008333A1"/>
    <w:rsid w:val="00833E90"/>
    <w:rsid w:val="0083406E"/>
    <w:rsid w:val="008347B0"/>
    <w:rsid w:val="008351E2"/>
    <w:rsid w:val="008354FF"/>
    <w:rsid w:val="00835C79"/>
    <w:rsid w:val="00836657"/>
    <w:rsid w:val="008366FA"/>
    <w:rsid w:val="00836DC9"/>
    <w:rsid w:val="00837020"/>
    <w:rsid w:val="008370F9"/>
    <w:rsid w:val="00837C44"/>
    <w:rsid w:val="0084022E"/>
    <w:rsid w:val="00840D0E"/>
    <w:rsid w:val="00840D9B"/>
    <w:rsid w:val="0084203C"/>
    <w:rsid w:val="008420D4"/>
    <w:rsid w:val="0084261B"/>
    <w:rsid w:val="00842EE5"/>
    <w:rsid w:val="00842F07"/>
    <w:rsid w:val="008443FC"/>
    <w:rsid w:val="00845050"/>
    <w:rsid w:val="00846450"/>
    <w:rsid w:val="0084671D"/>
    <w:rsid w:val="0084792D"/>
    <w:rsid w:val="00847F35"/>
    <w:rsid w:val="008519F8"/>
    <w:rsid w:val="00852421"/>
    <w:rsid w:val="00852767"/>
    <w:rsid w:val="008527D6"/>
    <w:rsid w:val="00852B88"/>
    <w:rsid w:val="00852FA3"/>
    <w:rsid w:val="00853AAC"/>
    <w:rsid w:val="00853EDC"/>
    <w:rsid w:val="008542E1"/>
    <w:rsid w:val="0085433B"/>
    <w:rsid w:val="00854A37"/>
    <w:rsid w:val="00854F1F"/>
    <w:rsid w:val="008558CE"/>
    <w:rsid w:val="00855D6C"/>
    <w:rsid w:val="00855EC9"/>
    <w:rsid w:val="0085631E"/>
    <w:rsid w:val="00856998"/>
    <w:rsid w:val="00856EF6"/>
    <w:rsid w:val="00860002"/>
    <w:rsid w:val="00860124"/>
    <w:rsid w:val="00860144"/>
    <w:rsid w:val="008609D5"/>
    <w:rsid w:val="00860FBE"/>
    <w:rsid w:val="00862B04"/>
    <w:rsid w:val="00863816"/>
    <w:rsid w:val="00863E55"/>
    <w:rsid w:val="008672C6"/>
    <w:rsid w:val="00867B49"/>
    <w:rsid w:val="00867C77"/>
    <w:rsid w:val="00871445"/>
    <w:rsid w:val="00871703"/>
    <w:rsid w:val="00872EFD"/>
    <w:rsid w:val="00873228"/>
    <w:rsid w:val="00874A3E"/>
    <w:rsid w:val="00875AD1"/>
    <w:rsid w:val="00876CF0"/>
    <w:rsid w:val="00876E75"/>
    <w:rsid w:val="0087767C"/>
    <w:rsid w:val="008800D8"/>
    <w:rsid w:val="008816A0"/>
    <w:rsid w:val="008819B4"/>
    <w:rsid w:val="00882040"/>
    <w:rsid w:val="0088396E"/>
    <w:rsid w:val="0088477E"/>
    <w:rsid w:val="008848FE"/>
    <w:rsid w:val="00884956"/>
    <w:rsid w:val="008866C9"/>
    <w:rsid w:val="0088756B"/>
    <w:rsid w:val="00887C06"/>
    <w:rsid w:val="00887F8A"/>
    <w:rsid w:val="0089028F"/>
    <w:rsid w:val="008914B1"/>
    <w:rsid w:val="00891B6C"/>
    <w:rsid w:val="008946CE"/>
    <w:rsid w:val="008947B2"/>
    <w:rsid w:val="00895137"/>
    <w:rsid w:val="00895372"/>
    <w:rsid w:val="00895C1B"/>
    <w:rsid w:val="00895CD6"/>
    <w:rsid w:val="00895F64"/>
    <w:rsid w:val="008966FE"/>
    <w:rsid w:val="00896B97"/>
    <w:rsid w:val="008979D4"/>
    <w:rsid w:val="008A1568"/>
    <w:rsid w:val="008A20AD"/>
    <w:rsid w:val="008A2849"/>
    <w:rsid w:val="008A48AA"/>
    <w:rsid w:val="008A58C5"/>
    <w:rsid w:val="008A5B9A"/>
    <w:rsid w:val="008A6F70"/>
    <w:rsid w:val="008B0271"/>
    <w:rsid w:val="008B1221"/>
    <w:rsid w:val="008B1F84"/>
    <w:rsid w:val="008B2E6D"/>
    <w:rsid w:val="008B3904"/>
    <w:rsid w:val="008B3B5E"/>
    <w:rsid w:val="008B4CB5"/>
    <w:rsid w:val="008B605A"/>
    <w:rsid w:val="008B6487"/>
    <w:rsid w:val="008B7387"/>
    <w:rsid w:val="008B7BCC"/>
    <w:rsid w:val="008B7C88"/>
    <w:rsid w:val="008C08C6"/>
    <w:rsid w:val="008C2B7F"/>
    <w:rsid w:val="008C2C80"/>
    <w:rsid w:val="008C36EA"/>
    <w:rsid w:val="008C5626"/>
    <w:rsid w:val="008C57F6"/>
    <w:rsid w:val="008C5CF2"/>
    <w:rsid w:val="008C6D92"/>
    <w:rsid w:val="008C74AD"/>
    <w:rsid w:val="008C7A01"/>
    <w:rsid w:val="008C7C0C"/>
    <w:rsid w:val="008C7EB5"/>
    <w:rsid w:val="008C7F43"/>
    <w:rsid w:val="008D0230"/>
    <w:rsid w:val="008D05F1"/>
    <w:rsid w:val="008D1425"/>
    <w:rsid w:val="008D1D33"/>
    <w:rsid w:val="008D2DC7"/>
    <w:rsid w:val="008D3291"/>
    <w:rsid w:val="008D38D5"/>
    <w:rsid w:val="008D3DBC"/>
    <w:rsid w:val="008D436F"/>
    <w:rsid w:val="008D55A9"/>
    <w:rsid w:val="008D6ABE"/>
    <w:rsid w:val="008D6C4D"/>
    <w:rsid w:val="008D7495"/>
    <w:rsid w:val="008D7A2E"/>
    <w:rsid w:val="008E0382"/>
    <w:rsid w:val="008E0CD7"/>
    <w:rsid w:val="008E1883"/>
    <w:rsid w:val="008E2003"/>
    <w:rsid w:val="008E219D"/>
    <w:rsid w:val="008E22B5"/>
    <w:rsid w:val="008E2FD8"/>
    <w:rsid w:val="008E368C"/>
    <w:rsid w:val="008E4992"/>
    <w:rsid w:val="008E563E"/>
    <w:rsid w:val="008E6192"/>
    <w:rsid w:val="008E61D1"/>
    <w:rsid w:val="008E65D2"/>
    <w:rsid w:val="008E6687"/>
    <w:rsid w:val="008E6892"/>
    <w:rsid w:val="008E7638"/>
    <w:rsid w:val="008E79FE"/>
    <w:rsid w:val="008E7C20"/>
    <w:rsid w:val="008F0290"/>
    <w:rsid w:val="008F072D"/>
    <w:rsid w:val="008F1546"/>
    <w:rsid w:val="008F16B8"/>
    <w:rsid w:val="008F2477"/>
    <w:rsid w:val="008F3399"/>
    <w:rsid w:val="008F33BB"/>
    <w:rsid w:val="008F34BD"/>
    <w:rsid w:val="008F3628"/>
    <w:rsid w:val="008F3DD7"/>
    <w:rsid w:val="008F57E9"/>
    <w:rsid w:val="008F713F"/>
    <w:rsid w:val="008F72D8"/>
    <w:rsid w:val="008F73A2"/>
    <w:rsid w:val="008F78CD"/>
    <w:rsid w:val="008F7E2A"/>
    <w:rsid w:val="009001BF"/>
    <w:rsid w:val="00900799"/>
    <w:rsid w:val="00900B3F"/>
    <w:rsid w:val="00900D05"/>
    <w:rsid w:val="00901078"/>
    <w:rsid w:val="00902091"/>
    <w:rsid w:val="009024C3"/>
    <w:rsid w:val="00902B1F"/>
    <w:rsid w:val="00904AAE"/>
    <w:rsid w:val="00904B17"/>
    <w:rsid w:val="009054D5"/>
    <w:rsid w:val="00906895"/>
    <w:rsid w:val="00907E3F"/>
    <w:rsid w:val="00910058"/>
    <w:rsid w:val="00910525"/>
    <w:rsid w:val="009114FB"/>
    <w:rsid w:val="0091179A"/>
    <w:rsid w:val="00912C72"/>
    <w:rsid w:val="00912D11"/>
    <w:rsid w:val="009131FD"/>
    <w:rsid w:val="00913AAF"/>
    <w:rsid w:val="00913D4E"/>
    <w:rsid w:val="0091487A"/>
    <w:rsid w:val="009162E2"/>
    <w:rsid w:val="00916A0F"/>
    <w:rsid w:val="009201A2"/>
    <w:rsid w:val="00920496"/>
    <w:rsid w:val="00920524"/>
    <w:rsid w:val="00920720"/>
    <w:rsid w:val="00921E8D"/>
    <w:rsid w:val="00922B97"/>
    <w:rsid w:val="00923503"/>
    <w:rsid w:val="009241A2"/>
    <w:rsid w:val="00924878"/>
    <w:rsid w:val="009253BA"/>
    <w:rsid w:val="00925821"/>
    <w:rsid w:val="00926217"/>
    <w:rsid w:val="0092764D"/>
    <w:rsid w:val="00927CB1"/>
    <w:rsid w:val="00927D23"/>
    <w:rsid w:val="0093003A"/>
    <w:rsid w:val="0093197D"/>
    <w:rsid w:val="00931E50"/>
    <w:rsid w:val="00932185"/>
    <w:rsid w:val="00932A8E"/>
    <w:rsid w:val="00932E21"/>
    <w:rsid w:val="00933B8E"/>
    <w:rsid w:val="009360D0"/>
    <w:rsid w:val="00936480"/>
    <w:rsid w:val="009365E3"/>
    <w:rsid w:val="009377F8"/>
    <w:rsid w:val="00940807"/>
    <w:rsid w:val="0094136A"/>
    <w:rsid w:val="00943C8F"/>
    <w:rsid w:val="00944DC6"/>
    <w:rsid w:val="009453BD"/>
    <w:rsid w:val="00945653"/>
    <w:rsid w:val="00945CF8"/>
    <w:rsid w:val="009469E5"/>
    <w:rsid w:val="0094755B"/>
    <w:rsid w:val="00947AD8"/>
    <w:rsid w:val="009504B3"/>
    <w:rsid w:val="009505B3"/>
    <w:rsid w:val="00952193"/>
    <w:rsid w:val="00952A15"/>
    <w:rsid w:val="00952B58"/>
    <w:rsid w:val="0095323F"/>
    <w:rsid w:val="00953528"/>
    <w:rsid w:val="009540E2"/>
    <w:rsid w:val="00954105"/>
    <w:rsid w:val="00954D55"/>
    <w:rsid w:val="0095673A"/>
    <w:rsid w:val="00956BB3"/>
    <w:rsid w:val="00956C60"/>
    <w:rsid w:val="00956D43"/>
    <w:rsid w:val="009602A3"/>
    <w:rsid w:val="00960ADC"/>
    <w:rsid w:val="009617DC"/>
    <w:rsid w:val="00963021"/>
    <w:rsid w:val="0096352B"/>
    <w:rsid w:val="00964F8A"/>
    <w:rsid w:val="00966211"/>
    <w:rsid w:val="00967BDF"/>
    <w:rsid w:val="009706A1"/>
    <w:rsid w:val="00970CA4"/>
    <w:rsid w:val="00970CE7"/>
    <w:rsid w:val="0097203A"/>
    <w:rsid w:val="00972218"/>
    <w:rsid w:val="00972B18"/>
    <w:rsid w:val="00972D75"/>
    <w:rsid w:val="00972DF4"/>
    <w:rsid w:val="00972FDC"/>
    <w:rsid w:val="00973929"/>
    <w:rsid w:val="00973CA1"/>
    <w:rsid w:val="00973E12"/>
    <w:rsid w:val="00975004"/>
    <w:rsid w:val="00976057"/>
    <w:rsid w:val="00976097"/>
    <w:rsid w:val="009803F8"/>
    <w:rsid w:val="0098086A"/>
    <w:rsid w:val="00980969"/>
    <w:rsid w:val="00981195"/>
    <w:rsid w:val="009812BD"/>
    <w:rsid w:val="00982156"/>
    <w:rsid w:val="0098403A"/>
    <w:rsid w:val="0098426E"/>
    <w:rsid w:val="00984686"/>
    <w:rsid w:val="00985E62"/>
    <w:rsid w:val="00986E5E"/>
    <w:rsid w:val="009877EB"/>
    <w:rsid w:val="00987AEE"/>
    <w:rsid w:val="00987DE9"/>
    <w:rsid w:val="00990EF6"/>
    <w:rsid w:val="009910DA"/>
    <w:rsid w:val="00992B5F"/>
    <w:rsid w:val="0099348C"/>
    <w:rsid w:val="00993B30"/>
    <w:rsid w:val="009946BC"/>
    <w:rsid w:val="00994909"/>
    <w:rsid w:val="00994ADD"/>
    <w:rsid w:val="00995A1B"/>
    <w:rsid w:val="00995B7D"/>
    <w:rsid w:val="009962BC"/>
    <w:rsid w:val="00996939"/>
    <w:rsid w:val="00997720"/>
    <w:rsid w:val="00997D8D"/>
    <w:rsid w:val="009A0267"/>
    <w:rsid w:val="009A090E"/>
    <w:rsid w:val="009A0A99"/>
    <w:rsid w:val="009A192D"/>
    <w:rsid w:val="009A1B2D"/>
    <w:rsid w:val="009A1FF2"/>
    <w:rsid w:val="009A206D"/>
    <w:rsid w:val="009A23CE"/>
    <w:rsid w:val="009A3B60"/>
    <w:rsid w:val="009A3F7A"/>
    <w:rsid w:val="009A40C3"/>
    <w:rsid w:val="009A4AA4"/>
    <w:rsid w:val="009A65C8"/>
    <w:rsid w:val="009A6C9A"/>
    <w:rsid w:val="009A6F5E"/>
    <w:rsid w:val="009B051B"/>
    <w:rsid w:val="009B1086"/>
    <w:rsid w:val="009B1245"/>
    <w:rsid w:val="009B1BE0"/>
    <w:rsid w:val="009B1EA0"/>
    <w:rsid w:val="009B204E"/>
    <w:rsid w:val="009B22D2"/>
    <w:rsid w:val="009B39AA"/>
    <w:rsid w:val="009B45EF"/>
    <w:rsid w:val="009B483C"/>
    <w:rsid w:val="009B49C0"/>
    <w:rsid w:val="009B647D"/>
    <w:rsid w:val="009C1683"/>
    <w:rsid w:val="009C1F5E"/>
    <w:rsid w:val="009C2D22"/>
    <w:rsid w:val="009C40DA"/>
    <w:rsid w:val="009C486B"/>
    <w:rsid w:val="009C4AF9"/>
    <w:rsid w:val="009C77E9"/>
    <w:rsid w:val="009C7C9B"/>
    <w:rsid w:val="009D147F"/>
    <w:rsid w:val="009D3078"/>
    <w:rsid w:val="009D3478"/>
    <w:rsid w:val="009D34CF"/>
    <w:rsid w:val="009D3A37"/>
    <w:rsid w:val="009D3C98"/>
    <w:rsid w:val="009D3F76"/>
    <w:rsid w:val="009D41B7"/>
    <w:rsid w:val="009D465B"/>
    <w:rsid w:val="009D4D6D"/>
    <w:rsid w:val="009D52B2"/>
    <w:rsid w:val="009D547D"/>
    <w:rsid w:val="009D5693"/>
    <w:rsid w:val="009D5857"/>
    <w:rsid w:val="009D593B"/>
    <w:rsid w:val="009E22A8"/>
    <w:rsid w:val="009E35F4"/>
    <w:rsid w:val="009E3D35"/>
    <w:rsid w:val="009E44FD"/>
    <w:rsid w:val="009E4B86"/>
    <w:rsid w:val="009E51A6"/>
    <w:rsid w:val="009E5850"/>
    <w:rsid w:val="009E600C"/>
    <w:rsid w:val="009E7041"/>
    <w:rsid w:val="009E7246"/>
    <w:rsid w:val="009E7254"/>
    <w:rsid w:val="009E765D"/>
    <w:rsid w:val="009E7D75"/>
    <w:rsid w:val="009E7F1D"/>
    <w:rsid w:val="009E7F52"/>
    <w:rsid w:val="009F13C7"/>
    <w:rsid w:val="009F1610"/>
    <w:rsid w:val="009F1B43"/>
    <w:rsid w:val="009F1BA1"/>
    <w:rsid w:val="009F206A"/>
    <w:rsid w:val="009F3697"/>
    <w:rsid w:val="009F3B0F"/>
    <w:rsid w:val="009F4652"/>
    <w:rsid w:val="009F4789"/>
    <w:rsid w:val="009F48B0"/>
    <w:rsid w:val="009F4E44"/>
    <w:rsid w:val="009F5EDD"/>
    <w:rsid w:val="009F6514"/>
    <w:rsid w:val="00A008E1"/>
    <w:rsid w:val="00A015AB"/>
    <w:rsid w:val="00A01BD8"/>
    <w:rsid w:val="00A02687"/>
    <w:rsid w:val="00A02EFC"/>
    <w:rsid w:val="00A03BD3"/>
    <w:rsid w:val="00A050D4"/>
    <w:rsid w:val="00A05517"/>
    <w:rsid w:val="00A05730"/>
    <w:rsid w:val="00A06FA2"/>
    <w:rsid w:val="00A07B49"/>
    <w:rsid w:val="00A12984"/>
    <w:rsid w:val="00A13517"/>
    <w:rsid w:val="00A14E12"/>
    <w:rsid w:val="00A153B6"/>
    <w:rsid w:val="00A1564C"/>
    <w:rsid w:val="00A15D80"/>
    <w:rsid w:val="00A16649"/>
    <w:rsid w:val="00A17140"/>
    <w:rsid w:val="00A17907"/>
    <w:rsid w:val="00A20456"/>
    <w:rsid w:val="00A21E4E"/>
    <w:rsid w:val="00A224F8"/>
    <w:rsid w:val="00A22786"/>
    <w:rsid w:val="00A236FE"/>
    <w:rsid w:val="00A241C0"/>
    <w:rsid w:val="00A24DCE"/>
    <w:rsid w:val="00A251B9"/>
    <w:rsid w:val="00A25F3C"/>
    <w:rsid w:val="00A263AF"/>
    <w:rsid w:val="00A26403"/>
    <w:rsid w:val="00A268D4"/>
    <w:rsid w:val="00A26E4D"/>
    <w:rsid w:val="00A270A5"/>
    <w:rsid w:val="00A2781D"/>
    <w:rsid w:val="00A31540"/>
    <w:rsid w:val="00A320E3"/>
    <w:rsid w:val="00A33073"/>
    <w:rsid w:val="00A33525"/>
    <w:rsid w:val="00A33573"/>
    <w:rsid w:val="00A33807"/>
    <w:rsid w:val="00A34710"/>
    <w:rsid w:val="00A34AB0"/>
    <w:rsid w:val="00A3611E"/>
    <w:rsid w:val="00A378A8"/>
    <w:rsid w:val="00A37BCE"/>
    <w:rsid w:val="00A37C16"/>
    <w:rsid w:val="00A40744"/>
    <w:rsid w:val="00A40811"/>
    <w:rsid w:val="00A41E99"/>
    <w:rsid w:val="00A42249"/>
    <w:rsid w:val="00A42944"/>
    <w:rsid w:val="00A42963"/>
    <w:rsid w:val="00A45365"/>
    <w:rsid w:val="00A473B0"/>
    <w:rsid w:val="00A50A5E"/>
    <w:rsid w:val="00A51122"/>
    <w:rsid w:val="00A5233F"/>
    <w:rsid w:val="00A52661"/>
    <w:rsid w:val="00A526EE"/>
    <w:rsid w:val="00A52BF9"/>
    <w:rsid w:val="00A52C17"/>
    <w:rsid w:val="00A53E5E"/>
    <w:rsid w:val="00A5591C"/>
    <w:rsid w:val="00A5698D"/>
    <w:rsid w:val="00A57372"/>
    <w:rsid w:val="00A60035"/>
    <w:rsid w:val="00A60628"/>
    <w:rsid w:val="00A60DEC"/>
    <w:rsid w:val="00A61232"/>
    <w:rsid w:val="00A619D1"/>
    <w:rsid w:val="00A62534"/>
    <w:rsid w:val="00A635CC"/>
    <w:rsid w:val="00A63FD1"/>
    <w:rsid w:val="00A6479F"/>
    <w:rsid w:val="00A64BCA"/>
    <w:rsid w:val="00A64D05"/>
    <w:rsid w:val="00A64EDF"/>
    <w:rsid w:val="00A65D7B"/>
    <w:rsid w:val="00A66FEC"/>
    <w:rsid w:val="00A676A2"/>
    <w:rsid w:val="00A67938"/>
    <w:rsid w:val="00A67B04"/>
    <w:rsid w:val="00A70B7A"/>
    <w:rsid w:val="00A70E96"/>
    <w:rsid w:val="00A70EA3"/>
    <w:rsid w:val="00A70F3C"/>
    <w:rsid w:val="00A72436"/>
    <w:rsid w:val="00A72FBB"/>
    <w:rsid w:val="00A7705E"/>
    <w:rsid w:val="00A77B61"/>
    <w:rsid w:val="00A81BE5"/>
    <w:rsid w:val="00A8223D"/>
    <w:rsid w:val="00A85589"/>
    <w:rsid w:val="00A8574E"/>
    <w:rsid w:val="00A86002"/>
    <w:rsid w:val="00A87248"/>
    <w:rsid w:val="00A87A10"/>
    <w:rsid w:val="00A87FC1"/>
    <w:rsid w:val="00A928E6"/>
    <w:rsid w:val="00A930E5"/>
    <w:rsid w:val="00A940CE"/>
    <w:rsid w:val="00A95811"/>
    <w:rsid w:val="00A958DE"/>
    <w:rsid w:val="00A963A9"/>
    <w:rsid w:val="00A96B13"/>
    <w:rsid w:val="00A9779E"/>
    <w:rsid w:val="00AA01E6"/>
    <w:rsid w:val="00AA09DD"/>
    <w:rsid w:val="00AA0D20"/>
    <w:rsid w:val="00AA1305"/>
    <w:rsid w:val="00AA16B3"/>
    <w:rsid w:val="00AA20D5"/>
    <w:rsid w:val="00AA2483"/>
    <w:rsid w:val="00AA2A85"/>
    <w:rsid w:val="00AA31B1"/>
    <w:rsid w:val="00AA41EA"/>
    <w:rsid w:val="00AA4291"/>
    <w:rsid w:val="00AA497B"/>
    <w:rsid w:val="00AA49D0"/>
    <w:rsid w:val="00AA4A6E"/>
    <w:rsid w:val="00AA5F62"/>
    <w:rsid w:val="00AA6AA2"/>
    <w:rsid w:val="00AA6CD0"/>
    <w:rsid w:val="00AA78BD"/>
    <w:rsid w:val="00AB0E2B"/>
    <w:rsid w:val="00AB121A"/>
    <w:rsid w:val="00AB1EFC"/>
    <w:rsid w:val="00AB22E0"/>
    <w:rsid w:val="00AB398B"/>
    <w:rsid w:val="00AB40B6"/>
    <w:rsid w:val="00AB437C"/>
    <w:rsid w:val="00AB56C1"/>
    <w:rsid w:val="00AB5D49"/>
    <w:rsid w:val="00AB67D0"/>
    <w:rsid w:val="00AB6DB4"/>
    <w:rsid w:val="00AC0C4C"/>
    <w:rsid w:val="00AC0CDE"/>
    <w:rsid w:val="00AC0D52"/>
    <w:rsid w:val="00AC132D"/>
    <w:rsid w:val="00AC146A"/>
    <w:rsid w:val="00AC1733"/>
    <w:rsid w:val="00AC2E73"/>
    <w:rsid w:val="00AC368C"/>
    <w:rsid w:val="00AC55D2"/>
    <w:rsid w:val="00AC64E3"/>
    <w:rsid w:val="00AC7510"/>
    <w:rsid w:val="00AC7BB7"/>
    <w:rsid w:val="00AD039C"/>
    <w:rsid w:val="00AD117B"/>
    <w:rsid w:val="00AD1F20"/>
    <w:rsid w:val="00AD3773"/>
    <w:rsid w:val="00AD3F52"/>
    <w:rsid w:val="00AD4C8C"/>
    <w:rsid w:val="00AD4CDC"/>
    <w:rsid w:val="00AD66EF"/>
    <w:rsid w:val="00AD67C7"/>
    <w:rsid w:val="00AD6DF6"/>
    <w:rsid w:val="00AD7E5B"/>
    <w:rsid w:val="00AE096F"/>
    <w:rsid w:val="00AE1420"/>
    <w:rsid w:val="00AE15F8"/>
    <w:rsid w:val="00AE21CB"/>
    <w:rsid w:val="00AE36BD"/>
    <w:rsid w:val="00AE40EB"/>
    <w:rsid w:val="00AE54A9"/>
    <w:rsid w:val="00AE606D"/>
    <w:rsid w:val="00AE7163"/>
    <w:rsid w:val="00AE73D8"/>
    <w:rsid w:val="00AE74B3"/>
    <w:rsid w:val="00AE7A6B"/>
    <w:rsid w:val="00AE7CB3"/>
    <w:rsid w:val="00AF04C2"/>
    <w:rsid w:val="00AF0B26"/>
    <w:rsid w:val="00AF0C6F"/>
    <w:rsid w:val="00AF1122"/>
    <w:rsid w:val="00AF1BC1"/>
    <w:rsid w:val="00AF1FC9"/>
    <w:rsid w:val="00AF2359"/>
    <w:rsid w:val="00AF2675"/>
    <w:rsid w:val="00AF308D"/>
    <w:rsid w:val="00AF48C6"/>
    <w:rsid w:val="00AF4F3C"/>
    <w:rsid w:val="00AF5081"/>
    <w:rsid w:val="00AF510F"/>
    <w:rsid w:val="00AF5CED"/>
    <w:rsid w:val="00AF678F"/>
    <w:rsid w:val="00AF78EE"/>
    <w:rsid w:val="00B0046D"/>
    <w:rsid w:val="00B0099C"/>
    <w:rsid w:val="00B00EDC"/>
    <w:rsid w:val="00B01111"/>
    <w:rsid w:val="00B011E6"/>
    <w:rsid w:val="00B02B0F"/>
    <w:rsid w:val="00B02C5F"/>
    <w:rsid w:val="00B0570D"/>
    <w:rsid w:val="00B0714F"/>
    <w:rsid w:val="00B07351"/>
    <w:rsid w:val="00B0755E"/>
    <w:rsid w:val="00B077CC"/>
    <w:rsid w:val="00B1010D"/>
    <w:rsid w:val="00B10C05"/>
    <w:rsid w:val="00B11235"/>
    <w:rsid w:val="00B11BCB"/>
    <w:rsid w:val="00B11D45"/>
    <w:rsid w:val="00B124AB"/>
    <w:rsid w:val="00B13181"/>
    <w:rsid w:val="00B1439F"/>
    <w:rsid w:val="00B1479C"/>
    <w:rsid w:val="00B14FC0"/>
    <w:rsid w:val="00B1524D"/>
    <w:rsid w:val="00B152F3"/>
    <w:rsid w:val="00B15566"/>
    <w:rsid w:val="00B1706D"/>
    <w:rsid w:val="00B170A3"/>
    <w:rsid w:val="00B177D2"/>
    <w:rsid w:val="00B21399"/>
    <w:rsid w:val="00B23906"/>
    <w:rsid w:val="00B2422D"/>
    <w:rsid w:val="00B24E69"/>
    <w:rsid w:val="00B25928"/>
    <w:rsid w:val="00B27036"/>
    <w:rsid w:val="00B2727E"/>
    <w:rsid w:val="00B278FE"/>
    <w:rsid w:val="00B2799F"/>
    <w:rsid w:val="00B279C9"/>
    <w:rsid w:val="00B27DF3"/>
    <w:rsid w:val="00B27E30"/>
    <w:rsid w:val="00B300AD"/>
    <w:rsid w:val="00B30199"/>
    <w:rsid w:val="00B30851"/>
    <w:rsid w:val="00B32115"/>
    <w:rsid w:val="00B33189"/>
    <w:rsid w:val="00B331AE"/>
    <w:rsid w:val="00B33A92"/>
    <w:rsid w:val="00B3473E"/>
    <w:rsid w:val="00B349BB"/>
    <w:rsid w:val="00B3546C"/>
    <w:rsid w:val="00B35610"/>
    <w:rsid w:val="00B36623"/>
    <w:rsid w:val="00B37C46"/>
    <w:rsid w:val="00B37FDB"/>
    <w:rsid w:val="00B4009D"/>
    <w:rsid w:val="00B4026E"/>
    <w:rsid w:val="00B40628"/>
    <w:rsid w:val="00B40EFB"/>
    <w:rsid w:val="00B4201B"/>
    <w:rsid w:val="00B42AD2"/>
    <w:rsid w:val="00B435B3"/>
    <w:rsid w:val="00B43A2E"/>
    <w:rsid w:val="00B442C0"/>
    <w:rsid w:val="00B44908"/>
    <w:rsid w:val="00B45B3E"/>
    <w:rsid w:val="00B45E32"/>
    <w:rsid w:val="00B46230"/>
    <w:rsid w:val="00B46CA9"/>
    <w:rsid w:val="00B470F9"/>
    <w:rsid w:val="00B51E6D"/>
    <w:rsid w:val="00B51F2D"/>
    <w:rsid w:val="00B5246F"/>
    <w:rsid w:val="00B529E6"/>
    <w:rsid w:val="00B52C64"/>
    <w:rsid w:val="00B5327F"/>
    <w:rsid w:val="00B535CB"/>
    <w:rsid w:val="00B53CDE"/>
    <w:rsid w:val="00B543E9"/>
    <w:rsid w:val="00B5476F"/>
    <w:rsid w:val="00B5481C"/>
    <w:rsid w:val="00B54C6C"/>
    <w:rsid w:val="00B56F57"/>
    <w:rsid w:val="00B57A13"/>
    <w:rsid w:val="00B6053B"/>
    <w:rsid w:val="00B60CC1"/>
    <w:rsid w:val="00B632B1"/>
    <w:rsid w:val="00B64F63"/>
    <w:rsid w:val="00B6529E"/>
    <w:rsid w:val="00B653E2"/>
    <w:rsid w:val="00B65F4B"/>
    <w:rsid w:val="00B66238"/>
    <w:rsid w:val="00B66C4B"/>
    <w:rsid w:val="00B67081"/>
    <w:rsid w:val="00B67B22"/>
    <w:rsid w:val="00B71C13"/>
    <w:rsid w:val="00B72AEE"/>
    <w:rsid w:val="00B7310E"/>
    <w:rsid w:val="00B73348"/>
    <w:rsid w:val="00B73646"/>
    <w:rsid w:val="00B73D17"/>
    <w:rsid w:val="00B7401C"/>
    <w:rsid w:val="00B74952"/>
    <w:rsid w:val="00B756F5"/>
    <w:rsid w:val="00B77299"/>
    <w:rsid w:val="00B774EF"/>
    <w:rsid w:val="00B77CBA"/>
    <w:rsid w:val="00B80A5E"/>
    <w:rsid w:val="00B80E26"/>
    <w:rsid w:val="00B80F13"/>
    <w:rsid w:val="00B81A62"/>
    <w:rsid w:val="00B81DC6"/>
    <w:rsid w:val="00B82DD3"/>
    <w:rsid w:val="00B83321"/>
    <w:rsid w:val="00B84377"/>
    <w:rsid w:val="00B846C6"/>
    <w:rsid w:val="00B8484B"/>
    <w:rsid w:val="00B8517C"/>
    <w:rsid w:val="00B85C6C"/>
    <w:rsid w:val="00B85F20"/>
    <w:rsid w:val="00B9124A"/>
    <w:rsid w:val="00B93132"/>
    <w:rsid w:val="00B93D6A"/>
    <w:rsid w:val="00B9480A"/>
    <w:rsid w:val="00B94BFF"/>
    <w:rsid w:val="00B956C4"/>
    <w:rsid w:val="00B95B0A"/>
    <w:rsid w:val="00B96271"/>
    <w:rsid w:val="00B97167"/>
    <w:rsid w:val="00BA0A39"/>
    <w:rsid w:val="00BA17A6"/>
    <w:rsid w:val="00BA2D2B"/>
    <w:rsid w:val="00BA36F0"/>
    <w:rsid w:val="00BA3D6D"/>
    <w:rsid w:val="00BA4876"/>
    <w:rsid w:val="00BA51E3"/>
    <w:rsid w:val="00BA5831"/>
    <w:rsid w:val="00BA5C3A"/>
    <w:rsid w:val="00BA5C82"/>
    <w:rsid w:val="00BA5FB6"/>
    <w:rsid w:val="00BA64E6"/>
    <w:rsid w:val="00BA6EB3"/>
    <w:rsid w:val="00BA7E4B"/>
    <w:rsid w:val="00BB12A7"/>
    <w:rsid w:val="00BB1858"/>
    <w:rsid w:val="00BB1E30"/>
    <w:rsid w:val="00BB224C"/>
    <w:rsid w:val="00BB2349"/>
    <w:rsid w:val="00BB2735"/>
    <w:rsid w:val="00BB2F03"/>
    <w:rsid w:val="00BB41F2"/>
    <w:rsid w:val="00BB4494"/>
    <w:rsid w:val="00BB4715"/>
    <w:rsid w:val="00BB590E"/>
    <w:rsid w:val="00BB64CB"/>
    <w:rsid w:val="00BB65B2"/>
    <w:rsid w:val="00BB6B70"/>
    <w:rsid w:val="00BB6CCF"/>
    <w:rsid w:val="00BB777A"/>
    <w:rsid w:val="00BB7A04"/>
    <w:rsid w:val="00BC09A4"/>
    <w:rsid w:val="00BC1466"/>
    <w:rsid w:val="00BC1484"/>
    <w:rsid w:val="00BC1CFA"/>
    <w:rsid w:val="00BC240C"/>
    <w:rsid w:val="00BC2B30"/>
    <w:rsid w:val="00BC2E7D"/>
    <w:rsid w:val="00BC3094"/>
    <w:rsid w:val="00BC321E"/>
    <w:rsid w:val="00BC3903"/>
    <w:rsid w:val="00BC4B2A"/>
    <w:rsid w:val="00BC5031"/>
    <w:rsid w:val="00BC62C2"/>
    <w:rsid w:val="00BC6743"/>
    <w:rsid w:val="00BC6BDD"/>
    <w:rsid w:val="00BC6F6C"/>
    <w:rsid w:val="00BC720D"/>
    <w:rsid w:val="00BC799A"/>
    <w:rsid w:val="00BD0754"/>
    <w:rsid w:val="00BD2004"/>
    <w:rsid w:val="00BD265C"/>
    <w:rsid w:val="00BD3524"/>
    <w:rsid w:val="00BD39DE"/>
    <w:rsid w:val="00BD40A4"/>
    <w:rsid w:val="00BD4467"/>
    <w:rsid w:val="00BD45D8"/>
    <w:rsid w:val="00BD46B9"/>
    <w:rsid w:val="00BD47AD"/>
    <w:rsid w:val="00BD4D7E"/>
    <w:rsid w:val="00BD5BBC"/>
    <w:rsid w:val="00BD5E18"/>
    <w:rsid w:val="00BD5E95"/>
    <w:rsid w:val="00BD7244"/>
    <w:rsid w:val="00BD7452"/>
    <w:rsid w:val="00BD7EB6"/>
    <w:rsid w:val="00BE055C"/>
    <w:rsid w:val="00BE0D25"/>
    <w:rsid w:val="00BE0D5F"/>
    <w:rsid w:val="00BE1556"/>
    <w:rsid w:val="00BE1938"/>
    <w:rsid w:val="00BE2995"/>
    <w:rsid w:val="00BE35B4"/>
    <w:rsid w:val="00BE35CA"/>
    <w:rsid w:val="00BE3C8A"/>
    <w:rsid w:val="00BE451C"/>
    <w:rsid w:val="00BE49BE"/>
    <w:rsid w:val="00BE5A76"/>
    <w:rsid w:val="00BE75BF"/>
    <w:rsid w:val="00BE7B63"/>
    <w:rsid w:val="00BF0517"/>
    <w:rsid w:val="00BF1118"/>
    <w:rsid w:val="00BF1392"/>
    <w:rsid w:val="00BF2027"/>
    <w:rsid w:val="00BF2053"/>
    <w:rsid w:val="00BF218E"/>
    <w:rsid w:val="00BF2E2E"/>
    <w:rsid w:val="00BF3B45"/>
    <w:rsid w:val="00BF3E84"/>
    <w:rsid w:val="00BF42E7"/>
    <w:rsid w:val="00BF4C58"/>
    <w:rsid w:val="00BF51D5"/>
    <w:rsid w:val="00BF6F8B"/>
    <w:rsid w:val="00BF6FDD"/>
    <w:rsid w:val="00BF7F6A"/>
    <w:rsid w:val="00C0023B"/>
    <w:rsid w:val="00C00783"/>
    <w:rsid w:val="00C008C1"/>
    <w:rsid w:val="00C01519"/>
    <w:rsid w:val="00C01844"/>
    <w:rsid w:val="00C0288F"/>
    <w:rsid w:val="00C029A2"/>
    <w:rsid w:val="00C02BA3"/>
    <w:rsid w:val="00C02C3D"/>
    <w:rsid w:val="00C02FAA"/>
    <w:rsid w:val="00C030A9"/>
    <w:rsid w:val="00C03134"/>
    <w:rsid w:val="00C034AB"/>
    <w:rsid w:val="00C03657"/>
    <w:rsid w:val="00C047C1"/>
    <w:rsid w:val="00C04A4A"/>
    <w:rsid w:val="00C0540C"/>
    <w:rsid w:val="00C0619C"/>
    <w:rsid w:val="00C0668A"/>
    <w:rsid w:val="00C066A9"/>
    <w:rsid w:val="00C07D7A"/>
    <w:rsid w:val="00C10FA7"/>
    <w:rsid w:val="00C11337"/>
    <w:rsid w:val="00C11DD0"/>
    <w:rsid w:val="00C13014"/>
    <w:rsid w:val="00C130D2"/>
    <w:rsid w:val="00C137CE"/>
    <w:rsid w:val="00C13936"/>
    <w:rsid w:val="00C14421"/>
    <w:rsid w:val="00C17198"/>
    <w:rsid w:val="00C17567"/>
    <w:rsid w:val="00C17601"/>
    <w:rsid w:val="00C201E0"/>
    <w:rsid w:val="00C2087D"/>
    <w:rsid w:val="00C20C6B"/>
    <w:rsid w:val="00C237FC"/>
    <w:rsid w:val="00C23DE3"/>
    <w:rsid w:val="00C23F5B"/>
    <w:rsid w:val="00C247C3"/>
    <w:rsid w:val="00C24A3E"/>
    <w:rsid w:val="00C25505"/>
    <w:rsid w:val="00C26107"/>
    <w:rsid w:val="00C2662C"/>
    <w:rsid w:val="00C26685"/>
    <w:rsid w:val="00C26AD1"/>
    <w:rsid w:val="00C26DE3"/>
    <w:rsid w:val="00C2704A"/>
    <w:rsid w:val="00C31201"/>
    <w:rsid w:val="00C31377"/>
    <w:rsid w:val="00C32098"/>
    <w:rsid w:val="00C32435"/>
    <w:rsid w:val="00C32463"/>
    <w:rsid w:val="00C32486"/>
    <w:rsid w:val="00C32AA6"/>
    <w:rsid w:val="00C32CA0"/>
    <w:rsid w:val="00C336AD"/>
    <w:rsid w:val="00C33A91"/>
    <w:rsid w:val="00C33F97"/>
    <w:rsid w:val="00C42357"/>
    <w:rsid w:val="00C429A1"/>
    <w:rsid w:val="00C42D47"/>
    <w:rsid w:val="00C42FBD"/>
    <w:rsid w:val="00C43860"/>
    <w:rsid w:val="00C43D75"/>
    <w:rsid w:val="00C43FA1"/>
    <w:rsid w:val="00C444BE"/>
    <w:rsid w:val="00C44C7D"/>
    <w:rsid w:val="00C45BBF"/>
    <w:rsid w:val="00C46A53"/>
    <w:rsid w:val="00C47335"/>
    <w:rsid w:val="00C47897"/>
    <w:rsid w:val="00C5008A"/>
    <w:rsid w:val="00C50FB0"/>
    <w:rsid w:val="00C52A43"/>
    <w:rsid w:val="00C52C45"/>
    <w:rsid w:val="00C54307"/>
    <w:rsid w:val="00C55095"/>
    <w:rsid w:val="00C55154"/>
    <w:rsid w:val="00C55CE3"/>
    <w:rsid w:val="00C56AD0"/>
    <w:rsid w:val="00C56D6F"/>
    <w:rsid w:val="00C574D5"/>
    <w:rsid w:val="00C57AFE"/>
    <w:rsid w:val="00C57D99"/>
    <w:rsid w:val="00C601A3"/>
    <w:rsid w:val="00C6059C"/>
    <w:rsid w:val="00C60BFB"/>
    <w:rsid w:val="00C60D74"/>
    <w:rsid w:val="00C60E5A"/>
    <w:rsid w:val="00C6115D"/>
    <w:rsid w:val="00C6140D"/>
    <w:rsid w:val="00C622FA"/>
    <w:rsid w:val="00C62BAB"/>
    <w:rsid w:val="00C640A5"/>
    <w:rsid w:val="00C641BC"/>
    <w:rsid w:val="00C64A61"/>
    <w:rsid w:val="00C64ED7"/>
    <w:rsid w:val="00C66BA8"/>
    <w:rsid w:val="00C66F1F"/>
    <w:rsid w:val="00C674F2"/>
    <w:rsid w:val="00C712E3"/>
    <w:rsid w:val="00C72230"/>
    <w:rsid w:val="00C73719"/>
    <w:rsid w:val="00C738D2"/>
    <w:rsid w:val="00C73D1F"/>
    <w:rsid w:val="00C73DDF"/>
    <w:rsid w:val="00C73DEE"/>
    <w:rsid w:val="00C749E7"/>
    <w:rsid w:val="00C74C70"/>
    <w:rsid w:val="00C74EFE"/>
    <w:rsid w:val="00C759CE"/>
    <w:rsid w:val="00C75B41"/>
    <w:rsid w:val="00C75D50"/>
    <w:rsid w:val="00C75F7E"/>
    <w:rsid w:val="00C76469"/>
    <w:rsid w:val="00C76578"/>
    <w:rsid w:val="00C7694A"/>
    <w:rsid w:val="00C76EA5"/>
    <w:rsid w:val="00C76EEB"/>
    <w:rsid w:val="00C7758C"/>
    <w:rsid w:val="00C77659"/>
    <w:rsid w:val="00C7797A"/>
    <w:rsid w:val="00C77F6D"/>
    <w:rsid w:val="00C8212E"/>
    <w:rsid w:val="00C82842"/>
    <w:rsid w:val="00C82CD2"/>
    <w:rsid w:val="00C82D9F"/>
    <w:rsid w:val="00C83CC6"/>
    <w:rsid w:val="00C85FD2"/>
    <w:rsid w:val="00C868E0"/>
    <w:rsid w:val="00C86F14"/>
    <w:rsid w:val="00C911A1"/>
    <w:rsid w:val="00C91F83"/>
    <w:rsid w:val="00C92056"/>
    <w:rsid w:val="00C949DD"/>
    <w:rsid w:val="00C95098"/>
    <w:rsid w:val="00C952A7"/>
    <w:rsid w:val="00C95509"/>
    <w:rsid w:val="00C96220"/>
    <w:rsid w:val="00C96935"/>
    <w:rsid w:val="00C9706C"/>
    <w:rsid w:val="00C97381"/>
    <w:rsid w:val="00C97445"/>
    <w:rsid w:val="00CA022E"/>
    <w:rsid w:val="00CA2C93"/>
    <w:rsid w:val="00CA3A20"/>
    <w:rsid w:val="00CA4461"/>
    <w:rsid w:val="00CA50BB"/>
    <w:rsid w:val="00CA56FB"/>
    <w:rsid w:val="00CA57D4"/>
    <w:rsid w:val="00CA5874"/>
    <w:rsid w:val="00CA5E4B"/>
    <w:rsid w:val="00CA7442"/>
    <w:rsid w:val="00CB035E"/>
    <w:rsid w:val="00CB0452"/>
    <w:rsid w:val="00CB04CB"/>
    <w:rsid w:val="00CB04E0"/>
    <w:rsid w:val="00CB063E"/>
    <w:rsid w:val="00CB0D3F"/>
    <w:rsid w:val="00CB0E10"/>
    <w:rsid w:val="00CB513F"/>
    <w:rsid w:val="00CB61B6"/>
    <w:rsid w:val="00CB75DF"/>
    <w:rsid w:val="00CB7D08"/>
    <w:rsid w:val="00CC08C9"/>
    <w:rsid w:val="00CC09B6"/>
    <w:rsid w:val="00CC108C"/>
    <w:rsid w:val="00CC11FD"/>
    <w:rsid w:val="00CC1323"/>
    <w:rsid w:val="00CC155D"/>
    <w:rsid w:val="00CC28F2"/>
    <w:rsid w:val="00CC2B43"/>
    <w:rsid w:val="00CC2DCA"/>
    <w:rsid w:val="00CC3655"/>
    <w:rsid w:val="00CC3B2C"/>
    <w:rsid w:val="00CC3B31"/>
    <w:rsid w:val="00CC4725"/>
    <w:rsid w:val="00CC4796"/>
    <w:rsid w:val="00CC55E7"/>
    <w:rsid w:val="00CC70D6"/>
    <w:rsid w:val="00CD0020"/>
    <w:rsid w:val="00CD0079"/>
    <w:rsid w:val="00CD1400"/>
    <w:rsid w:val="00CD148A"/>
    <w:rsid w:val="00CD1E0A"/>
    <w:rsid w:val="00CD2A79"/>
    <w:rsid w:val="00CD2DB6"/>
    <w:rsid w:val="00CD2E2C"/>
    <w:rsid w:val="00CD2FBD"/>
    <w:rsid w:val="00CD3257"/>
    <w:rsid w:val="00CD3D07"/>
    <w:rsid w:val="00CD42B7"/>
    <w:rsid w:val="00CD4F5E"/>
    <w:rsid w:val="00CD6077"/>
    <w:rsid w:val="00CD625C"/>
    <w:rsid w:val="00CD6AD4"/>
    <w:rsid w:val="00CD6E68"/>
    <w:rsid w:val="00CD7341"/>
    <w:rsid w:val="00CD7F56"/>
    <w:rsid w:val="00CE02A2"/>
    <w:rsid w:val="00CE0486"/>
    <w:rsid w:val="00CE1168"/>
    <w:rsid w:val="00CE1189"/>
    <w:rsid w:val="00CE1358"/>
    <w:rsid w:val="00CE2DC7"/>
    <w:rsid w:val="00CE3564"/>
    <w:rsid w:val="00CE3659"/>
    <w:rsid w:val="00CE368A"/>
    <w:rsid w:val="00CE4256"/>
    <w:rsid w:val="00CE5026"/>
    <w:rsid w:val="00CE52F1"/>
    <w:rsid w:val="00CE5657"/>
    <w:rsid w:val="00CE5D70"/>
    <w:rsid w:val="00CE5E55"/>
    <w:rsid w:val="00CE63BA"/>
    <w:rsid w:val="00CE729E"/>
    <w:rsid w:val="00CE7C14"/>
    <w:rsid w:val="00CE7EDF"/>
    <w:rsid w:val="00CF1542"/>
    <w:rsid w:val="00CF1AF1"/>
    <w:rsid w:val="00CF1B28"/>
    <w:rsid w:val="00CF2D04"/>
    <w:rsid w:val="00CF2EFE"/>
    <w:rsid w:val="00CF32B2"/>
    <w:rsid w:val="00CF3A3A"/>
    <w:rsid w:val="00CF3FE4"/>
    <w:rsid w:val="00CF4693"/>
    <w:rsid w:val="00CF4839"/>
    <w:rsid w:val="00CF5F95"/>
    <w:rsid w:val="00CF7226"/>
    <w:rsid w:val="00D0150C"/>
    <w:rsid w:val="00D01AB2"/>
    <w:rsid w:val="00D01F64"/>
    <w:rsid w:val="00D021EF"/>
    <w:rsid w:val="00D0369C"/>
    <w:rsid w:val="00D0416A"/>
    <w:rsid w:val="00D04799"/>
    <w:rsid w:val="00D0587E"/>
    <w:rsid w:val="00D05C6A"/>
    <w:rsid w:val="00D060F0"/>
    <w:rsid w:val="00D06333"/>
    <w:rsid w:val="00D06D24"/>
    <w:rsid w:val="00D10FE2"/>
    <w:rsid w:val="00D119AC"/>
    <w:rsid w:val="00D11DC6"/>
    <w:rsid w:val="00D14A3E"/>
    <w:rsid w:val="00D16A99"/>
    <w:rsid w:val="00D17055"/>
    <w:rsid w:val="00D202B1"/>
    <w:rsid w:val="00D209DE"/>
    <w:rsid w:val="00D20C27"/>
    <w:rsid w:val="00D228E5"/>
    <w:rsid w:val="00D22C87"/>
    <w:rsid w:val="00D22C99"/>
    <w:rsid w:val="00D23514"/>
    <w:rsid w:val="00D239FA"/>
    <w:rsid w:val="00D23AD9"/>
    <w:rsid w:val="00D23BBE"/>
    <w:rsid w:val="00D24882"/>
    <w:rsid w:val="00D24C9F"/>
    <w:rsid w:val="00D24F09"/>
    <w:rsid w:val="00D263DF"/>
    <w:rsid w:val="00D267ED"/>
    <w:rsid w:val="00D268D0"/>
    <w:rsid w:val="00D26ACF"/>
    <w:rsid w:val="00D276FA"/>
    <w:rsid w:val="00D3250D"/>
    <w:rsid w:val="00D334DC"/>
    <w:rsid w:val="00D33E5B"/>
    <w:rsid w:val="00D344A4"/>
    <w:rsid w:val="00D3554D"/>
    <w:rsid w:val="00D35692"/>
    <w:rsid w:val="00D36187"/>
    <w:rsid w:val="00D37C77"/>
    <w:rsid w:val="00D4064B"/>
    <w:rsid w:val="00D41142"/>
    <w:rsid w:val="00D41C6A"/>
    <w:rsid w:val="00D41FCA"/>
    <w:rsid w:val="00D42008"/>
    <w:rsid w:val="00D42131"/>
    <w:rsid w:val="00D432F9"/>
    <w:rsid w:val="00D43E25"/>
    <w:rsid w:val="00D441CD"/>
    <w:rsid w:val="00D467D5"/>
    <w:rsid w:val="00D46B2B"/>
    <w:rsid w:val="00D50147"/>
    <w:rsid w:val="00D505DF"/>
    <w:rsid w:val="00D50E63"/>
    <w:rsid w:val="00D514CF"/>
    <w:rsid w:val="00D51D3D"/>
    <w:rsid w:val="00D520B2"/>
    <w:rsid w:val="00D525D5"/>
    <w:rsid w:val="00D527AC"/>
    <w:rsid w:val="00D5356D"/>
    <w:rsid w:val="00D53ACB"/>
    <w:rsid w:val="00D547CA"/>
    <w:rsid w:val="00D54EE4"/>
    <w:rsid w:val="00D55391"/>
    <w:rsid w:val="00D558B2"/>
    <w:rsid w:val="00D55D44"/>
    <w:rsid w:val="00D56104"/>
    <w:rsid w:val="00D56871"/>
    <w:rsid w:val="00D577F2"/>
    <w:rsid w:val="00D57C14"/>
    <w:rsid w:val="00D60787"/>
    <w:rsid w:val="00D6165B"/>
    <w:rsid w:val="00D61867"/>
    <w:rsid w:val="00D61C0C"/>
    <w:rsid w:val="00D628EE"/>
    <w:rsid w:val="00D642C4"/>
    <w:rsid w:val="00D64586"/>
    <w:rsid w:val="00D65162"/>
    <w:rsid w:val="00D651FB"/>
    <w:rsid w:val="00D66705"/>
    <w:rsid w:val="00D66E1B"/>
    <w:rsid w:val="00D67037"/>
    <w:rsid w:val="00D670D2"/>
    <w:rsid w:val="00D67102"/>
    <w:rsid w:val="00D67794"/>
    <w:rsid w:val="00D67A02"/>
    <w:rsid w:val="00D71653"/>
    <w:rsid w:val="00D727F5"/>
    <w:rsid w:val="00D72D84"/>
    <w:rsid w:val="00D72FFB"/>
    <w:rsid w:val="00D734E6"/>
    <w:rsid w:val="00D73D3A"/>
    <w:rsid w:val="00D750A8"/>
    <w:rsid w:val="00D751D5"/>
    <w:rsid w:val="00D7592C"/>
    <w:rsid w:val="00D76357"/>
    <w:rsid w:val="00D80BE9"/>
    <w:rsid w:val="00D81397"/>
    <w:rsid w:val="00D81866"/>
    <w:rsid w:val="00D81B9B"/>
    <w:rsid w:val="00D820AD"/>
    <w:rsid w:val="00D82375"/>
    <w:rsid w:val="00D82D2A"/>
    <w:rsid w:val="00D83AD5"/>
    <w:rsid w:val="00D843C2"/>
    <w:rsid w:val="00D852EC"/>
    <w:rsid w:val="00D854AD"/>
    <w:rsid w:val="00D862DE"/>
    <w:rsid w:val="00D86352"/>
    <w:rsid w:val="00D86902"/>
    <w:rsid w:val="00D8706A"/>
    <w:rsid w:val="00D87123"/>
    <w:rsid w:val="00D906C8"/>
    <w:rsid w:val="00D91A27"/>
    <w:rsid w:val="00D9391F"/>
    <w:rsid w:val="00D93B01"/>
    <w:rsid w:val="00D93BF4"/>
    <w:rsid w:val="00D93F19"/>
    <w:rsid w:val="00D9550A"/>
    <w:rsid w:val="00D9743C"/>
    <w:rsid w:val="00D97946"/>
    <w:rsid w:val="00DA02AB"/>
    <w:rsid w:val="00DA2E40"/>
    <w:rsid w:val="00DA31B7"/>
    <w:rsid w:val="00DA383F"/>
    <w:rsid w:val="00DA3CD4"/>
    <w:rsid w:val="00DA51C2"/>
    <w:rsid w:val="00DA6459"/>
    <w:rsid w:val="00DA6AEB"/>
    <w:rsid w:val="00DB0157"/>
    <w:rsid w:val="00DB0B29"/>
    <w:rsid w:val="00DB116D"/>
    <w:rsid w:val="00DB1200"/>
    <w:rsid w:val="00DB17B8"/>
    <w:rsid w:val="00DB1952"/>
    <w:rsid w:val="00DB229D"/>
    <w:rsid w:val="00DB2CF1"/>
    <w:rsid w:val="00DB2E00"/>
    <w:rsid w:val="00DB33E6"/>
    <w:rsid w:val="00DB3D79"/>
    <w:rsid w:val="00DB4B7A"/>
    <w:rsid w:val="00DB5AF3"/>
    <w:rsid w:val="00DB60FD"/>
    <w:rsid w:val="00DB77D7"/>
    <w:rsid w:val="00DC02BF"/>
    <w:rsid w:val="00DC365B"/>
    <w:rsid w:val="00DC4BA2"/>
    <w:rsid w:val="00DC4FF0"/>
    <w:rsid w:val="00DC5118"/>
    <w:rsid w:val="00DC566C"/>
    <w:rsid w:val="00DC597F"/>
    <w:rsid w:val="00DC7950"/>
    <w:rsid w:val="00DD09A9"/>
    <w:rsid w:val="00DD1199"/>
    <w:rsid w:val="00DD1DA0"/>
    <w:rsid w:val="00DD235F"/>
    <w:rsid w:val="00DD37C8"/>
    <w:rsid w:val="00DD3FA7"/>
    <w:rsid w:val="00DD507F"/>
    <w:rsid w:val="00DD5C06"/>
    <w:rsid w:val="00DD5E52"/>
    <w:rsid w:val="00DD6317"/>
    <w:rsid w:val="00DD74EA"/>
    <w:rsid w:val="00DE0202"/>
    <w:rsid w:val="00DE058F"/>
    <w:rsid w:val="00DE0838"/>
    <w:rsid w:val="00DE1CB6"/>
    <w:rsid w:val="00DE1D1F"/>
    <w:rsid w:val="00DE2856"/>
    <w:rsid w:val="00DE2D98"/>
    <w:rsid w:val="00DE3BF8"/>
    <w:rsid w:val="00DE5999"/>
    <w:rsid w:val="00DE5A4C"/>
    <w:rsid w:val="00DE698E"/>
    <w:rsid w:val="00DE6D95"/>
    <w:rsid w:val="00DE7487"/>
    <w:rsid w:val="00DE7A6C"/>
    <w:rsid w:val="00DF1264"/>
    <w:rsid w:val="00DF15A3"/>
    <w:rsid w:val="00DF1FDA"/>
    <w:rsid w:val="00DF232B"/>
    <w:rsid w:val="00DF3579"/>
    <w:rsid w:val="00DF3AEC"/>
    <w:rsid w:val="00DF484C"/>
    <w:rsid w:val="00DF60D3"/>
    <w:rsid w:val="00DF701D"/>
    <w:rsid w:val="00DF792A"/>
    <w:rsid w:val="00E000CF"/>
    <w:rsid w:val="00E00D36"/>
    <w:rsid w:val="00E014C9"/>
    <w:rsid w:val="00E01654"/>
    <w:rsid w:val="00E028C9"/>
    <w:rsid w:val="00E02BB9"/>
    <w:rsid w:val="00E03D6A"/>
    <w:rsid w:val="00E04D61"/>
    <w:rsid w:val="00E04E29"/>
    <w:rsid w:val="00E051E5"/>
    <w:rsid w:val="00E07895"/>
    <w:rsid w:val="00E07FF8"/>
    <w:rsid w:val="00E108BA"/>
    <w:rsid w:val="00E10ABB"/>
    <w:rsid w:val="00E11391"/>
    <w:rsid w:val="00E11B34"/>
    <w:rsid w:val="00E124CF"/>
    <w:rsid w:val="00E124DA"/>
    <w:rsid w:val="00E12690"/>
    <w:rsid w:val="00E13474"/>
    <w:rsid w:val="00E13781"/>
    <w:rsid w:val="00E13C52"/>
    <w:rsid w:val="00E148D3"/>
    <w:rsid w:val="00E1507C"/>
    <w:rsid w:val="00E1509E"/>
    <w:rsid w:val="00E16D9F"/>
    <w:rsid w:val="00E17809"/>
    <w:rsid w:val="00E21672"/>
    <w:rsid w:val="00E21806"/>
    <w:rsid w:val="00E22479"/>
    <w:rsid w:val="00E22C5F"/>
    <w:rsid w:val="00E23BD1"/>
    <w:rsid w:val="00E23D3E"/>
    <w:rsid w:val="00E24A82"/>
    <w:rsid w:val="00E24E9F"/>
    <w:rsid w:val="00E255B2"/>
    <w:rsid w:val="00E26389"/>
    <w:rsid w:val="00E2768F"/>
    <w:rsid w:val="00E276B2"/>
    <w:rsid w:val="00E2787D"/>
    <w:rsid w:val="00E30000"/>
    <w:rsid w:val="00E30197"/>
    <w:rsid w:val="00E3073F"/>
    <w:rsid w:val="00E30C61"/>
    <w:rsid w:val="00E3151F"/>
    <w:rsid w:val="00E319BF"/>
    <w:rsid w:val="00E31C39"/>
    <w:rsid w:val="00E32159"/>
    <w:rsid w:val="00E32B74"/>
    <w:rsid w:val="00E32DDD"/>
    <w:rsid w:val="00E33066"/>
    <w:rsid w:val="00E3353B"/>
    <w:rsid w:val="00E33648"/>
    <w:rsid w:val="00E336BD"/>
    <w:rsid w:val="00E33ACA"/>
    <w:rsid w:val="00E348E6"/>
    <w:rsid w:val="00E34EEC"/>
    <w:rsid w:val="00E35775"/>
    <w:rsid w:val="00E362BF"/>
    <w:rsid w:val="00E408A0"/>
    <w:rsid w:val="00E41734"/>
    <w:rsid w:val="00E4192A"/>
    <w:rsid w:val="00E41D6A"/>
    <w:rsid w:val="00E428AA"/>
    <w:rsid w:val="00E4350D"/>
    <w:rsid w:val="00E4396B"/>
    <w:rsid w:val="00E44599"/>
    <w:rsid w:val="00E45081"/>
    <w:rsid w:val="00E452E8"/>
    <w:rsid w:val="00E457DE"/>
    <w:rsid w:val="00E4595A"/>
    <w:rsid w:val="00E4657F"/>
    <w:rsid w:val="00E47398"/>
    <w:rsid w:val="00E47606"/>
    <w:rsid w:val="00E516CD"/>
    <w:rsid w:val="00E519D4"/>
    <w:rsid w:val="00E51BBE"/>
    <w:rsid w:val="00E51C06"/>
    <w:rsid w:val="00E51C12"/>
    <w:rsid w:val="00E51E4C"/>
    <w:rsid w:val="00E52AF2"/>
    <w:rsid w:val="00E52F21"/>
    <w:rsid w:val="00E5330A"/>
    <w:rsid w:val="00E53AD7"/>
    <w:rsid w:val="00E53B6C"/>
    <w:rsid w:val="00E54821"/>
    <w:rsid w:val="00E54BF3"/>
    <w:rsid w:val="00E55A7C"/>
    <w:rsid w:val="00E55AEF"/>
    <w:rsid w:val="00E56B4F"/>
    <w:rsid w:val="00E60CC1"/>
    <w:rsid w:val="00E621A9"/>
    <w:rsid w:val="00E62766"/>
    <w:rsid w:val="00E62D8D"/>
    <w:rsid w:val="00E631AF"/>
    <w:rsid w:val="00E643E2"/>
    <w:rsid w:val="00E64DA8"/>
    <w:rsid w:val="00E654B9"/>
    <w:rsid w:val="00E6581C"/>
    <w:rsid w:val="00E6728A"/>
    <w:rsid w:val="00E67CD6"/>
    <w:rsid w:val="00E707D1"/>
    <w:rsid w:val="00E71FBC"/>
    <w:rsid w:val="00E72919"/>
    <w:rsid w:val="00E72936"/>
    <w:rsid w:val="00E72CA7"/>
    <w:rsid w:val="00E72D5F"/>
    <w:rsid w:val="00E73114"/>
    <w:rsid w:val="00E73771"/>
    <w:rsid w:val="00E73805"/>
    <w:rsid w:val="00E74834"/>
    <w:rsid w:val="00E75205"/>
    <w:rsid w:val="00E7543E"/>
    <w:rsid w:val="00E7568F"/>
    <w:rsid w:val="00E75F0B"/>
    <w:rsid w:val="00E7608A"/>
    <w:rsid w:val="00E76426"/>
    <w:rsid w:val="00E76D57"/>
    <w:rsid w:val="00E803CD"/>
    <w:rsid w:val="00E8093F"/>
    <w:rsid w:val="00E81F81"/>
    <w:rsid w:val="00E8387D"/>
    <w:rsid w:val="00E84443"/>
    <w:rsid w:val="00E84B40"/>
    <w:rsid w:val="00E85631"/>
    <w:rsid w:val="00E8602E"/>
    <w:rsid w:val="00E86608"/>
    <w:rsid w:val="00E86D14"/>
    <w:rsid w:val="00E87329"/>
    <w:rsid w:val="00E87C10"/>
    <w:rsid w:val="00E90149"/>
    <w:rsid w:val="00E90467"/>
    <w:rsid w:val="00E90605"/>
    <w:rsid w:val="00E909ED"/>
    <w:rsid w:val="00E91C21"/>
    <w:rsid w:val="00E92CC8"/>
    <w:rsid w:val="00E933E7"/>
    <w:rsid w:val="00E94CBF"/>
    <w:rsid w:val="00E94D44"/>
    <w:rsid w:val="00E951BE"/>
    <w:rsid w:val="00E96528"/>
    <w:rsid w:val="00E979D3"/>
    <w:rsid w:val="00EA01D7"/>
    <w:rsid w:val="00EA0D40"/>
    <w:rsid w:val="00EA3D8C"/>
    <w:rsid w:val="00EA403C"/>
    <w:rsid w:val="00EA4D3C"/>
    <w:rsid w:val="00EA4DDC"/>
    <w:rsid w:val="00EA5643"/>
    <w:rsid w:val="00EB0283"/>
    <w:rsid w:val="00EB05DF"/>
    <w:rsid w:val="00EB0EE8"/>
    <w:rsid w:val="00EB2095"/>
    <w:rsid w:val="00EB248B"/>
    <w:rsid w:val="00EB2EDF"/>
    <w:rsid w:val="00EB38C7"/>
    <w:rsid w:val="00EB3946"/>
    <w:rsid w:val="00EB41E3"/>
    <w:rsid w:val="00EB570A"/>
    <w:rsid w:val="00EB687C"/>
    <w:rsid w:val="00EB69FF"/>
    <w:rsid w:val="00EB7922"/>
    <w:rsid w:val="00EC2645"/>
    <w:rsid w:val="00EC2C1F"/>
    <w:rsid w:val="00EC31D7"/>
    <w:rsid w:val="00EC4017"/>
    <w:rsid w:val="00EC6D62"/>
    <w:rsid w:val="00EC773A"/>
    <w:rsid w:val="00EC79AA"/>
    <w:rsid w:val="00ED2DD1"/>
    <w:rsid w:val="00ED2F0A"/>
    <w:rsid w:val="00ED375E"/>
    <w:rsid w:val="00ED375F"/>
    <w:rsid w:val="00ED3B05"/>
    <w:rsid w:val="00ED4F56"/>
    <w:rsid w:val="00ED5386"/>
    <w:rsid w:val="00ED5804"/>
    <w:rsid w:val="00ED6702"/>
    <w:rsid w:val="00ED77D1"/>
    <w:rsid w:val="00ED7D2D"/>
    <w:rsid w:val="00EE04EB"/>
    <w:rsid w:val="00EE0E40"/>
    <w:rsid w:val="00EE0F03"/>
    <w:rsid w:val="00EE1C2C"/>
    <w:rsid w:val="00EE2866"/>
    <w:rsid w:val="00EE3634"/>
    <w:rsid w:val="00EE3744"/>
    <w:rsid w:val="00EE38ED"/>
    <w:rsid w:val="00EE3DDF"/>
    <w:rsid w:val="00EE495C"/>
    <w:rsid w:val="00EE501A"/>
    <w:rsid w:val="00EE56DE"/>
    <w:rsid w:val="00EE6744"/>
    <w:rsid w:val="00EE6C26"/>
    <w:rsid w:val="00EE71CA"/>
    <w:rsid w:val="00EE71E1"/>
    <w:rsid w:val="00EE7FB0"/>
    <w:rsid w:val="00EF0AAB"/>
    <w:rsid w:val="00EF0ECC"/>
    <w:rsid w:val="00EF1C87"/>
    <w:rsid w:val="00EF1E95"/>
    <w:rsid w:val="00EF221B"/>
    <w:rsid w:val="00EF3B25"/>
    <w:rsid w:val="00EF4564"/>
    <w:rsid w:val="00EF4A13"/>
    <w:rsid w:val="00EF4AB0"/>
    <w:rsid w:val="00EF4D52"/>
    <w:rsid w:val="00EF5E2D"/>
    <w:rsid w:val="00EF60A0"/>
    <w:rsid w:val="00EF61DC"/>
    <w:rsid w:val="00EF71A6"/>
    <w:rsid w:val="00F00D3B"/>
    <w:rsid w:val="00F010DE"/>
    <w:rsid w:val="00F018EC"/>
    <w:rsid w:val="00F01D65"/>
    <w:rsid w:val="00F01D73"/>
    <w:rsid w:val="00F0394A"/>
    <w:rsid w:val="00F03C70"/>
    <w:rsid w:val="00F041B4"/>
    <w:rsid w:val="00F04347"/>
    <w:rsid w:val="00F04469"/>
    <w:rsid w:val="00F0453E"/>
    <w:rsid w:val="00F066E1"/>
    <w:rsid w:val="00F0714C"/>
    <w:rsid w:val="00F07EA2"/>
    <w:rsid w:val="00F11336"/>
    <w:rsid w:val="00F11524"/>
    <w:rsid w:val="00F11600"/>
    <w:rsid w:val="00F1181B"/>
    <w:rsid w:val="00F12252"/>
    <w:rsid w:val="00F128EE"/>
    <w:rsid w:val="00F12E24"/>
    <w:rsid w:val="00F14084"/>
    <w:rsid w:val="00F169CC"/>
    <w:rsid w:val="00F204BD"/>
    <w:rsid w:val="00F20588"/>
    <w:rsid w:val="00F24B7F"/>
    <w:rsid w:val="00F25290"/>
    <w:rsid w:val="00F25390"/>
    <w:rsid w:val="00F2558D"/>
    <w:rsid w:val="00F25CBE"/>
    <w:rsid w:val="00F2633C"/>
    <w:rsid w:val="00F26567"/>
    <w:rsid w:val="00F26865"/>
    <w:rsid w:val="00F26D56"/>
    <w:rsid w:val="00F272DD"/>
    <w:rsid w:val="00F2755C"/>
    <w:rsid w:val="00F27A03"/>
    <w:rsid w:val="00F30775"/>
    <w:rsid w:val="00F315B9"/>
    <w:rsid w:val="00F31747"/>
    <w:rsid w:val="00F31F94"/>
    <w:rsid w:val="00F321C4"/>
    <w:rsid w:val="00F3355D"/>
    <w:rsid w:val="00F3364A"/>
    <w:rsid w:val="00F337C4"/>
    <w:rsid w:val="00F34A4E"/>
    <w:rsid w:val="00F3559E"/>
    <w:rsid w:val="00F355AE"/>
    <w:rsid w:val="00F35602"/>
    <w:rsid w:val="00F35B57"/>
    <w:rsid w:val="00F37874"/>
    <w:rsid w:val="00F41E5C"/>
    <w:rsid w:val="00F42091"/>
    <w:rsid w:val="00F42A52"/>
    <w:rsid w:val="00F43C62"/>
    <w:rsid w:val="00F43D4D"/>
    <w:rsid w:val="00F43E07"/>
    <w:rsid w:val="00F44A95"/>
    <w:rsid w:val="00F44DE0"/>
    <w:rsid w:val="00F44EDB"/>
    <w:rsid w:val="00F45B3B"/>
    <w:rsid w:val="00F46735"/>
    <w:rsid w:val="00F47D01"/>
    <w:rsid w:val="00F53B85"/>
    <w:rsid w:val="00F54969"/>
    <w:rsid w:val="00F54B92"/>
    <w:rsid w:val="00F55D35"/>
    <w:rsid w:val="00F564A2"/>
    <w:rsid w:val="00F56C18"/>
    <w:rsid w:val="00F56DD2"/>
    <w:rsid w:val="00F57649"/>
    <w:rsid w:val="00F57BF1"/>
    <w:rsid w:val="00F57FC3"/>
    <w:rsid w:val="00F61E02"/>
    <w:rsid w:val="00F643AF"/>
    <w:rsid w:val="00F6479E"/>
    <w:rsid w:val="00F6575E"/>
    <w:rsid w:val="00F66419"/>
    <w:rsid w:val="00F725A2"/>
    <w:rsid w:val="00F72984"/>
    <w:rsid w:val="00F729B4"/>
    <w:rsid w:val="00F729FB"/>
    <w:rsid w:val="00F7377B"/>
    <w:rsid w:val="00F73789"/>
    <w:rsid w:val="00F73B9F"/>
    <w:rsid w:val="00F74091"/>
    <w:rsid w:val="00F757A5"/>
    <w:rsid w:val="00F762CA"/>
    <w:rsid w:val="00F76559"/>
    <w:rsid w:val="00F81495"/>
    <w:rsid w:val="00F81C6A"/>
    <w:rsid w:val="00F826DA"/>
    <w:rsid w:val="00F82871"/>
    <w:rsid w:val="00F82BA9"/>
    <w:rsid w:val="00F84C7D"/>
    <w:rsid w:val="00F859CB"/>
    <w:rsid w:val="00F86A8B"/>
    <w:rsid w:val="00F86B87"/>
    <w:rsid w:val="00F87025"/>
    <w:rsid w:val="00F9039D"/>
    <w:rsid w:val="00F92649"/>
    <w:rsid w:val="00F92A0F"/>
    <w:rsid w:val="00F939E0"/>
    <w:rsid w:val="00F94C4A"/>
    <w:rsid w:val="00F962DA"/>
    <w:rsid w:val="00F967BE"/>
    <w:rsid w:val="00F9683A"/>
    <w:rsid w:val="00F96DF2"/>
    <w:rsid w:val="00F96E64"/>
    <w:rsid w:val="00F9711F"/>
    <w:rsid w:val="00F97319"/>
    <w:rsid w:val="00F97457"/>
    <w:rsid w:val="00FA0995"/>
    <w:rsid w:val="00FA0FA0"/>
    <w:rsid w:val="00FA1F2E"/>
    <w:rsid w:val="00FA2005"/>
    <w:rsid w:val="00FA2693"/>
    <w:rsid w:val="00FA41B4"/>
    <w:rsid w:val="00FA47F2"/>
    <w:rsid w:val="00FA616C"/>
    <w:rsid w:val="00FA6506"/>
    <w:rsid w:val="00FA6649"/>
    <w:rsid w:val="00FA6BD0"/>
    <w:rsid w:val="00FA6C2A"/>
    <w:rsid w:val="00FA74AA"/>
    <w:rsid w:val="00FB0103"/>
    <w:rsid w:val="00FB0595"/>
    <w:rsid w:val="00FB0E61"/>
    <w:rsid w:val="00FB1119"/>
    <w:rsid w:val="00FB1ACD"/>
    <w:rsid w:val="00FB27B5"/>
    <w:rsid w:val="00FB2B42"/>
    <w:rsid w:val="00FB348B"/>
    <w:rsid w:val="00FB3615"/>
    <w:rsid w:val="00FB384A"/>
    <w:rsid w:val="00FB42E1"/>
    <w:rsid w:val="00FB47C0"/>
    <w:rsid w:val="00FB5FEF"/>
    <w:rsid w:val="00FB61AD"/>
    <w:rsid w:val="00FB6489"/>
    <w:rsid w:val="00FB6B61"/>
    <w:rsid w:val="00FB713A"/>
    <w:rsid w:val="00FB7907"/>
    <w:rsid w:val="00FB7FB1"/>
    <w:rsid w:val="00FC0BE0"/>
    <w:rsid w:val="00FC1057"/>
    <w:rsid w:val="00FC1C01"/>
    <w:rsid w:val="00FC240E"/>
    <w:rsid w:val="00FC2B71"/>
    <w:rsid w:val="00FC2EB6"/>
    <w:rsid w:val="00FC35A0"/>
    <w:rsid w:val="00FC421E"/>
    <w:rsid w:val="00FC54A1"/>
    <w:rsid w:val="00FC57F2"/>
    <w:rsid w:val="00FC60FA"/>
    <w:rsid w:val="00FC65BE"/>
    <w:rsid w:val="00FC692C"/>
    <w:rsid w:val="00FD0A8B"/>
    <w:rsid w:val="00FD0B2E"/>
    <w:rsid w:val="00FD102F"/>
    <w:rsid w:val="00FD171C"/>
    <w:rsid w:val="00FD1750"/>
    <w:rsid w:val="00FD18B7"/>
    <w:rsid w:val="00FD1F33"/>
    <w:rsid w:val="00FD22BC"/>
    <w:rsid w:val="00FD3206"/>
    <w:rsid w:val="00FD372B"/>
    <w:rsid w:val="00FD39E7"/>
    <w:rsid w:val="00FD3AB9"/>
    <w:rsid w:val="00FD4376"/>
    <w:rsid w:val="00FD5678"/>
    <w:rsid w:val="00FD5735"/>
    <w:rsid w:val="00FD64D6"/>
    <w:rsid w:val="00FD6750"/>
    <w:rsid w:val="00FD6986"/>
    <w:rsid w:val="00FD782E"/>
    <w:rsid w:val="00FE01AE"/>
    <w:rsid w:val="00FE04CB"/>
    <w:rsid w:val="00FE07A7"/>
    <w:rsid w:val="00FE09EB"/>
    <w:rsid w:val="00FE1A26"/>
    <w:rsid w:val="00FE1B77"/>
    <w:rsid w:val="00FE28C0"/>
    <w:rsid w:val="00FE2D04"/>
    <w:rsid w:val="00FE32E5"/>
    <w:rsid w:val="00FE4613"/>
    <w:rsid w:val="00FE47B2"/>
    <w:rsid w:val="00FE4DDC"/>
    <w:rsid w:val="00FE551E"/>
    <w:rsid w:val="00FE5A39"/>
    <w:rsid w:val="00FE6ADE"/>
    <w:rsid w:val="00FE6CC1"/>
    <w:rsid w:val="00FE723B"/>
    <w:rsid w:val="00FE774A"/>
    <w:rsid w:val="00FE7E58"/>
    <w:rsid w:val="00FF040B"/>
    <w:rsid w:val="00FF0B4F"/>
    <w:rsid w:val="00FF12FC"/>
    <w:rsid w:val="00FF2460"/>
    <w:rsid w:val="00FF289A"/>
    <w:rsid w:val="00FF3B7E"/>
    <w:rsid w:val="00FF4ACF"/>
    <w:rsid w:val="00FF5668"/>
    <w:rsid w:val="00FF634E"/>
    <w:rsid w:val="00FF6648"/>
    <w:rsid w:val="00FF68AE"/>
    <w:rsid w:val="00FF7082"/>
    <w:rsid w:val="00FF7E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8B0CF1"/>
  <w15:docId w15:val="{1816C4AC-141A-440B-9215-866A81459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046D"/>
    <w:pPr>
      <w:jc w:val="both"/>
    </w:pPr>
    <w:rPr>
      <w:color w:val="44546A" w:themeColor="text2"/>
      <w:sz w:val="20"/>
    </w:rPr>
  </w:style>
  <w:style w:type="paragraph" w:styleId="Heading1">
    <w:name w:val="heading 1"/>
    <w:basedOn w:val="Normal"/>
    <w:next w:val="Normal"/>
    <w:link w:val="Heading1Char"/>
    <w:uiPriority w:val="9"/>
    <w:qFormat/>
    <w:rsid w:val="00AF235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Podnaslov 2"/>
    <w:basedOn w:val="Normal"/>
    <w:next w:val="Normal"/>
    <w:link w:val="Heading2Char"/>
    <w:uiPriority w:val="9"/>
    <w:unhideWhenUsed/>
    <w:qFormat/>
    <w:rsid w:val="00AF235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70694"/>
    <w:pPr>
      <w:autoSpaceDE w:val="0"/>
      <w:autoSpaceDN w:val="0"/>
      <w:adjustRightInd w:val="0"/>
      <w:spacing w:after="0" w:line="240" w:lineRule="auto"/>
    </w:pPr>
    <w:rPr>
      <w:rFonts w:ascii="Cambria" w:hAnsi="Cambria" w:cs="Cambria"/>
      <w:color w:val="000000"/>
      <w:sz w:val="24"/>
      <w:szCs w:val="24"/>
    </w:rPr>
  </w:style>
  <w:style w:type="paragraph" w:styleId="Header">
    <w:name w:val="header"/>
    <w:basedOn w:val="Normal"/>
    <w:link w:val="HeaderChar"/>
    <w:uiPriority w:val="99"/>
    <w:unhideWhenUsed/>
    <w:rsid w:val="00BF7F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7F6A"/>
  </w:style>
  <w:style w:type="paragraph" w:styleId="Footer">
    <w:name w:val="footer"/>
    <w:basedOn w:val="Normal"/>
    <w:link w:val="FooterChar"/>
    <w:uiPriority w:val="99"/>
    <w:unhideWhenUsed/>
    <w:rsid w:val="00BF7F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7F6A"/>
  </w:style>
  <w:style w:type="character" w:customStyle="1" w:styleId="Heading1Char">
    <w:name w:val="Heading 1 Char"/>
    <w:basedOn w:val="DefaultParagraphFont"/>
    <w:link w:val="Heading1"/>
    <w:uiPriority w:val="9"/>
    <w:rsid w:val="00AF235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F2359"/>
    <w:pPr>
      <w:outlineLvl w:val="9"/>
    </w:pPr>
  </w:style>
  <w:style w:type="paragraph" w:styleId="TOC1">
    <w:name w:val="toc 1"/>
    <w:basedOn w:val="Normal"/>
    <w:next w:val="Normal"/>
    <w:autoRedefine/>
    <w:uiPriority w:val="39"/>
    <w:unhideWhenUsed/>
    <w:rsid w:val="005311D2"/>
    <w:pPr>
      <w:tabs>
        <w:tab w:val="left" w:pos="270"/>
        <w:tab w:val="right" w:leader="dot" w:pos="9350"/>
      </w:tabs>
      <w:spacing w:after="100"/>
      <w:ind w:firstLine="180"/>
    </w:pPr>
    <w:rPr>
      <w:rFonts w:cstheme="minorHAnsi"/>
      <w:b/>
      <w:bCs/>
      <w:noProof/>
      <w:szCs w:val="20"/>
      <w:lang w:val="sr-Cyrl-RS"/>
    </w:rPr>
  </w:style>
  <w:style w:type="character" w:styleId="Hyperlink">
    <w:name w:val="Hyperlink"/>
    <w:basedOn w:val="DefaultParagraphFont"/>
    <w:uiPriority w:val="99"/>
    <w:unhideWhenUsed/>
    <w:rsid w:val="00AF2359"/>
    <w:rPr>
      <w:color w:val="0563C1" w:themeColor="hyperlink"/>
      <w:u w:val="single"/>
    </w:rPr>
  </w:style>
  <w:style w:type="character" w:customStyle="1" w:styleId="Heading2Char">
    <w:name w:val="Heading 2 Char"/>
    <w:aliases w:val="Podnaslov 2 Char"/>
    <w:basedOn w:val="DefaultParagraphFont"/>
    <w:link w:val="Heading2"/>
    <w:uiPriority w:val="9"/>
    <w:rsid w:val="00AF2359"/>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AF7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72065C"/>
    <w:pPr>
      <w:tabs>
        <w:tab w:val="right" w:leader="dot" w:pos="9350"/>
      </w:tabs>
      <w:spacing w:after="100"/>
      <w:ind w:left="220"/>
    </w:pPr>
    <w:rPr>
      <w:rFonts w:eastAsia="MS PGothic" w:cstheme="minorHAnsi"/>
      <w:b/>
      <w:noProof/>
      <w:lang w:val="sr-Cyrl-RS" w:eastAsia="ja-JP"/>
    </w:rPr>
  </w:style>
  <w:style w:type="paragraph" w:styleId="FootnoteText">
    <w:name w:val="footnote text"/>
    <w:aliases w:val="Footnote Text Char Char Char,Footnote Text Char Char,single space,footnote text,fn,FOOTNOTES,ADB,Footnote Text Char Char Char Char Char,Footnote Text Char Char1,ft,Texto nota pie Car,ft Car,ft Car Car,Texto nota pie2,ft1,f,A,fn1"/>
    <w:basedOn w:val="Normal"/>
    <w:link w:val="FootnoteTextChar"/>
    <w:uiPriority w:val="99"/>
    <w:unhideWhenUsed/>
    <w:qFormat/>
    <w:rsid w:val="005556DC"/>
    <w:pPr>
      <w:spacing w:after="0" w:line="240" w:lineRule="auto"/>
    </w:pPr>
    <w:rPr>
      <w:szCs w:val="20"/>
    </w:rPr>
  </w:style>
  <w:style w:type="character" w:customStyle="1" w:styleId="FootnoteTextChar">
    <w:name w:val="Footnote Text Char"/>
    <w:aliases w:val="Footnote Text Char Char Char Char,Footnote Text Char Char Char1,single space Char,footnote text Char,fn Char,FOOTNOTES Char,ADB Char,Footnote Text Char Char Char Char Char Char,Footnote Text Char Char1 Char,ft Char,ft Car Char,f Char"/>
    <w:basedOn w:val="DefaultParagraphFont"/>
    <w:link w:val="FootnoteText"/>
    <w:uiPriority w:val="99"/>
    <w:qFormat/>
    <w:rsid w:val="005556DC"/>
    <w:rPr>
      <w:sz w:val="20"/>
      <w:szCs w:val="20"/>
    </w:rPr>
  </w:style>
  <w:style w:type="character" w:styleId="FootnoteReference">
    <w:name w:val="footnote reference"/>
    <w:aliases w:val="ftref,Normal + Font:9 Point,Superscript 3 Point Times,SUPERS,EN Footnote Reference,number,Char Char,BVI fnr,Footnote symbol,Footnote reference number,note TESI,ftref Char,BVI fnr Char,BVI fnr Car Char,Char Char Car Char,16 Point Char"/>
    <w:basedOn w:val="DefaultParagraphFont"/>
    <w:link w:val="NumPar1"/>
    <w:uiPriority w:val="99"/>
    <w:unhideWhenUsed/>
    <w:qFormat/>
    <w:rsid w:val="005556DC"/>
    <w:rPr>
      <w:vertAlign w:val="superscript"/>
    </w:rPr>
  </w:style>
  <w:style w:type="character" w:customStyle="1" w:styleId="Hyperlink1">
    <w:name w:val="Hyperlink1"/>
    <w:basedOn w:val="DefaultParagraphFont"/>
    <w:uiPriority w:val="99"/>
    <w:unhideWhenUsed/>
    <w:rsid w:val="005556DC"/>
    <w:rPr>
      <w:color w:val="0563C1"/>
      <w:u w:val="single"/>
    </w:rPr>
  </w:style>
  <w:style w:type="paragraph" w:styleId="Caption">
    <w:name w:val="caption"/>
    <w:basedOn w:val="Normal"/>
    <w:next w:val="Normal"/>
    <w:uiPriority w:val="35"/>
    <w:unhideWhenUsed/>
    <w:qFormat/>
    <w:rsid w:val="004B197B"/>
    <w:pPr>
      <w:jc w:val="center"/>
    </w:pPr>
    <w:rPr>
      <w:b/>
      <w:iCs/>
      <w:color w:val="002060"/>
      <w:szCs w:val="18"/>
    </w:rPr>
  </w:style>
  <w:style w:type="table" w:customStyle="1" w:styleId="GridTable5Dark-Accent51">
    <w:name w:val="Grid Table 5 Dark - Accent 51"/>
    <w:basedOn w:val="TableNormal"/>
    <w:uiPriority w:val="50"/>
    <w:rsid w:val="0043518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
    <w:name w:val="Light Shading - Accent 333"/>
    <w:basedOn w:val="TableNormal"/>
    <w:next w:val="LightShading-Accent3"/>
    <w:uiPriority w:val="60"/>
    <w:rsid w:val="00CB0452"/>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3">
    <w:name w:val="Light Shading Accent 3"/>
    <w:basedOn w:val="TableNormal"/>
    <w:uiPriority w:val="60"/>
    <w:semiHidden/>
    <w:unhideWhenUsed/>
    <w:rsid w:val="00CB045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CommentReference">
    <w:name w:val="annotation reference"/>
    <w:basedOn w:val="DefaultParagraphFont"/>
    <w:uiPriority w:val="99"/>
    <w:semiHidden/>
    <w:unhideWhenUsed/>
    <w:rsid w:val="00CB0452"/>
    <w:rPr>
      <w:sz w:val="16"/>
      <w:szCs w:val="16"/>
    </w:rPr>
  </w:style>
  <w:style w:type="paragraph" w:styleId="CommentText">
    <w:name w:val="annotation text"/>
    <w:basedOn w:val="Normal"/>
    <w:link w:val="CommentTextChar"/>
    <w:uiPriority w:val="99"/>
    <w:unhideWhenUsed/>
    <w:rsid w:val="00CB0452"/>
    <w:pPr>
      <w:spacing w:line="240" w:lineRule="auto"/>
    </w:pPr>
    <w:rPr>
      <w:szCs w:val="20"/>
    </w:rPr>
  </w:style>
  <w:style w:type="character" w:customStyle="1" w:styleId="CommentTextChar">
    <w:name w:val="Comment Text Char"/>
    <w:basedOn w:val="DefaultParagraphFont"/>
    <w:link w:val="CommentText"/>
    <w:uiPriority w:val="99"/>
    <w:rsid w:val="00CB0452"/>
    <w:rPr>
      <w:sz w:val="20"/>
      <w:szCs w:val="20"/>
    </w:rPr>
  </w:style>
  <w:style w:type="paragraph" w:styleId="CommentSubject">
    <w:name w:val="annotation subject"/>
    <w:basedOn w:val="CommentText"/>
    <w:next w:val="CommentText"/>
    <w:link w:val="CommentSubjectChar"/>
    <w:uiPriority w:val="99"/>
    <w:semiHidden/>
    <w:unhideWhenUsed/>
    <w:rsid w:val="00CB0452"/>
    <w:rPr>
      <w:b/>
      <w:bCs/>
    </w:rPr>
  </w:style>
  <w:style w:type="character" w:customStyle="1" w:styleId="CommentSubjectChar">
    <w:name w:val="Comment Subject Char"/>
    <w:basedOn w:val="CommentTextChar"/>
    <w:link w:val="CommentSubject"/>
    <w:uiPriority w:val="99"/>
    <w:semiHidden/>
    <w:rsid w:val="00CB0452"/>
    <w:rPr>
      <w:b/>
      <w:bCs/>
      <w:sz w:val="20"/>
      <w:szCs w:val="20"/>
    </w:rPr>
  </w:style>
  <w:style w:type="paragraph" w:styleId="BalloonText">
    <w:name w:val="Balloon Text"/>
    <w:basedOn w:val="Normal"/>
    <w:link w:val="BalloonTextChar"/>
    <w:uiPriority w:val="99"/>
    <w:semiHidden/>
    <w:unhideWhenUsed/>
    <w:rsid w:val="00CB045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0452"/>
    <w:rPr>
      <w:rFonts w:ascii="Segoe UI" w:hAnsi="Segoe UI" w:cs="Segoe UI"/>
      <w:sz w:val="18"/>
      <w:szCs w:val="18"/>
    </w:rPr>
  </w:style>
  <w:style w:type="table" w:customStyle="1" w:styleId="TableGrid2">
    <w:name w:val="Table Grid2"/>
    <w:basedOn w:val="TableNormal"/>
    <w:next w:val="TableGrid"/>
    <w:uiPriority w:val="39"/>
    <w:rsid w:val="008E6892"/>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paragraph" w:styleId="ListParagraph">
    <w:name w:val="List Paragraph"/>
    <w:basedOn w:val="Normal"/>
    <w:link w:val="ListParagraphChar"/>
    <w:uiPriority w:val="34"/>
    <w:qFormat/>
    <w:rsid w:val="0001456F"/>
    <w:pPr>
      <w:ind w:left="720"/>
      <w:contextualSpacing/>
    </w:pPr>
  </w:style>
  <w:style w:type="character" w:customStyle="1" w:styleId="UnresolvedMention1">
    <w:name w:val="Unresolved Mention1"/>
    <w:basedOn w:val="DefaultParagraphFont"/>
    <w:uiPriority w:val="99"/>
    <w:semiHidden/>
    <w:unhideWhenUsed/>
    <w:rsid w:val="002C1D90"/>
    <w:rPr>
      <w:color w:val="605E5C"/>
      <w:shd w:val="clear" w:color="auto" w:fill="E1DFDD"/>
    </w:rPr>
  </w:style>
  <w:style w:type="table" w:customStyle="1" w:styleId="LightShading-Accent335">
    <w:name w:val="Light Shading - Accent 335"/>
    <w:basedOn w:val="TableNormal"/>
    <w:next w:val="LightShading-Accent3"/>
    <w:uiPriority w:val="60"/>
    <w:rsid w:val="009877EB"/>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
    <w:name w:val="No List1"/>
    <w:next w:val="NoList"/>
    <w:uiPriority w:val="99"/>
    <w:semiHidden/>
    <w:unhideWhenUsed/>
    <w:rsid w:val="00BA4876"/>
  </w:style>
  <w:style w:type="table" w:customStyle="1" w:styleId="TableGrid1">
    <w:name w:val="Table Grid1"/>
    <w:basedOn w:val="TableNormal"/>
    <w:next w:val="TableGrid"/>
    <w:uiPriority w:val="59"/>
    <w:rsid w:val="00BA48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0">
    <w:name w:val="Grid Table 5 Dark - Accent 51"/>
    <w:basedOn w:val="TableNormal"/>
    <w:next w:val="GridTable5Dark-Accent51"/>
    <w:uiPriority w:val="50"/>
    <w:rsid w:val="00BA48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
    <w:name w:val="Light Shading - Accent 3331"/>
    <w:basedOn w:val="TableNormal"/>
    <w:next w:val="LightShading-Accent3"/>
    <w:uiPriority w:val="60"/>
    <w:rsid w:val="00BA487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
    <w:name w:val="Light Shading - Accent 31"/>
    <w:basedOn w:val="TableNormal"/>
    <w:next w:val="LightShading-Accent3"/>
    <w:uiPriority w:val="60"/>
    <w:semiHidden/>
    <w:unhideWhenUsed/>
    <w:rsid w:val="00BA4876"/>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
    <w:name w:val="Table Grid21"/>
    <w:basedOn w:val="TableNormal"/>
    <w:next w:val="TableGrid"/>
    <w:uiPriority w:val="39"/>
    <w:rsid w:val="00BA4876"/>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
    <w:name w:val="Light Shading - Accent 12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
    <w:name w:val="Light Shading - Accent 12"/>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Spacing">
    <w:name w:val="No Spacing"/>
    <w:aliases w:val="Uvodna rečenica"/>
    <w:uiPriority w:val="1"/>
    <w:qFormat/>
    <w:rsid w:val="00BA4876"/>
    <w:pPr>
      <w:spacing w:after="0" w:line="240" w:lineRule="auto"/>
      <w:jc w:val="both"/>
    </w:pPr>
    <w:rPr>
      <w:b/>
      <w:color w:val="2F5496" w:themeColor="accent1" w:themeShade="BF"/>
      <w:sz w:val="20"/>
    </w:rPr>
  </w:style>
  <w:style w:type="table" w:customStyle="1" w:styleId="LightShading-Accent3351">
    <w:name w:val="Light Shading - Accent 3351"/>
    <w:basedOn w:val="TableNormal"/>
    <w:next w:val="LightShading-Accent3"/>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
    <w:name w:val="Light Shading - Accent 1221"/>
    <w:basedOn w:val="TableNormal"/>
    <w:uiPriority w:val="60"/>
    <w:rsid w:val="00BA4876"/>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rmalWeb">
    <w:name w:val="Normal (Web)"/>
    <w:basedOn w:val="Normal"/>
    <w:uiPriority w:val="99"/>
    <w:semiHidden/>
    <w:unhideWhenUsed/>
    <w:rsid w:val="00BA48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34"/>
    <w:locked/>
    <w:rsid w:val="00BA4876"/>
  </w:style>
  <w:style w:type="table" w:customStyle="1" w:styleId="LightShading-Accent1211">
    <w:name w:val="Light Shading - Accent 121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
    <w:name w:val="List Table 6 Colorful - Accent 61"/>
    <w:basedOn w:val="TableNormal"/>
    <w:uiPriority w:val="51"/>
    <w:rsid w:val="00BA4876"/>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yperlink2">
    <w:name w:val="Hyperlink2"/>
    <w:basedOn w:val="DefaultParagraphFont"/>
    <w:uiPriority w:val="99"/>
    <w:rsid w:val="00BA4876"/>
    <w:rPr>
      <w:color w:val="0563C1"/>
      <w:u w:val="single"/>
    </w:rPr>
  </w:style>
  <w:style w:type="table" w:customStyle="1" w:styleId="ListTable1Light-Accent61">
    <w:name w:val="List Table 1 Light - Accent 61"/>
    <w:basedOn w:val="TableNormal"/>
    <w:uiPriority w:val="46"/>
    <w:rsid w:val="00BA4876"/>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
    <w:name w:val="Light Shading - Accent 336"/>
    <w:basedOn w:val="TableNormal"/>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2">
    <w:name w:val="Unresolved Mention2"/>
    <w:basedOn w:val="DefaultParagraphFont"/>
    <w:uiPriority w:val="99"/>
    <w:semiHidden/>
    <w:unhideWhenUsed/>
    <w:rsid w:val="00BA4876"/>
    <w:rPr>
      <w:color w:val="605E5C"/>
      <w:shd w:val="clear" w:color="auto" w:fill="E1DFDD"/>
    </w:rPr>
  </w:style>
  <w:style w:type="table" w:customStyle="1" w:styleId="LightShading-Accent337">
    <w:name w:val="Light Shading - Accent 337"/>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
    <w:name w:val="Light Shading - Accent 338"/>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3">
    <w:name w:val="Unresolved Mention3"/>
    <w:basedOn w:val="DefaultParagraphFont"/>
    <w:uiPriority w:val="99"/>
    <w:semiHidden/>
    <w:unhideWhenUsed/>
    <w:rsid w:val="001E3C08"/>
    <w:rPr>
      <w:color w:val="605E5C"/>
      <w:shd w:val="clear" w:color="auto" w:fill="E1DFDD"/>
    </w:rPr>
  </w:style>
  <w:style w:type="table" w:customStyle="1" w:styleId="LightShading-Accent3371">
    <w:name w:val="Light Shading - Accent 337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
    <w:name w:val="No List2"/>
    <w:next w:val="NoList"/>
    <w:uiPriority w:val="99"/>
    <w:semiHidden/>
    <w:unhideWhenUsed/>
    <w:rsid w:val="005C34A0"/>
  </w:style>
  <w:style w:type="table" w:customStyle="1" w:styleId="TableGrid3">
    <w:name w:val="Table Grid3"/>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
    <w:name w:val="Grid Table 5 Dark - Accent 52"/>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
    <w:name w:val="Light Shading - Accent 3332"/>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
    <w:name w:val="Light Shading - Accent 32"/>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
    <w:name w:val="Table Grid22"/>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
    <w:name w:val="Light Shading - Accent 3352"/>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
    <w:name w:val="No List11"/>
    <w:next w:val="NoList"/>
    <w:uiPriority w:val="99"/>
    <w:semiHidden/>
    <w:unhideWhenUsed/>
    <w:rsid w:val="005C34A0"/>
  </w:style>
  <w:style w:type="table" w:customStyle="1" w:styleId="TableGrid11">
    <w:name w:val="Table Grid11"/>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
    <w:name w:val="Grid Table 5 Dark - Accent 511"/>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
    <w:name w:val="Light Shading - Accent 33311"/>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
    <w:name w:val="Light Shading - Accent 311"/>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
    <w:name w:val="Table Grid211"/>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
    <w:name w:val="Light Shading - Accent 121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
    <w:name w:val="Light Shading - Accent 12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
    <w:name w:val="Light Shading - Accent 33511"/>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
    <w:name w:val="Light Shading - Accent 12211"/>
    <w:basedOn w:val="TableNormal"/>
    <w:uiPriority w:val="60"/>
    <w:rsid w:val="005C34A0"/>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
    <w:name w:val="Light Shading - Accent 12111"/>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0">
    <w:name w:val="List Table 6 Colorful - Accent 61"/>
    <w:basedOn w:val="TableNormal"/>
    <w:next w:val="ListTable6Colorful-Accent61"/>
    <w:uiPriority w:val="51"/>
    <w:rsid w:val="005C34A0"/>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
    <w:name w:val="List Table 1 Light - Accent 611"/>
    <w:basedOn w:val="TableNormal"/>
    <w:uiPriority w:val="46"/>
    <w:rsid w:val="005C34A0"/>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
    <w:name w:val="Light Shading - Accent 336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
    <w:name w:val="Light Shading - Accent 3372"/>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
    <w:name w:val="Light Shading - Accent 338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
    <w:name w:val="Table Grid4"/>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1301A"/>
    <w:rPr>
      <w:b/>
      <w:bCs/>
    </w:rPr>
  </w:style>
  <w:style w:type="table" w:customStyle="1" w:styleId="PlainTable41">
    <w:name w:val="Plain Table 41"/>
    <w:basedOn w:val="TableNormal"/>
    <w:uiPriority w:val="44"/>
    <w:rsid w:val="001901F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5">
    <w:name w:val="Grid Table 5 Dark Accent 5"/>
    <w:basedOn w:val="TableNormal"/>
    <w:uiPriority w:val="50"/>
    <w:rsid w:val="00C2610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6Colorful-Accent6">
    <w:name w:val="List Table 6 Colorful Accent 6"/>
    <w:basedOn w:val="TableNormal"/>
    <w:uiPriority w:val="51"/>
    <w:rsid w:val="00C26107"/>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jlqj4b">
    <w:name w:val="jlqj4b"/>
    <w:basedOn w:val="DefaultParagraphFont"/>
    <w:rsid w:val="007A529E"/>
  </w:style>
  <w:style w:type="table" w:styleId="ListTable1Light-Accent3">
    <w:name w:val="List Table 1 Light Accent 3"/>
    <w:basedOn w:val="TableNormal"/>
    <w:uiPriority w:val="46"/>
    <w:rsid w:val="006E4FB8"/>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
    <w:name w:val="Plain Table 411"/>
    <w:basedOn w:val="TableNormal"/>
    <w:uiPriority w:val="44"/>
    <w:rsid w:val="00BB2F0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BB2F03"/>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
    <w:name w:val="Light Shading - Accent 3382"/>
    <w:basedOn w:val="TableNormal"/>
    <w:uiPriority w:val="60"/>
    <w:rsid w:val="00BB2F03"/>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
    <w:name w:val="Light Shading - Accent 12121"/>
    <w:basedOn w:val="TableNormal"/>
    <w:uiPriority w:val="60"/>
    <w:rsid w:val="00BB2F03"/>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
    <w:name w:val="Light Shading - Accent 1222"/>
    <w:basedOn w:val="TableNormal"/>
    <w:uiPriority w:val="60"/>
    <w:rsid w:val="00BB2F03"/>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
    <w:name w:val="Table Grid61"/>
    <w:basedOn w:val="TableNormal"/>
    <w:next w:val="TableGrid"/>
    <w:uiPriority w:val="39"/>
    <w:rsid w:val="00BB2F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BB2F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
    <w:name w:val="Grid Table 5 Dark - Accent 512"/>
    <w:basedOn w:val="TableNormal"/>
    <w:next w:val="GridTable5Dark-Accent510"/>
    <w:uiPriority w:val="50"/>
    <w:rsid w:val="00E124C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
    <w:name w:val="List Table 6 Colorful - Accent 611"/>
    <w:basedOn w:val="TableNormal"/>
    <w:next w:val="ListTable6Colorful-Accent610"/>
    <w:uiPriority w:val="51"/>
    <w:rsid w:val="00E124CF"/>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FollowedHyperlink">
    <w:name w:val="FollowedHyperlink"/>
    <w:basedOn w:val="DefaultParagraphFont"/>
    <w:uiPriority w:val="99"/>
    <w:semiHidden/>
    <w:unhideWhenUsed/>
    <w:rsid w:val="00593E7B"/>
    <w:rPr>
      <w:color w:val="954F72" w:themeColor="followedHyperlink"/>
      <w:u w:val="single"/>
    </w:rPr>
  </w:style>
  <w:style w:type="paragraph" w:customStyle="1" w:styleId="NumPar1">
    <w:name w:val="NumPar 1"/>
    <w:basedOn w:val="Normal"/>
    <w:next w:val="Normal"/>
    <w:link w:val="FootnoteReference"/>
    <w:uiPriority w:val="99"/>
    <w:rsid w:val="00593E7B"/>
    <w:pPr>
      <w:numPr>
        <w:numId w:val="18"/>
      </w:numPr>
      <w:spacing w:before="120" w:after="120" w:line="240" w:lineRule="auto"/>
    </w:pPr>
    <w:rPr>
      <w:color w:val="auto"/>
      <w:sz w:val="22"/>
      <w:vertAlign w:val="superscript"/>
    </w:rPr>
  </w:style>
  <w:style w:type="paragraph" w:customStyle="1" w:styleId="NumPar2">
    <w:name w:val="NumPar 2"/>
    <w:basedOn w:val="Normal"/>
    <w:next w:val="Normal"/>
    <w:rsid w:val="00593E7B"/>
    <w:pPr>
      <w:numPr>
        <w:ilvl w:val="1"/>
        <w:numId w:val="18"/>
      </w:numPr>
      <w:spacing w:before="120" w:after="120" w:line="240" w:lineRule="auto"/>
    </w:pPr>
    <w:rPr>
      <w:rFonts w:ascii="Tunga" w:eastAsia="Arial Unicode MS" w:hAnsi="Tunga" w:cs="Tunga"/>
      <w:snapToGrid w:val="0"/>
      <w:color w:val="auto"/>
      <w:szCs w:val="20"/>
    </w:rPr>
  </w:style>
  <w:style w:type="paragraph" w:customStyle="1" w:styleId="NumPar3">
    <w:name w:val="NumPar 3"/>
    <w:basedOn w:val="Normal"/>
    <w:next w:val="Normal"/>
    <w:rsid w:val="00593E7B"/>
    <w:pPr>
      <w:numPr>
        <w:ilvl w:val="2"/>
        <w:numId w:val="18"/>
      </w:numPr>
      <w:spacing w:before="120" w:after="120" w:line="240" w:lineRule="auto"/>
    </w:pPr>
    <w:rPr>
      <w:rFonts w:ascii="Tunga" w:eastAsia="Arial Unicode MS" w:hAnsi="Tunga" w:cs="Tunga"/>
      <w:snapToGrid w:val="0"/>
      <w:color w:val="auto"/>
      <w:szCs w:val="20"/>
    </w:rPr>
  </w:style>
  <w:style w:type="paragraph" w:customStyle="1" w:styleId="NumPar4">
    <w:name w:val="NumPar 4"/>
    <w:basedOn w:val="Normal"/>
    <w:next w:val="Normal"/>
    <w:rsid w:val="00593E7B"/>
    <w:pPr>
      <w:numPr>
        <w:ilvl w:val="3"/>
        <w:numId w:val="18"/>
      </w:numPr>
      <w:spacing w:before="120" w:after="120" w:line="240" w:lineRule="auto"/>
    </w:pPr>
    <w:rPr>
      <w:rFonts w:ascii="Tunga" w:eastAsia="Arial Unicode MS" w:hAnsi="Tunga" w:cs="Tunga"/>
      <w:snapToGrid w:val="0"/>
      <w:color w:val="auto"/>
      <w:szCs w:val="20"/>
    </w:rPr>
  </w:style>
  <w:style w:type="paragraph" w:styleId="Revision">
    <w:name w:val="Revision"/>
    <w:hidden/>
    <w:uiPriority w:val="99"/>
    <w:semiHidden/>
    <w:rsid w:val="009377F8"/>
    <w:pPr>
      <w:spacing w:after="0" w:line="240" w:lineRule="auto"/>
    </w:pPr>
    <w:rPr>
      <w:color w:val="44546A" w:themeColor="text2"/>
      <w:sz w:val="20"/>
    </w:rPr>
  </w:style>
  <w:style w:type="character" w:customStyle="1" w:styleId="rynqvb">
    <w:name w:val="rynqvb"/>
    <w:basedOn w:val="DefaultParagraphFont"/>
    <w:rsid w:val="00C02C3D"/>
  </w:style>
  <w:style w:type="character" w:customStyle="1" w:styleId="hwtze">
    <w:name w:val="hwtze"/>
    <w:basedOn w:val="DefaultParagraphFont"/>
    <w:rsid w:val="00C02C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2937">
      <w:bodyDiv w:val="1"/>
      <w:marLeft w:val="0"/>
      <w:marRight w:val="0"/>
      <w:marTop w:val="0"/>
      <w:marBottom w:val="0"/>
      <w:divBdr>
        <w:top w:val="none" w:sz="0" w:space="0" w:color="auto"/>
        <w:left w:val="none" w:sz="0" w:space="0" w:color="auto"/>
        <w:bottom w:val="none" w:sz="0" w:space="0" w:color="auto"/>
        <w:right w:val="none" w:sz="0" w:space="0" w:color="auto"/>
      </w:divBdr>
    </w:div>
    <w:div w:id="224491268">
      <w:bodyDiv w:val="1"/>
      <w:marLeft w:val="0"/>
      <w:marRight w:val="0"/>
      <w:marTop w:val="0"/>
      <w:marBottom w:val="0"/>
      <w:divBdr>
        <w:top w:val="none" w:sz="0" w:space="0" w:color="auto"/>
        <w:left w:val="none" w:sz="0" w:space="0" w:color="auto"/>
        <w:bottom w:val="none" w:sz="0" w:space="0" w:color="auto"/>
        <w:right w:val="none" w:sz="0" w:space="0" w:color="auto"/>
      </w:divBdr>
    </w:div>
    <w:div w:id="327100904">
      <w:bodyDiv w:val="1"/>
      <w:marLeft w:val="0"/>
      <w:marRight w:val="0"/>
      <w:marTop w:val="0"/>
      <w:marBottom w:val="0"/>
      <w:divBdr>
        <w:top w:val="none" w:sz="0" w:space="0" w:color="auto"/>
        <w:left w:val="none" w:sz="0" w:space="0" w:color="auto"/>
        <w:bottom w:val="none" w:sz="0" w:space="0" w:color="auto"/>
        <w:right w:val="none" w:sz="0" w:space="0" w:color="auto"/>
      </w:divBdr>
    </w:div>
    <w:div w:id="405343483">
      <w:bodyDiv w:val="1"/>
      <w:marLeft w:val="0"/>
      <w:marRight w:val="0"/>
      <w:marTop w:val="0"/>
      <w:marBottom w:val="0"/>
      <w:divBdr>
        <w:top w:val="none" w:sz="0" w:space="0" w:color="auto"/>
        <w:left w:val="none" w:sz="0" w:space="0" w:color="auto"/>
        <w:bottom w:val="none" w:sz="0" w:space="0" w:color="auto"/>
        <w:right w:val="none" w:sz="0" w:space="0" w:color="auto"/>
      </w:divBdr>
    </w:div>
    <w:div w:id="496309330">
      <w:bodyDiv w:val="1"/>
      <w:marLeft w:val="0"/>
      <w:marRight w:val="0"/>
      <w:marTop w:val="0"/>
      <w:marBottom w:val="0"/>
      <w:divBdr>
        <w:top w:val="none" w:sz="0" w:space="0" w:color="auto"/>
        <w:left w:val="none" w:sz="0" w:space="0" w:color="auto"/>
        <w:bottom w:val="none" w:sz="0" w:space="0" w:color="auto"/>
        <w:right w:val="none" w:sz="0" w:space="0" w:color="auto"/>
      </w:divBdr>
    </w:div>
    <w:div w:id="496505828">
      <w:bodyDiv w:val="1"/>
      <w:marLeft w:val="0"/>
      <w:marRight w:val="0"/>
      <w:marTop w:val="0"/>
      <w:marBottom w:val="0"/>
      <w:divBdr>
        <w:top w:val="none" w:sz="0" w:space="0" w:color="auto"/>
        <w:left w:val="none" w:sz="0" w:space="0" w:color="auto"/>
        <w:bottom w:val="none" w:sz="0" w:space="0" w:color="auto"/>
        <w:right w:val="none" w:sz="0" w:space="0" w:color="auto"/>
      </w:divBdr>
    </w:div>
    <w:div w:id="707607753">
      <w:bodyDiv w:val="1"/>
      <w:marLeft w:val="0"/>
      <w:marRight w:val="0"/>
      <w:marTop w:val="0"/>
      <w:marBottom w:val="0"/>
      <w:divBdr>
        <w:top w:val="none" w:sz="0" w:space="0" w:color="auto"/>
        <w:left w:val="none" w:sz="0" w:space="0" w:color="auto"/>
        <w:bottom w:val="none" w:sz="0" w:space="0" w:color="auto"/>
        <w:right w:val="none" w:sz="0" w:space="0" w:color="auto"/>
      </w:divBdr>
    </w:div>
    <w:div w:id="758334793">
      <w:bodyDiv w:val="1"/>
      <w:marLeft w:val="0"/>
      <w:marRight w:val="0"/>
      <w:marTop w:val="0"/>
      <w:marBottom w:val="0"/>
      <w:divBdr>
        <w:top w:val="none" w:sz="0" w:space="0" w:color="auto"/>
        <w:left w:val="none" w:sz="0" w:space="0" w:color="auto"/>
        <w:bottom w:val="none" w:sz="0" w:space="0" w:color="auto"/>
        <w:right w:val="none" w:sz="0" w:space="0" w:color="auto"/>
      </w:divBdr>
    </w:div>
    <w:div w:id="815489490">
      <w:bodyDiv w:val="1"/>
      <w:marLeft w:val="0"/>
      <w:marRight w:val="0"/>
      <w:marTop w:val="0"/>
      <w:marBottom w:val="0"/>
      <w:divBdr>
        <w:top w:val="none" w:sz="0" w:space="0" w:color="auto"/>
        <w:left w:val="none" w:sz="0" w:space="0" w:color="auto"/>
        <w:bottom w:val="none" w:sz="0" w:space="0" w:color="auto"/>
        <w:right w:val="none" w:sz="0" w:space="0" w:color="auto"/>
      </w:divBdr>
    </w:div>
    <w:div w:id="988559316">
      <w:bodyDiv w:val="1"/>
      <w:marLeft w:val="0"/>
      <w:marRight w:val="0"/>
      <w:marTop w:val="0"/>
      <w:marBottom w:val="0"/>
      <w:divBdr>
        <w:top w:val="none" w:sz="0" w:space="0" w:color="auto"/>
        <w:left w:val="none" w:sz="0" w:space="0" w:color="auto"/>
        <w:bottom w:val="none" w:sz="0" w:space="0" w:color="auto"/>
        <w:right w:val="none" w:sz="0" w:space="0" w:color="auto"/>
      </w:divBdr>
    </w:div>
    <w:div w:id="1221474541">
      <w:bodyDiv w:val="1"/>
      <w:marLeft w:val="0"/>
      <w:marRight w:val="0"/>
      <w:marTop w:val="0"/>
      <w:marBottom w:val="0"/>
      <w:divBdr>
        <w:top w:val="none" w:sz="0" w:space="0" w:color="auto"/>
        <w:left w:val="none" w:sz="0" w:space="0" w:color="auto"/>
        <w:bottom w:val="none" w:sz="0" w:space="0" w:color="auto"/>
        <w:right w:val="none" w:sz="0" w:space="0" w:color="auto"/>
      </w:divBdr>
    </w:div>
    <w:div w:id="1241981220">
      <w:bodyDiv w:val="1"/>
      <w:marLeft w:val="0"/>
      <w:marRight w:val="0"/>
      <w:marTop w:val="0"/>
      <w:marBottom w:val="0"/>
      <w:divBdr>
        <w:top w:val="none" w:sz="0" w:space="0" w:color="auto"/>
        <w:left w:val="none" w:sz="0" w:space="0" w:color="auto"/>
        <w:bottom w:val="none" w:sz="0" w:space="0" w:color="auto"/>
        <w:right w:val="none" w:sz="0" w:space="0" w:color="auto"/>
      </w:divBdr>
    </w:div>
    <w:div w:id="1285890058">
      <w:bodyDiv w:val="1"/>
      <w:marLeft w:val="0"/>
      <w:marRight w:val="0"/>
      <w:marTop w:val="0"/>
      <w:marBottom w:val="0"/>
      <w:divBdr>
        <w:top w:val="none" w:sz="0" w:space="0" w:color="auto"/>
        <w:left w:val="none" w:sz="0" w:space="0" w:color="auto"/>
        <w:bottom w:val="none" w:sz="0" w:space="0" w:color="auto"/>
        <w:right w:val="none" w:sz="0" w:space="0" w:color="auto"/>
      </w:divBdr>
    </w:div>
    <w:div w:id="1579943587">
      <w:bodyDiv w:val="1"/>
      <w:marLeft w:val="0"/>
      <w:marRight w:val="0"/>
      <w:marTop w:val="0"/>
      <w:marBottom w:val="0"/>
      <w:divBdr>
        <w:top w:val="none" w:sz="0" w:space="0" w:color="auto"/>
        <w:left w:val="none" w:sz="0" w:space="0" w:color="auto"/>
        <w:bottom w:val="none" w:sz="0" w:space="0" w:color="auto"/>
        <w:right w:val="none" w:sz="0" w:space="0" w:color="auto"/>
      </w:divBdr>
    </w:div>
    <w:div w:id="1613324982">
      <w:bodyDiv w:val="1"/>
      <w:marLeft w:val="0"/>
      <w:marRight w:val="0"/>
      <w:marTop w:val="0"/>
      <w:marBottom w:val="0"/>
      <w:divBdr>
        <w:top w:val="none" w:sz="0" w:space="0" w:color="auto"/>
        <w:left w:val="none" w:sz="0" w:space="0" w:color="auto"/>
        <w:bottom w:val="none" w:sz="0" w:space="0" w:color="auto"/>
        <w:right w:val="none" w:sz="0" w:space="0" w:color="auto"/>
      </w:divBdr>
    </w:div>
    <w:div w:id="1678337853">
      <w:bodyDiv w:val="1"/>
      <w:marLeft w:val="0"/>
      <w:marRight w:val="0"/>
      <w:marTop w:val="0"/>
      <w:marBottom w:val="0"/>
      <w:divBdr>
        <w:top w:val="none" w:sz="0" w:space="0" w:color="auto"/>
        <w:left w:val="none" w:sz="0" w:space="0" w:color="auto"/>
        <w:bottom w:val="none" w:sz="0" w:space="0" w:color="auto"/>
        <w:right w:val="none" w:sz="0" w:space="0" w:color="auto"/>
      </w:divBdr>
    </w:div>
    <w:div w:id="1697268533">
      <w:bodyDiv w:val="1"/>
      <w:marLeft w:val="0"/>
      <w:marRight w:val="0"/>
      <w:marTop w:val="0"/>
      <w:marBottom w:val="0"/>
      <w:divBdr>
        <w:top w:val="none" w:sz="0" w:space="0" w:color="auto"/>
        <w:left w:val="none" w:sz="0" w:space="0" w:color="auto"/>
        <w:bottom w:val="none" w:sz="0" w:space="0" w:color="auto"/>
        <w:right w:val="none" w:sz="0" w:space="0" w:color="auto"/>
      </w:divBdr>
    </w:div>
    <w:div w:id="1741367302">
      <w:bodyDiv w:val="1"/>
      <w:marLeft w:val="0"/>
      <w:marRight w:val="0"/>
      <w:marTop w:val="0"/>
      <w:marBottom w:val="0"/>
      <w:divBdr>
        <w:top w:val="none" w:sz="0" w:space="0" w:color="auto"/>
        <w:left w:val="none" w:sz="0" w:space="0" w:color="auto"/>
        <w:bottom w:val="none" w:sz="0" w:space="0" w:color="auto"/>
        <w:right w:val="none" w:sz="0" w:space="0" w:color="auto"/>
      </w:divBdr>
    </w:div>
    <w:div w:id="1750691447">
      <w:bodyDiv w:val="1"/>
      <w:marLeft w:val="0"/>
      <w:marRight w:val="0"/>
      <w:marTop w:val="0"/>
      <w:marBottom w:val="0"/>
      <w:divBdr>
        <w:top w:val="none" w:sz="0" w:space="0" w:color="auto"/>
        <w:left w:val="none" w:sz="0" w:space="0" w:color="auto"/>
        <w:bottom w:val="none" w:sz="0" w:space="0" w:color="auto"/>
        <w:right w:val="none" w:sz="0" w:space="0" w:color="auto"/>
      </w:divBdr>
    </w:div>
    <w:div w:id="1980568835">
      <w:bodyDiv w:val="1"/>
      <w:marLeft w:val="0"/>
      <w:marRight w:val="0"/>
      <w:marTop w:val="0"/>
      <w:marBottom w:val="0"/>
      <w:divBdr>
        <w:top w:val="none" w:sz="0" w:space="0" w:color="auto"/>
        <w:left w:val="none" w:sz="0" w:space="0" w:color="auto"/>
        <w:bottom w:val="none" w:sz="0" w:space="0" w:color="auto"/>
        <w:right w:val="none" w:sz="0" w:space="0" w:color="auto"/>
      </w:divBdr>
    </w:div>
    <w:div w:id="207881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50.xml"/><Relationship Id="rId21" Type="http://schemas.openxmlformats.org/officeDocument/2006/relationships/image" Target="media/image2.gif"/><Relationship Id="rId42" Type="http://schemas.openxmlformats.org/officeDocument/2006/relationships/chart" Target="charts/chart10.xml"/><Relationship Id="rId63" Type="http://schemas.openxmlformats.org/officeDocument/2006/relationships/chart" Target="charts/chart30.xml"/><Relationship Id="rId84" Type="http://schemas.openxmlformats.org/officeDocument/2006/relationships/chart" Target="charts/chart46.xml"/><Relationship Id="rId138" Type="http://schemas.openxmlformats.org/officeDocument/2006/relationships/footer" Target="footer29.xml"/><Relationship Id="rId159" Type="http://schemas.openxmlformats.org/officeDocument/2006/relationships/footer" Target="footer35.xml"/><Relationship Id="rId170" Type="http://schemas.openxmlformats.org/officeDocument/2006/relationships/image" Target="media/image7.png"/><Relationship Id="rId107" Type="http://schemas.openxmlformats.org/officeDocument/2006/relationships/header" Target="header21.xml"/><Relationship Id="rId11" Type="http://schemas.openxmlformats.org/officeDocument/2006/relationships/footer" Target="footer2.xml"/><Relationship Id="rId32" Type="http://schemas.openxmlformats.org/officeDocument/2006/relationships/chart" Target="charts/chart5.xml"/><Relationship Id="rId53" Type="http://schemas.openxmlformats.org/officeDocument/2006/relationships/chart" Target="charts/chart21.xml"/><Relationship Id="rId74" Type="http://schemas.openxmlformats.org/officeDocument/2006/relationships/chart" Target="charts/chart36.xml"/><Relationship Id="rId128" Type="http://schemas.openxmlformats.org/officeDocument/2006/relationships/header" Target="header30.xml"/><Relationship Id="rId149" Type="http://schemas.openxmlformats.org/officeDocument/2006/relationships/image" Target="media/image5.png"/><Relationship Id="rId5" Type="http://schemas.openxmlformats.org/officeDocument/2006/relationships/webSettings" Target="webSettings.xml"/><Relationship Id="rId95" Type="http://schemas.openxmlformats.org/officeDocument/2006/relationships/header" Target="header15.xml"/><Relationship Id="rId160" Type="http://schemas.openxmlformats.org/officeDocument/2006/relationships/footer" Target="footer36.xml"/><Relationship Id="rId181" Type="http://schemas.openxmlformats.org/officeDocument/2006/relationships/image" Target="media/image15.png"/><Relationship Id="rId22" Type="http://schemas.openxmlformats.org/officeDocument/2006/relationships/header" Target="header3.xml"/><Relationship Id="rId43" Type="http://schemas.openxmlformats.org/officeDocument/2006/relationships/chart" Target="charts/chart11.xml"/><Relationship Id="rId64" Type="http://schemas.openxmlformats.org/officeDocument/2006/relationships/chart" Target="charts/chart31.xml"/><Relationship Id="rId118" Type="http://schemas.openxmlformats.org/officeDocument/2006/relationships/chart" Target="charts/chart51.xml"/><Relationship Id="rId139" Type="http://schemas.openxmlformats.org/officeDocument/2006/relationships/header" Target="header35.xml"/><Relationship Id="rId85" Type="http://schemas.openxmlformats.org/officeDocument/2006/relationships/chart" Target="charts/chart47.xml"/><Relationship Id="rId150" Type="http://schemas.openxmlformats.org/officeDocument/2006/relationships/image" Target="media/image6.png"/><Relationship Id="rId171" Type="http://schemas.openxmlformats.org/officeDocument/2006/relationships/image" Target="media/image8.png"/><Relationship Id="rId33" Type="http://schemas.openxmlformats.org/officeDocument/2006/relationships/footer" Target="footer5.xml"/><Relationship Id="rId108" Type="http://schemas.openxmlformats.org/officeDocument/2006/relationships/footer" Target="footer17.xml"/><Relationship Id="rId129" Type="http://schemas.openxmlformats.org/officeDocument/2006/relationships/header" Target="header31.xml"/><Relationship Id="rId54" Type="http://schemas.openxmlformats.org/officeDocument/2006/relationships/chart" Target="charts/chart22.xml"/><Relationship Id="rId75" Type="http://schemas.openxmlformats.org/officeDocument/2006/relationships/chart" Target="charts/chart37.xml"/><Relationship Id="rId96" Type="http://schemas.openxmlformats.org/officeDocument/2006/relationships/footer" Target="footer13.xml"/><Relationship Id="rId140" Type="http://schemas.openxmlformats.org/officeDocument/2006/relationships/footer" Target="footer30.xml"/><Relationship Id="rId161" Type="http://schemas.openxmlformats.org/officeDocument/2006/relationships/header" Target="header42.xml"/><Relationship Id="rId182" Type="http://schemas.openxmlformats.org/officeDocument/2006/relationships/image" Target="media/image16.png"/><Relationship Id="rId6" Type="http://schemas.openxmlformats.org/officeDocument/2006/relationships/footnotes" Target="footnotes.xml"/><Relationship Id="rId23" Type="http://schemas.openxmlformats.org/officeDocument/2006/relationships/header" Target="header4.xml"/><Relationship Id="rId28" Type="http://schemas.openxmlformats.org/officeDocument/2006/relationships/image" Target="media/image1.png"/><Relationship Id="rId49" Type="http://schemas.openxmlformats.org/officeDocument/2006/relationships/chart" Target="charts/chart17.xml"/><Relationship Id="rId114" Type="http://schemas.openxmlformats.org/officeDocument/2006/relationships/footer" Target="footer19.xml"/><Relationship Id="rId119" Type="http://schemas.openxmlformats.org/officeDocument/2006/relationships/chart" Target="charts/chart52.xml"/><Relationship Id="rId44" Type="http://schemas.openxmlformats.org/officeDocument/2006/relationships/chart" Target="charts/chart12.xml"/><Relationship Id="rId60" Type="http://schemas.openxmlformats.org/officeDocument/2006/relationships/image" Target="media/image3.png"/><Relationship Id="rId65" Type="http://schemas.openxmlformats.org/officeDocument/2006/relationships/chart" Target="charts/chart32.xml"/><Relationship Id="rId81" Type="http://schemas.openxmlformats.org/officeDocument/2006/relationships/chart" Target="charts/chart43.xml"/><Relationship Id="rId86" Type="http://schemas.openxmlformats.org/officeDocument/2006/relationships/chart" Target="charts/chart48.xml"/><Relationship Id="rId130" Type="http://schemas.openxmlformats.org/officeDocument/2006/relationships/footer" Target="footer25.xml"/><Relationship Id="rId135" Type="http://schemas.openxmlformats.org/officeDocument/2006/relationships/footer" Target="footer28.xml"/><Relationship Id="rId151" Type="http://schemas.openxmlformats.org/officeDocument/2006/relationships/chart" Target="charts/chart54.xml"/><Relationship Id="rId156" Type="http://schemas.openxmlformats.org/officeDocument/2006/relationships/chart" Target="charts/chart59.xml"/><Relationship Id="rId177" Type="http://schemas.openxmlformats.org/officeDocument/2006/relationships/image" Target="media/image14.png"/><Relationship Id="rId172" Type="http://schemas.openxmlformats.org/officeDocument/2006/relationships/image" Target="media/image9.png"/><Relationship Id="rId39" Type="http://schemas.openxmlformats.org/officeDocument/2006/relationships/chart" Target="charts/chart7.xml"/><Relationship Id="rId109" Type="http://schemas.openxmlformats.org/officeDocument/2006/relationships/footer" Target="footer18.xml"/><Relationship Id="rId34" Type="http://schemas.openxmlformats.org/officeDocument/2006/relationships/header" Target="header5.xml"/><Relationship Id="rId50" Type="http://schemas.openxmlformats.org/officeDocument/2006/relationships/chart" Target="charts/chart18.xml"/><Relationship Id="rId55" Type="http://schemas.openxmlformats.org/officeDocument/2006/relationships/chart" Target="charts/chart23.xml"/><Relationship Id="rId76" Type="http://schemas.openxmlformats.org/officeDocument/2006/relationships/chart" Target="charts/chart38.xml"/><Relationship Id="rId97" Type="http://schemas.openxmlformats.org/officeDocument/2006/relationships/footer" Target="footer14.xml"/><Relationship Id="rId104" Type="http://schemas.openxmlformats.org/officeDocument/2006/relationships/chart" Target="charts/chart49.xml"/><Relationship Id="rId120" Type="http://schemas.openxmlformats.org/officeDocument/2006/relationships/header" Target="header26.xml"/><Relationship Id="rId125" Type="http://schemas.openxmlformats.org/officeDocument/2006/relationships/header" Target="header29.xml"/><Relationship Id="rId141" Type="http://schemas.openxmlformats.org/officeDocument/2006/relationships/header" Target="header36.xml"/><Relationship Id="rId146" Type="http://schemas.openxmlformats.org/officeDocument/2006/relationships/footer" Target="footer33.xml"/><Relationship Id="rId167" Type="http://schemas.openxmlformats.org/officeDocument/2006/relationships/chart" Target="charts/chart60.xml"/><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footer" Target="footer9.xml"/><Relationship Id="rId92" Type="http://schemas.openxmlformats.org/officeDocument/2006/relationships/footer" Target="footer12.xml"/><Relationship Id="rId162" Type="http://schemas.openxmlformats.org/officeDocument/2006/relationships/header" Target="header43.xml"/><Relationship Id="rId183" Type="http://schemas.openxmlformats.org/officeDocument/2006/relationships/header" Target="header46.xml"/><Relationship Id="rId2" Type="http://schemas.openxmlformats.org/officeDocument/2006/relationships/numbering" Target="numbering.xml"/><Relationship Id="rId29" Type="http://schemas.openxmlformats.org/officeDocument/2006/relationships/image" Target="media/image2.png"/><Relationship Id="rId24" Type="http://schemas.openxmlformats.org/officeDocument/2006/relationships/footer" Target="footer3.xml"/><Relationship Id="rId40" Type="http://schemas.openxmlformats.org/officeDocument/2006/relationships/chart" Target="charts/chart8.xml"/><Relationship Id="rId45" Type="http://schemas.openxmlformats.org/officeDocument/2006/relationships/chart" Target="charts/chart13.xml"/><Relationship Id="rId66" Type="http://schemas.openxmlformats.org/officeDocument/2006/relationships/chart" Target="charts/chart33.xml"/><Relationship Id="rId87" Type="http://schemas.openxmlformats.org/officeDocument/2006/relationships/header" Target="header10.xml"/><Relationship Id="rId110" Type="http://schemas.openxmlformats.org/officeDocument/2006/relationships/header" Target="header22.xml"/><Relationship Id="rId115" Type="http://schemas.openxmlformats.org/officeDocument/2006/relationships/footer" Target="footer20.xml"/><Relationship Id="rId131" Type="http://schemas.openxmlformats.org/officeDocument/2006/relationships/footer" Target="footer26.xml"/><Relationship Id="rId136" Type="http://schemas.openxmlformats.org/officeDocument/2006/relationships/header" Target="header33.xml"/><Relationship Id="rId157" Type="http://schemas.openxmlformats.org/officeDocument/2006/relationships/header" Target="header40.xml"/><Relationship Id="rId178" Type="http://schemas.openxmlformats.org/officeDocument/2006/relationships/chart" Target="charts/chart63.xml"/><Relationship Id="rId61" Type="http://schemas.openxmlformats.org/officeDocument/2006/relationships/chart" Target="charts/chart28.xml"/><Relationship Id="rId82" Type="http://schemas.openxmlformats.org/officeDocument/2006/relationships/chart" Target="charts/chart44.xml"/><Relationship Id="rId152" Type="http://schemas.openxmlformats.org/officeDocument/2006/relationships/chart" Target="charts/chart55.xml"/><Relationship Id="rId173" Type="http://schemas.openxmlformats.org/officeDocument/2006/relationships/image" Target="media/image10.png"/><Relationship Id="rId30" Type="http://schemas.openxmlformats.org/officeDocument/2006/relationships/chart" Target="charts/chart3.xml"/><Relationship Id="rId35" Type="http://schemas.openxmlformats.org/officeDocument/2006/relationships/header" Target="header6.xml"/><Relationship Id="rId56" Type="http://schemas.openxmlformats.org/officeDocument/2006/relationships/chart" Target="charts/chart24.xml"/><Relationship Id="rId77" Type="http://schemas.openxmlformats.org/officeDocument/2006/relationships/chart" Target="charts/chart39.xml"/><Relationship Id="rId100" Type="http://schemas.openxmlformats.org/officeDocument/2006/relationships/header" Target="header18.xml"/><Relationship Id="rId105" Type="http://schemas.openxmlformats.org/officeDocument/2006/relationships/image" Target="media/image4.png"/><Relationship Id="rId126" Type="http://schemas.openxmlformats.org/officeDocument/2006/relationships/footer" Target="footer23.xml"/><Relationship Id="rId147" Type="http://schemas.openxmlformats.org/officeDocument/2006/relationships/footer" Target="footer34.xml"/><Relationship Id="rId168" Type="http://schemas.openxmlformats.org/officeDocument/2006/relationships/chart" Target="charts/chart61.xml"/><Relationship Id="rId8" Type="http://schemas.openxmlformats.org/officeDocument/2006/relationships/footer" Target="footer1.xml"/><Relationship Id="rId51" Type="http://schemas.openxmlformats.org/officeDocument/2006/relationships/chart" Target="charts/chart19.xml"/><Relationship Id="rId72" Type="http://schemas.openxmlformats.org/officeDocument/2006/relationships/header" Target="header9.xml"/><Relationship Id="rId93" Type="http://schemas.openxmlformats.org/officeDocument/2006/relationships/header" Target="header13.xml"/><Relationship Id="rId98" Type="http://schemas.openxmlformats.org/officeDocument/2006/relationships/header" Target="header16.xml"/><Relationship Id="rId121" Type="http://schemas.openxmlformats.org/officeDocument/2006/relationships/header" Target="header27.xml"/><Relationship Id="rId142" Type="http://schemas.openxmlformats.org/officeDocument/2006/relationships/footer" Target="footer31.xml"/><Relationship Id="rId163" Type="http://schemas.openxmlformats.org/officeDocument/2006/relationships/header" Target="header44.xml"/><Relationship Id="rId184" Type="http://schemas.openxmlformats.org/officeDocument/2006/relationships/footer" Target="footer39.xml"/><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footer" Target="footer4.xml"/><Relationship Id="rId46" Type="http://schemas.openxmlformats.org/officeDocument/2006/relationships/chart" Target="charts/chart14.xml"/><Relationship Id="rId67" Type="http://schemas.openxmlformats.org/officeDocument/2006/relationships/chart" Target="charts/chart34.xml"/><Relationship Id="rId116" Type="http://schemas.openxmlformats.org/officeDocument/2006/relationships/header" Target="header25.xml"/><Relationship Id="rId137" Type="http://schemas.openxmlformats.org/officeDocument/2006/relationships/header" Target="header34.xml"/><Relationship Id="rId158" Type="http://schemas.openxmlformats.org/officeDocument/2006/relationships/header" Target="header41.xml"/><Relationship Id="rId41" Type="http://schemas.openxmlformats.org/officeDocument/2006/relationships/chart" Target="charts/chart9.xml"/><Relationship Id="rId62" Type="http://schemas.openxmlformats.org/officeDocument/2006/relationships/chart" Target="charts/chart29.xml"/><Relationship Id="rId83" Type="http://schemas.openxmlformats.org/officeDocument/2006/relationships/chart" Target="charts/chart45.xml"/><Relationship Id="rId88" Type="http://schemas.openxmlformats.org/officeDocument/2006/relationships/footer" Target="footer10.xml"/><Relationship Id="rId111" Type="http://schemas.openxmlformats.org/officeDocument/2006/relationships/image" Target="media/image6.gif"/><Relationship Id="rId132" Type="http://schemas.openxmlformats.org/officeDocument/2006/relationships/header" Target="header32.xml"/><Relationship Id="rId153" Type="http://schemas.openxmlformats.org/officeDocument/2006/relationships/chart" Target="charts/chart56.xml"/><Relationship Id="rId174" Type="http://schemas.openxmlformats.org/officeDocument/2006/relationships/image" Target="media/image11.png"/><Relationship Id="rId179" Type="http://schemas.openxmlformats.org/officeDocument/2006/relationships/chart" Target="charts/chart64.xml"/><Relationship Id="rId36" Type="http://schemas.openxmlformats.org/officeDocument/2006/relationships/footer" Target="footer6.xml"/><Relationship Id="rId57" Type="http://schemas.openxmlformats.org/officeDocument/2006/relationships/chart" Target="charts/chart25.xml"/><Relationship Id="rId106" Type="http://schemas.openxmlformats.org/officeDocument/2006/relationships/header" Target="header20.xml"/><Relationship Id="rId127" Type="http://schemas.openxmlformats.org/officeDocument/2006/relationships/footer" Target="footer24.xml"/><Relationship Id="rId10" Type="http://schemas.openxmlformats.org/officeDocument/2006/relationships/header" Target="header2.xml"/><Relationship Id="rId31" Type="http://schemas.openxmlformats.org/officeDocument/2006/relationships/chart" Target="charts/chart4.xml"/><Relationship Id="rId52" Type="http://schemas.openxmlformats.org/officeDocument/2006/relationships/chart" Target="charts/chart20.xml"/><Relationship Id="rId73" Type="http://schemas.openxmlformats.org/officeDocument/2006/relationships/chart" Target="charts/chart35.xml"/><Relationship Id="rId78" Type="http://schemas.openxmlformats.org/officeDocument/2006/relationships/chart" Target="charts/chart40.xml"/><Relationship Id="rId94" Type="http://schemas.openxmlformats.org/officeDocument/2006/relationships/header" Target="header14.xml"/><Relationship Id="rId99" Type="http://schemas.openxmlformats.org/officeDocument/2006/relationships/header" Target="header17.xml"/><Relationship Id="rId101" Type="http://schemas.openxmlformats.org/officeDocument/2006/relationships/footer" Target="footer15.xml"/><Relationship Id="rId122" Type="http://schemas.openxmlformats.org/officeDocument/2006/relationships/footer" Target="footer21.xml"/><Relationship Id="rId143" Type="http://schemas.openxmlformats.org/officeDocument/2006/relationships/footer" Target="footer32.xml"/><Relationship Id="rId148" Type="http://schemas.openxmlformats.org/officeDocument/2006/relationships/header" Target="header39.xml"/><Relationship Id="rId164" Type="http://schemas.openxmlformats.org/officeDocument/2006/relationships/footer" Target="footer37.xml"/><Relationship Id="rId169" Type="http://schemas.openxmlformats.org/officeDocument/2006/relationships/chart" Target="charts/chart62.xml"/><Relationship Id="rId185" Type="http://schemas.openxmlformats.org/officeDocument/2006/relationships/footer" Target="footer40.xm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chart" Target="charts/chart65.xml"/><Relationship Id="rId26" Type="http://schemas.openxmlformats.org/officeDocument/2006/relationships/chart" Target="charts/chart1.xml"/><Relationship Id="rId47" Type="http://schemas.openxmlformats.org/officeDocument/2006/relationships/chart" Target="charts/chart15.xml"/><Relationship Id="rId68" Type="http://schemas.openxmlformats.org/officeDocument/2006/relationships/header" Target="header7.xml"/><Relationship Id="rId89" Type="http://schemas.openxmlformats.org/officeDocument/2006/relationships/header" Target="header11.xml"/><Relationship Id="rId112" Type="http://schemas.openxmlformats.org/officeDocument/2006/relationships/header" Target="header23.xml"/><Relationship Id="rId133" Type="http://schemas.openxmlformats.org/officeDocument/2006/relationships/chart" Target="charts/chart53.xml"/><Relationship Id="rId154" Type="http://schemas.openxmlformats.org/officeDocument/2006/relationships/chart" Target="charts/chart57.xml"/><Relationship Id="rId175" Type="http://schemas.openxmlformats.org/officeDocument/2006/relationships/image" Target="media/image12.png"/><Relationship Id="rId37" Type="http://schemas.openxmlformats.org/officeDocument/2006/relationships/footer" Target="footer7.xml"/><Relationship Id="rId58" Type="http://schemas.openxmlformats.org/officeDocument/2006/relationships/chart" Target="charts/chart26.xml"/><Relationship Id="rId79" Type="http://schemas.openxmlformats.org/officeDocument/2006/relationships/chart" Target="charts/chart41.xml"/><Relationship Id="rId102" Type="http://schemas.openxmlformats.org/officeDocument/2006/relationships/footer" Target="footer16.xml"/><Relationship Id="rId123" Type="http://schemas.openxmlformats.org/officeDocument/2006/relationships/footer" Target="footer22.xml"/><Relationship Id="rId144" Type="http://schemas.openxmlformats.org/officeDocument/2006/relationships/header" Target="header37.xml"/><Relationship Id="rId90" Type="http://schemas.openxmlformats.org/officeDocument/2006/relationships/header" Target="header12.xml"/><Relationship Id="rId165" Type="http://schemas.openxmlformats.org/officeDocument/2006/relationships/footer" Target="footer38.xml"/><Relationship Id="rId186" Type="http://schemas.openxmlformats.org/officeDocument/2006/relationships/header" Target="header47.xml"/><Relationship Id="rId27" Type="http://schemas.openxmlformats.org/officeDocument/2006/relationships/chart" Target="charts/chart2.xml"/><Relationship Id="rId48" Type="http://schemas.openxmlformats.org/officeDocument/2006/relationships/chart" Target="charts/chart16.xml"/><Relationship Id="rId69" Type="http://schemas.openxmlformats.org/officeDocument/2006/relationships/header" Target="header8.xml"/><Relationship Id="rId113" Type="http://schemas.openxmlformats.org/officeDocument/2006/relationships/header" Target="header24.xml"/><Relationship Id="rId134" Type="http://schemas.openxmlformats.org/officeDocument/2006/relationships/footer" Target="footer27.xml"/><Relationship Id="rId80" Type="http://schemas.openxmlformats.org/officeDocument/2006/relationships/chart" Target="charts/chart42.xml"/><Relationship Id="rId155" Type="http://schemas.openxmlformats.org/officeDocument/2006/relationships/chart" Target="charts/chart58.xml"/><Relationship Id="rId176" Type="http://schemas.openxmlformats.org/officeDocument/2006/relationships/image" Target="media/image13.png"/><Relationship Id="rId38" Type="http://schemas.openxmlformats.org/officeDocument/2006/relationships/chart" Target="charts/chart6.xml"/><Relationship Id="rId59" Type="http://schemas.openxmlformats.org/officeDocument/2006/relationships/chart" Target="charts/chart27.xml"/><Relationship Id="rId103" Type="http://schemas.openxmlformats.org/officeDocument/2006/relationships/header" Target="header19.xml"/><Relationship Id="rId124" Type="http://schemas.openxmlformats.org/officeDocument/2006/relationships/header" Target="header28.xml"/><Relationship Id="rId70" Type="http://schemas.openxmlformats.org/officeDocument/2006/relationships/footer" Target="footer8.xml"/><Relationship Id="rId91" Type="http://schemas.openxmlformats.org/officeDocument/2006/relationships/footer" Target="footer11.xml"/><Relationship Id="rId145" Type="http://schemas.openxmlformats.org/officeDocument/2006/relationships/header" Target="header38.xml"/><Relationship Id="rId166" Type="http://schemas.openxmlformats.org/officeDocument/2006/relationships/header" Target="header45.xml"/><Relationship Id="rId187" Type="http://schemas.openxmlformats.org/officeDocument/2006/relationships/footer" Target="footer41.xml"/><Relationship Id="rId1" Type="http://schemas.openxmlformats.org/officeDocument/2006/relationships/customXml" Target="../customXml/item1.xml"/></Relationships>
</file>

<file path=word/_rels/footnotes.xml.rels><?xml version="1.0" encoding="UTF-8" standalone="yes"?>
<Relationships xmlns="http://schemas.openxmlformats.org/package/2006/relationships"><Relationship Id="rId1" Type="http://schemas.openxmlformats.org/officeDocument/2006/relationships/hyperlink" Target="https://www.mfin.gov.rs//upload/media/jzsbpL_601ab1585ca02.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jovana.djeric\Desktop\obrazlozenje\Medjunarodno_ja.xlsx" TargetMode="Externa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C:\Users\jovana.djeric\Dropbox\Makro%20sektor\6.%20Fiskalna%202023-2025%20-%20revidirana\Makro%20radni%20fajlovi\GRAFIKONI_MAKRO_okt22.xlsx" TargetMode="External"/><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C:\Users\jovana.djeric\Dropbox\Makro%20sektor\6.%20Fiskalna%202023-2025%20-%20revidirana\Makro%20radni%20fajlovi\GRAFIKONI_MAKRO_okt22.xlsx" TargetMode="External"/><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8.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9.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C:\Users\jovana.djeric\Dropbox\Makro%20sektor\6.%20Fiskalna%202023-2025%20-%20revidirana\Makro%20radni%20fajlovi\GRAFIKONI_MAKRO_okt22.xlsx" TargetMode="External"/><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C:\Users\jovana.djeric\Dropbox\Makro%20sektor\6.%20Fiskalna%202023-2025%20-%20revidirana\Makro%20radni%20fajlovi\GRAFIKONI_MAKRO_okt22.xlsx" TargetMode="External"/><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19.xml.rels><?xml version="1.0" encoding="UTF-8" standalone="yes"?>
<Relationships xmlns="http://schemas.openxmlformats.org/package/2006/relationships"><Relationship Id="rId2" Type="http://schemas.openxmlformats.org/officeDocument/2006/relationships/oleObject" Target="file:///C:\Users\rade.ciric\Dropbox\Makro%20sektor\6.%20Fiskalna%202023-2025%20-%20revidirana\Makro%20radni%20fajlovi\GRAFIKONI_MAKRO_okt22.xlsx" TargetMode="External"/><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jovana.djeric\Desktop\obrazlozenje\Medjunarodno_ja.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jovana.djeric\Desktop\GRAFIKONI_MAKRO_okt22.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jovana.djeric\Desktop\GRAFIKONI_MAKRO_okt22.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jovana.djeric\Desktop\GRAFIKONI_MAKRO_okt22.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jovana.djeric\Desktop\GRAFIKONI_MAKRO_okt22.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jovana.djeric\Desktop\GRAFIKONI_MAKRO_okt22.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jovana.djeric\Desktop\GRAFIKONI_MAKRO_okt22.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jovana.djeric\Desktop\GRAFIKONI_MAKRO_okt22.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3.xml"/><Relationship Id="rId1" Type="http://schemas.microsoft.com/office/2011/relationships/chartStyle" Target="style23.xml"/><Relationship Id="rId5" Type="http://schemas.openxmlformats.org/officeDocument/2006/relationships/chartUserShapes" Target="../drawings/drawing12.xml"/><Relationship Id="rId4" Type="http://schemas.openxmlformats.org/officeDocument/2006/relationships/oleObject" Target="file:///C:\Users\jovana.djeric\Desktop\Makro%20sektor\Fiskalna%20strategija%20(2023-2025)_REV\tekuca_ja\GRAFIKONI_MAKRO_okt22_j.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sara.radulovic\Dropbox\Makro%20sektor\6.%20Fiskalna%202023-2025%20-%20revidirana\Makro%20radni%20fajlovi\GRAFIKONI_MAKRO_okt22.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C:\Users\jovana.djeric\Desktop\GRAFIKONI_MAKRO_okt22.xlsx"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jovana.djeric\Desktop\GRAFIKONI_MAKRO_okt22.xlsx"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0.xml"/><Relationship Id="rId1" Type="http://schemas.microsoft.com/office/2011/relationships/chartStyle" Target="style30.xml"/><Relationship Id="rId5" Type="http://schemas.openxmlformats.org/officeDocument/2006/relationships/chartUserShapes" Target="../drawings/drawing13.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1.xml"/><Relationship Id="rId1" Type="http://schemas.microsoft.com/office/2011/relationships/chartStyle" Target="style31.xml"/><Relationship Id="rId5" Type="http://schemas.openxmlformats.org/officeDocument/2006/relationships/chartUserShapes" Target="../drawings/drawing14.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37.xml.rels><?xml version="1.0" encoding="UTF-8" standalone="yes"?>
<Relationships xmlns="http://schemas.openxmlformats.org/package/2006/relationships"><Relationship Id="rId2" Type="http://schemas.openxmlformats.org/officeDocument/2006/relationships/oleObject" Target="file:///C:\Users\rade.ciric\Dropbox\Makro%20sektor\6.%20Fiskalna%202023-2025%20-%20revidirana\Makro%20radni%20fajlovi\GRAFIKONI_MAKRO_okt22.xlsx" TargetMode="External"/><Relationship Id="rId1" Type="http://schemas.openxmlformats.org/officeDocument/2006/relationships/themeOverride" Target="../theme/themeOverride35.xml"/></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2.xml"/><Relationship Id="rId1" Type="http://schemas.microsoft.com/office/2011/relationships/chartStyle" Target="style32.xml"/><Relationship Id="rId5" Type="http://schemas.openxmlformats.org/officeDocument/2006/relationships/chartUserShapes" Target="../drawings/drawing15.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39.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oleObject" Target="file:///C:\Users\marko.lisica\Dropbox\Makro%20sektor\6.%20Fiskalna%202023-2025%20-%20revidirana\Makro%20radni%20fajlovi\GRAFIKONI_MAKRO_okt22.xlsx" TargetMode="External"/><Relationship Id="rId1" Type="http://schemas.openxmlformats.org/officeDocument/2006/relationships/themeOverride" Target="../theme/themeOverride37.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sara.radulovic\Dropbox\Makro%20sektor\6.%20Fiskalna%202023-2025%20-%20revidirana\Makro%20radni%20fajlovi\GRAFIKONI_MAKRO_okt22.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C:\Users\marko.lisica\Dropbox\Makro%20sektor\6.%20Fiskalna%202023-2025%20-%20revidirana\Makro%20radni%20fajlovi\GRAFIKONI_MAKRO_okt22.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file:///C:\Users\marko.lisica\Dropbox\Makro%20sektor\6.%20Fiskalna%202023-2025%20-%20revidirana\Makro%20radni%20fajlovi\GRAFIKONI_MAKRO_okt22.xlsx" TargetMode="External"/></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oleObject" Target="file:///C:\Users\marko.lisica\Dropbox\Makro%20sektor\6.%20Fiskalna%202023-2025%20-%20revidirana\Makro%20radni%20fajlovi\GRAFIKONI_MAKRO_okt22.xlsx" TargetMode="Externa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36.xml"/><Relationship Id="rId1" Type="http://schemas.microsoft.com/office/2011/relationships/chartStyle" Target="style36.xml"/><Relationship Id="rId5" Type="http://schemas.openxmlformats.org/officeDocument/2006/relationships/chartUserShapes" Target="../drawings/drawing17.xml"/><Relationship Id="rId4" Type="http://schemas.openxmlformats.org/officeDocument/2006/relationships/oleObject" Target="file:///C:\Users\marko.lisica\Dropbox\Makro%20sektor\6.%20Fiskalna%202023-2025%20-%20revidirana\Makro%20radni%20fajlovi\GRAFIKONI_MAKRO_okt22.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37.xml"/><Relationship Id="rId1" Type="http://schemas.microsoft.com/office/2011/relationships/chartStyle" Target="style37.xml"/><Relationship Id="rId5" Type="http://schemas.openxmlformats.org/officeDocument/2006/relationships/chartUserShapes" Target="../drawings/drawing18.xml"/><Relationship Id="rId4" Type="http://schemas.openxmlformats.org/officeDocument/2006/relationships/oleObject" Target="file:///C:\Users\marko.lisica\Dropbox\Makro%20sektor\6.%20Fiskalna%202023-2025%20-%20revidirana\Makro%20radni%20fajlovi\GRAFIKONI_MAKRO_okt22.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file:///C:\Users\milos.gligorijevic\Dropbox\Dropbox\Makro%20sektor\6.%20Fiskalna%202023-2025%20-%20revidirana\Makro%20radni%20fajlovi\GRAFIKONI_MAKRO_okt22.xlsx" TargetMode="External"/></Relationships>
</file>

<file path=word/charts/_rels/chart46.xml.rels><?xml version="1.0" encoding="UTF-8" standalone="yes"?>
<Relationships xmlns="http://schemas.openxmlformats.org/package/2006/relationships"><Relationship Id="rId2" Type="http://schemas.openxmlformats.org/officeDocument/2006/relationships/oleObject" Target="file:///C:\Users\milos.gligorijevic\Dropbox\Dropbox\Makro%20sektor\6.%20Fiskalna%202023-2025%20-%20revidirana\Makro%20radni%20fajlovi\GRAFIKONI_MAKRO_okt22.xlsx" TargetMode="External"/><Relationship Id="rId1" Type="http://schemas.openxmlformats.org/officeDocument/2006/relationships/themeOverride" Target="../theme/themeOverride44.xm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39.xml"/><Relationship Id="rId1" Type="http://schemas.microsoft.com/office/2011/relationships/chartStyle" Target="style39.xml"/><Relationship Id="rId5" Type="http://schemas.openxmlformats.org/officeDocument/2006/relationships/chartUserShapes" Target="../drawings/drawing19.xml"/><Relationship Id="rId4" Type="http://schemas.openxmlformats.org/officeDocument/2006/relationships/oleObject" Target="file:///C:\Users\milos.gligorijevic\Dropbox\Dropbox\Makro%20sektor\6.%20Fiskalna%202023-2025%20-%20revidirana\Makro%20radni%20fajlovi\GRAFIKONI_MAKRO_okt22.xlsx" TargetMode="External"/></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46.xml"/><Relationship Id="rId2" Type="http://schemas.microsoft.com/office/2011/relationships/chartColorStyle" Target="colors40.xml"/><Relationship Id="rId1" Type="http://schemas.microsoft.com/office/2011/relationships/chartStyle" Target="style40.xml"/><Relationship Id="rId5" Type="http://schemas.openxmlformats.org/officeDocument/2006/relationships/chartUserShapes" Target="../drawings/drawing20.xml"/><Relationship Id="rId4" Type="http://schemas.openxmlformats.org/officeDocument/2006/relationships/oleObject" Target="file:///C:\Users\milos.gligorijevic\Dropbox\Dropbox\Makro%20sektor\6.%20Fiskalna%202023-2025%20-%20revidirana\Makro%20radni%20fajlovi\GRAFIKONI_MAKRO_okt22.xlsx" TargetMode="External"/></Relationships>
</file>

<file path=word/charts/_rels/chart49.xml.rels><?xml version="1.0" encoding="UTF-8" standalone="yes"?>
<Relationships xmlns="http://schemas.openxmlformats.org/package/2006/relationships"><Relationship Id="rId3" Type="http://schemas.openxmlformats.org/officeDocument/2006/relationships/oleObject" Target="file:///C:\Users\vladimir.malbasic\Desktop\Za%20bazu-%20GFS,%20SS%20bs%20,%20MMF%20table\GFS%20CONSOLIDATION_za%20analizu%20radni%20fajl-2080mq1.xlsx" TargetMode="External"/><Relationship Id="rId2" Type="http://schemas.microsoft.com/office/2011/relationships/chartColorStyle" Target="colors41.xml"/><Relationship Id="rId1" Type="http://schemas.microsoft.com/office/2011/relationships/chartStyle" Target="style41.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oleObject" Target="file:///C:\Users\ivan.krstic\Dropbox\Makro%20sektor\6.%20Fiskalna%202023-2025%20-%20revidirana\Fiskal%20radni%20fajlovi\S0%202021.xlsx" TargetMode="External"/></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48.xml"/><Relationship Id="rId2" Type="http://schemas.microsoft.com/office/2011/relationships/chartColorStyle" Target="colors43.xml"/><Relationship Id="rId1" Type="http://schemas.microsoft.com/office/2011/relationships/chartStyle" Target="style43.xml"/><Relationship Id="rId5" Type="http://schemas.openxmlformats.org/officeDocument/2006/relationships/chartUserShapes" Target="../drawings/drawing21.xml"/><Relationship Id="rId4" Type="http://schemas.openxmlformats.org/officeDocument/2006/relationships/oleObject" Target="file:///C:\Users\ivan.krstic\Dropbox\Makro%20sektor\6.%20Fiskalna%202023-2025%20-%20revidirana\Fiskal%20radni%20fajlovi\S0%202021.xlsx" TargetMode="Externa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chartUserShapes" Target="../drawings/drawing22.xml"/></Relationships>
</file>

<file path=word/charts/_rels/chart53.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oleObject" Target="file:///C:\Users\ognjen.jancic\Dropbox\Makro%20sektor\6.%20Fiskalna%202023-2025%20-%20revidirana\Fiskal%20radni%20fajlovi\ognjen%20fajlovi\za%20grafikone%20def,dug%20baseline%20i%20sa%20merama.xlsx" TargetMode="External"/><Relationship Id="rId1" Type="http://schemas.openxmlformats.org/officeDocument/2006/relationships/themeOverride" Target="../theme/themeOverride49.xml"/></Relationships>
</file>

<file path=word/charts/_rels/chart54.xml.rels><?xml version="1.0" encoding="UTF-8" standalone="yes"?>
<Relationships xmlns="http://schemas.openxmlformats.org/package/2006/relationships"><Relationship Id="rId3" Type="http://schemas.openxmlformats.org/officeDocument/2006/relationships/oleObject" Target="file:///C:\Users\vladimir.malbasic\Dropbox\Makro%20sektor\6.%20Fiskalna%202023-2025%20-%20revidirana\Fiskal%20radni%20fajlovi\Grafikoni%20ciklicnog%20deficita,%20poreske%20elasticnosti%20i%20osetljivost%20balansa%20april%202022.xlsx" TargetMode="External"/><Relationship Id="rId2" Type="http://schemas.microsoft.com/office/2011/relationships/chartColorStyle" Target="colors45.xml"/><Relationship Id="rId1" Type="http://schemas.microsoft.com/office/2011/relationships/chartStyle" Target="style45.xml"/><Relationship Id="rId4" Type="http://schemas.openxmlformats.org/officeDocument/2006/relationships/chartUserShapes" Target="../drawings/drawing24.xml"/></Relationships>
</file>

<file path=word/charts/_rels/chart55.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46.xml"/><Relationship Id="rId1" Type="http://schemas.microsoft.com/office/2011/relationships/chartStyle" Target="style46.xml"/><Relationship Id="rId5" Type="http://schemas.openxmlformats.org/officeDocument/2006/relationships/chartUserShapes" Target="../drawings/drawing25.xml"/><Relationship Id="rId4" Type="http://schemas.openxmlformats.org/officeDocument/2006/relationships/oleObject" Target="file:///C:\Users\vladimir.malbasic\Dropbox\Makro%20sektor\6.%20Fiskalna%202023-2025%20-%20revidirana\Fiskal%20radni%20fajlovi\Grafikoni%20ciklicnog%20deficita,%20poreske%20elasticnosti%20i%20osetljivost%20balansa%20april%202022.xlsx" TargetMode="External"/></Relationships>
</file>

<file path=word/charts/_rels/chart56.xml.rels><?xml version="1.0" encoding="UTF-8" standalone="yes"?>
<Relationships xmlns="http://schemas.openxmlformats.org/package/2006/relationships"><Relationship Id="rId3" Type="http://schemas.openxmlformats.org/officeDocument/2006/relationships/themeOverride" Target="../theme/themeOverride51.xml"/><Relationship Id="rId2" Type="http://schemas.microsoft.com/office/2011/relationships/chartColorStyle" Target="colors47.xml"/><Relationship Id="rId1" Type="http://schemas.microsoft.com/office/2011/relationships/chartStyle" Target="style47.xml"/><Relationship Id="rId5" Type="http://schemas.openxmlformats.org/officeDocument/2006/relationships/chartUserShapes" Target="../drawings/drawing26.xml"/><Relationship Id="rId4" Type="http://schemas.openxmlformats.org/officeDocument/2006/relationships/oleObject" Target="file:///C:\Users\vladimir.malbasic\Dropbox\Makro%20sektor\6.%20Fiskalna%202023-2025%20-%20revidirana\Fiskal%20radni%20fajlovi\Grafikoni%20ciklicnog%20deficita,%20poreske%20elasticnosti%20i%20osetljivost%20balansa%20april%202022.xlsx" TargetMode="External"/></Relationships>
</file>

<file path=word/charts/_rels/chart57.xml.rels><?xml version="1.0" encoding="UTF-8" standalone="yes"?>
<Relationships xmlns="http://schemas.openxmlformats.org/package/2006/relationships"><Relationship Id="rId3" Type="http://schemas.openxmlformats.org/officeDocument/2006/relationships/oleObject" Target="file:///E:\Dropbox\Dropbox\Dropbox\Makro%20sektor\6.%20Fiskalna%202023-2025%20-%20revidirana\Fiskal%20radni%20fajlovi\Scenarija%20javni%20dug%20fiskalno%20prilagodjavanje.xlsx" TargetMode="External"/><Relationship Id="rId2" Type="http://schemas.microsoft.com/office/2011/relationships/chartColorStyle" Target="colors48.xml"/><Relationship Id="rId1" Type="http://schemas.microsoft.com/office/2011/relationships/chartStyle" Target="style48.xml"/></Relationships>
</file>

<file path=word/charts/_rels/chart58.xml.rels><?xml version="1.0" encoding="UTF-8" standalone="yes"?>
<Relationships xmlns="http://schemas.openxmlformats.org/package/2006/relationships"><Relationship Id="rId3" Type="http://schemas.openxmlformats.org/officeDocument/2006/relationships/oleObject" Target="file:///C:\Users\vladimir.malbasic\Desktop\Za%20bazu-%20GFS,%20SS%20bs%20,%20MMF%20table\GFS%20CONSOLIDATION_za%20analizu%20radni%20fajl-2080mq1.xlsx" TargetMode="External"/><Relationship Id="rId2" Type="http://schemas.microsoft.com/office/2011/relationships/chartColorStyle" Target="colors49.xml"/><Relationship Id="rId1" Type="http://schemas.microsoft.com/office/2011/relationships/chartStyle" Target="style49.xml"/></Relationships>
</file>

<file path=word/charts/_rels/chart59.xml.rels><?xml version="1.0" encoding="UTF-8" standalone="yes"?>
<Relationships xmlns="http://schemas.openxmlformats.org/package/2006/relationships"><Relationship Id="rId3" Type="http://schemas.openxmlformats.org/officeDocument/2006/relationships/oleObject" Target="file:///E:\Dropbox\Dropbox\Dropbox\Makro%20sektor\6.%20Fiskalna%202023-2025%20-%20revidirana\Fiskal%20radni%20fajlovi\Scenarija%20javni%20dug%20fiskalno%20prilagodjavanje.xlsx" TargetMode="Externa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chartUserShapes" Target="../drawings/drawing27.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2.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52.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3.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4.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5.xml"/></Relationships>
</file>

<file path=word/charts/_rels/chart64.xml.rels><?xml version="1.0" encoding="UTF-8" standalone="yes"?>
<Relationships xmlns="http://schemas.openxmlformats.org/package/2006/relationships"><Relationship Id="rId1" Type="http://schemas.openxmlformats.org/officeDocument/2006/relationships/oleObject" Target="file:///C:\Users\milena\Desktop\Strategija%202023-2025R\MTDS%202023%20R%20-final.xlsm" TargetMode="External"/></Relationships>
</file>

<file path=word/charts/_rels/chart65.xml.rels><?xml version="1.0" encoding="UTF-8" standalone="yes"?>
<Relationships xmlns="http://schemas.openxmlformats.org/package/2006/relationships"><Relationship Id="rId3" Type="http://schemas.openxmlformats.org/officeDocument/2006/relationships/oleObject" Target="file:///C:\Users\Oliver%20Mini&#263;\Desktop\REVIDIRANA%20STRATEGIJA%202023-2025\STRAT20233-2025.xlsx" TargetMode="External"/><Relationship Id="rId2" Type="http://schemas.microsoft.com/office/2011/relationships/chartColorStyle" Target="colors51.xml"/><Relationship Id="rId1" Type="http://schemas.microsoft.com/office/2011/relationships/chartStyle" Target="style51.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3.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4.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5.xml"/><Relationship Id="rId4" Type="http://schemas.openxmlformats.org/officeDocument/2006/relationships/oleObject" Target="file:///C:\Users\jovana.djeric\Dropbox\Makro%20sektor\6.%20Fiskalna%202023-2025%20-%20revidirana\Makro%20radni%20fajlovi\GRAFIKONI_MAKRO_okt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r>
              <a:rPr lang="sr-Cyrl-RS" sz="800">
                <a:solidFill>
                  <a:schemeClr val="tx2"/>
                </a:solidFill>
                <a:latin typeface="+mn-lt"/>
              </a:rPr>
              <a:t>Раст БДП у Немачкој</a:t>
            </a:r>
            <a:r>
              <a:rPr lang="en-US" sz="800">
                <a:solidFill>
                  <a:schemeClr val="tx2"/>
                </a:solidFill>
                <a:latin typeface="+mn-lt"/>
              </a:rPr>
              <a:t>, %</a:t>
            </a:r>
            <a:endParaRPr lang="sr-Cyrl-RS" sz="800">
              <a:solidFill>
                <a:schemeClr val="tx2"/>
              </a:solidFill>
              <a:latin typeface="+mn-lt"/>
            </a:endParaRPr>
          </a:p>
        </c:rich>
      </c:tx>
      <c:layout>
        <c:manualLayout>
          <c:xMode val="edge"/>
          <c:yMode val="edge"/>
          <c:x val="0.3266378600823045"/>
          <c:y val="2.1166666666666667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2670625474141314"/>
          <c:w val="0.88876071125802292"/>
          <c:h val="0.74944062224780039"/>
        </c:manualLayout>
      </c:layout>
      <c:lineChart>
        <c:grouping val="standard"/>
        <c:varyColors val="0"/>
        <c:ser>
          <c:idx val="0"/>
          <c:order val="0"/>
          <c:tx>
            <c:strRef>
              <c:f>Sheet1!$A$206</c:f>
              <c:strCache>
                <c:ptCount val="1"/>
                <c:pt idx="0">
                  <c:v>окт. 2021.</c:v>
                </c:pt>
              </c:strCache>
            </c:strRef>
          </c:tx>
          <c:spPr>
            <a:ln w="25400" cap="rnd">
              <a:solidFill>
                <a:schemeClr val="accent4"/>
              </a:solidFill>
              <a:prstDash val="sysDot"/>
              <a:round/>
            </a:ln>
            <a:effectLst/>
          </c:spPr>
          <c:marker>
            <c:symbol val="none"/>
          </c:marker>
          <c:dLbls>
            <c:dLbl>
              <c:idx val="0"/>
              <c:layout>
                <c:manualLayout>
                  <c:x val="-5.8866813833701251E-3"/>
                  <c:y val="-3.34528202345535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246-4F50-B253-A2C4306D32D4}"/>
                </c:ext>
              </c:extLst>
            </c:dLbl>
            <c:dLbl>
              <c:idx val="1"/>
              <c:layout>
                <c:manualLayout>
                  <c:x val="-5.6074417009602195E-2"/>
                  <c:y val="-5.6620555555555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246-4F50-B253-A2C4306D32D4}"/>
                </c:ext>
              </c:extLst>
            </c:dLbl>
            <c:dLbl>
              <c:idx val="2"/>
              <c:layout>
                <c:manualLayout>
                  <c:x val="-2.6131687242798355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46-4F50-B253-A2C4306D32D4}"/>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Sheet1!$B$79:$D$79</c:f>
              <c:numCache>
                <c:formatCode>General</c:formatCode>
                <c:ptCount val="3"/>
                <c:pt idx="0">
                  <c:v>2021</c:v>
                </c:pt>
                <c:pt idx="1">
                  <c:v>2022</c:v>
                </c:pt>
                <c:pt idx="2">
                  <c:v>2023</c:v>
                </c:pt>
              </c:numCache>
            </c:numRef>
          </c:cat>
          <c:val>
            <c:numRef>
              <c:f>Sheet1!$B$206:$D$206</c:f>
              <c:numCache>
                <c:formatCode>0.0</c:formatCode>
                <c:ptCount val="3"/>
                <c:pt idx="0">
                  <c:v>3.0510000000000002</c:v>
                </c:pt>
                <c:pt idx="1">
                  <c:v>4.5599999999999996</c:v>
                </c:pt>
                <c:pt idx="2">
                  <c:v>1.59</c:v>
                </c:pt>
              </c:numCache>
            </c:numRef>
          </c:val>
          <c:smooth val="0"/>
          <c:extLst>
            <c:ext xmlns:c16="http://schemas.microsoft.com/office/drawing/2014/chart" uri="{C3380CC4-5D6E-409C-BE32-E72D297353CC}">
              <c16:uniqueId val="{00000003-E246-4F50-B253-A2C4306D32D4}"/>
            </c:ext>
          </c:extLst>
        </c:ser>
        <c:ser>
          <c:idx val="1"/>
          <c:order val="1"/>
          <c:tx>
            <c:strRef>
              <c:f>Sheet1!$A$207</c:f>
              <c:strCache>
                <c:ptCount val="1"/>
                <c:pt idx="0">
                  <c:v>апр. 2022.</c:v>
                </c:pt>
              </c:strCache>
            </c:strRef>
          </c:tx>
          <c:spPr>
            <a:ln w="22225" cap="rnd">
              <a:solidFill>
                <a:srgbClr val="002060"/>
              </a:solidFill>
              <a:prstDash val="sysDash"/>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Sheet1!$B$79:$D$79</c:f>
              <c:numCache>
                <c:formatCode>General</c:formatCode>
                <c:ptCount val="3"/>
                <c:pt idx="0">
                  <c:v>2021</c:v>
                </c:pt>
                <c:pt idx="1">
                  <c:v>2022</c:v>
                </c:pt>
                <c:pt idx="2">
                  <c:v>2023</c:v>
                </c:pt>
              </c:numCache>
            </c:numRef>
          </c:cat>
          <c:val>
            <c:numRef>
              <c:f>Sheet1!$B$207:$D$207</c:f>
              <c:numCache>
                <c:formatCode>0.0</c:formatCode>
                <c:ptCount val="3"/>
                <c:pt idx="0">
                  <c:v>2.7869999999999999</c:v>
                </c:pt>
                <c:pt idx="1">
                  <c:v>2.101</c:v>
                </c:pt>
                <c:pt idx="2">
                  <c:v>2.7210000000000001</c:v>
                </c:pt>
              </c:numCache>
            </c:numRef>
          </c:val>
          <c:smooth val="0"/>
          <c:extLst>
            <c:ext xmlns:c16="http://schemas.microsoft.com/office/drawing/2014/chart" uri="{C3380CC4-5D6E-409C-BE32-E72D297353CC}">
              <c16:uniqueId val="{00000004-E246-4F50-B253-A2C4306D32D4}"/>
            </c:ext>
          </c:extLst>
        </c:ser>
        <c:ser>
          <c:idx val="2"/>
          <c:order val="2"/>
          <c:tx>
            <c:strRef>
              <c:f>Sheet1!$A$208</c:f>
              <c:strCache>
                <c:ptCount val="1"/>
                <c:pt idx="0">
                  <c:v>окт. 2022.</c:v>
                </c:pt>
              </c:strCache>
            </c:strRef>
          </c:tx>
          <c:spPr>
            <a:ln w="28575" cap="rnd">
              <a:solidFill>
                <a:srgbClr val="FF0000"/>
              </a:solidFill>
              <a:round/>
            </a:ln>
            <a:effectLst/>
          </c:spPr>
          <c:marker>
            <c:symbol val="circle"/>
            <c:size val="13"/>
            <c:spPr>
              <a:solidFill>
                <a:srgbClr val="FF0000"/>
              </a:solidFill>
              <a:ln w="9525">
                <a:noFill/>
              </a:ln>
              <a:effectLst/>
            </c:spPr>
          </c:marker>
          <c:dLbls>
            <c:spPr>
              <a:noFill/>
              <a:ln>
                <a:noFill/>
              </a:ln>
              <a:effectLst/>
            </c:spPr>
            <c:txPr>
              <a:bodyPr rot="0" spcFirstLastPara="1" vertOverflow="ellipsis" vert="horz" wrap="square" anchor="ctr" anchorCtr="1"/>
              <a:lstStyle/>
              <a:p>
                <a:pPr>
                  <a:defRPr sz="700" b="0" i="0" u="none" strike="noStrike" kern="1200" baseline="0">
                    <a:solidFill>
                      <a:schemeClr val="bg1"/>
                    </a:solidFill>
                    <a:latin typeface="+mn-lt"/>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Sheet1!$B$79:$D$79</c:f>
              <c:numCache>
                <c:formatCode>General</c:formatCode>
                <c:ptCount val="3"/>
                <c:pt idx="0">
                  <c:v>2021</c:v>
                </c:pt>
                <c:pt idx="1">
                  <c:v>2022</c:v>
                </c:pt>
                <c:pt idx="2">
                  <c:v>2023</c:v>
                </c:pt>
              </c:numCache>
            </c:numRef>
          </c:cat>
          <c:val>
            <c:numRef>
              <c:f>Sheet1!$B$208:$D$208</c:f>
              <c:numCache>
                <c:formatCode>0.0</c:formatCode>
                <c:ptCount val="3"/>
                <c:pt idx="0">
                  <c:v>2.625</c:v>
                </c:pt>
                <c:pt idx="1">
                  <c:v>1.5469999999999999</c:v>
                </c:pt>
                <c:pt idx="2">
                  <c:v>-0.29399999999999998</c:v>
                </c:pt>
              </c:numCache>
            </c:numRef>
          </c:val>
          <c:smooth val="0"/>
          <c:extLst>
            <c:ext xmlns:c16="http://schemas.microsoft.com/office/drawing/2014/chart" uri="{C3380CC4-5D6E-409C-BE32-E72D297353CC}">
              <c16:uniqueId val="{00000005-E246-4F50-B253-A2C4306D32D4}"/>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agregati'!$B$7</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6B2C-438E-B41C-C1B204C9C224}"/>
              </c:ext>
            </c:extLst>
          </c:dPt>
          <c:dPt>
            <c:idx val="1"/>
            <c:invertIfNegative val="0"/>
            <c:bubble3D val="0"/>
            <c:spPr>
              <a:solidFill>
                <a:srgbClr val="ED1C24"/>
              </a:solidFill>
              <a:ln>
                <a:noFill/>
              </a:ln>
              <a:effectLst/>
            </c:spPr>
            <c:extLst>
              <c:ext xmlns:c16="http://schemas.microsoft.com/office/drawing/2014/chart" uri="{C3380CC4-5D6E-409C-BE32-E72D297353CC}">
                <c16:uniqueId val="{00000003-6B2C-438E-B41C-C1B204C9C224}"/>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6B2C-438E-B41C-C1B204C9C224}"/>
                </c:ext>
              </c:extLst>
            </c:dLbl>
            <c:dLbl>
              <c:idx val="1"/>
              <c:spPr>
                <a:noFill/>
                <a:ln>
                  <a:noFill/>
                </a:ln>
                <a:effectLst/>
              </c:spPr>
              <c:txPr>
                <a:bodyPr rot="0" spcFirstLastPara="1" vertOverflow="ellipsis" vert="horz" wrap="none" lIns="38100" tIns="19050" rIns="38100" bIns="19050" anchor="ctr" anchorCtr="1">
                  <a:no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6B2C-438E-B41C-C1B204C9C224}"/>
                </c:ext>
              </c:extLst>
            </c:dLbl>
            <c:spPr>
              <a:noFill/>
              <a:ln>
                <a:noFill/>
              </a:ln>
              <a:effectLst/>
            </c:spPr>
            <c:txPr>
              <a:bodyPr rot="0" spcFirstLastPara="1" vertOverflow="ellipsis" vert="horz" wrap="non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agregati'!$C$7,'Osn. makroekon. agregati'!$D$7)</c:f>
              <c:numCache>
                <c:formatCode>0.0</c:formatCode>
                <c:ptCount val="2"/>
                <c:pt idx="0">
                  <c:v>9.1999999999999993</c:v>
                </c:pt>
                <c:pt idx="1">
                  <c:v>11.6</c:v>
                </c:pt>
              </c:numCache>
            </c:numRef>
          </c:val>
          <c:extLst>
            <c:ext xmlns:c16="http://schemas.microsoft.com/office/drawing/2014/chart" uri="{C3380CC4-5D6E-409C-BE32-E72D297353CC}">
              <c16:uniqueId val="{00000004-6B2C-438E-B41C-C1B204C9C224}"/>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13"/>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agregati'!$B$7</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B386-403B-9D97-5E5D926A6A13}"/>
              </c:ext>
            </c:extLst>
          </c:dPt>
          <c:dPt>
            <c:idx val="1"/>
            <c:invertIfNegative val="0"/>
            <c:bubble3D val="0"/>
            <c:spPr>
              <a:solidFill>
                <a:srgbClr val="ED1C24"/>
              </a:solidFill>
              <a:ln>
                <a:noFill/>
              </a:ln>
              <a:effectLst/>
            </c:spPr>
            <c:extLst>
              <c:ext xmlns:c16="http://schemas.microsoft.com/office/drawing/2014/chart" uri="{C3380CC4-5D6E-409C-BE32-E72D297353CC}">
                <c16:uniqueId val="{00000003-B386-403B-9D97-5E5D926A6A13}"/>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B386-403B-9D97-5E5D926A6A13}"/>
                </c:ext>
              </c:extLst>
            </c:dLbl>
            <c:dLbl>
              <c:idx val="1"/>
              <c:spPr>
                <a:noFill/>
                <a:ln>
                  <a:noFill/>
                </a:ln>
                <a:effectLst/>
              </c:spPr>
              <c:txPr>
                <a:bodyPr rot="0" spcFirstLastPara="1" vertOverflow="ellipsis" vert="horz" wrap="none" lIns="38100" tIns="19050" rIns="38100" bIns="19050" anchor="ctr" anchorCtr="1">
                  <a:no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B386-403B-9D97-5E5D926A6A1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agregati'!$E$7,'Osn. makroekon. agregati'!$F$7)</c:f>
              <c:numCache>
                <c:formatCode>0.0</c:formatCode>
                <c:ptCount val="2"/>
                <c:pt idx="0">
                  <c:v>5.3</c:v>
                </c:pt>
                <c:pt idx="1">
                  <c:v>11.1</c:v>
                </c:pt>
              </c:numCache>
            </c:numRef>
          </c:val>
          <c:extLst>
            <c:ext xmlns:c16="http://schemas.microsoft.com/office/drawing/2014/chart" uri="{C3380CC4-5D6E-409C-BE32-E72D297353CC}">
              <c16:uniqueId val="{00000004-B386-403B-9D97-5E5D926A6A13}"/>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3</a:t>
                </a:r>
                <a:endParaRPr lang="en-US" b="1"/>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13"/>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agregati'!$B$8</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0250-4EC7-9BAC-38409274D0CD}"/>
              </c:ext>
            </c:extLst>
          </c:dPt>
          <c:dPt>
            <c:idx val="1"/>
            <c:invertIfNegative val="0"/>
            <c:bubble3D val="0"/>
            <c:spPr>
              <a:solidFill>
                <a:srgbClr val="ED1C24"/>
              </a:solidFill>
              <a:ln>
                <a:noFill/>
              </a:ln>
              <a:effectLst/>
            </c:spPr>
            <c:extLst>
              <c:ext xmlns:c16="http://schemas.microsoft.com/office/drawing/2014/chart" uri="{C3380CC4-5D6E-409C-BE32-E72D297353CC}">
                <c16:uniqueId val="{00000003-0250-4EC7-9BAC-38409274D0CD}"/>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0250-4EC7-9BAC-38409274D0CD}"/>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0250-4EC7-9BAC-38409274D0C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agregati'!$C$8,'Osn. makroekon. agregati'!$D$8)</c:f>
              <c:numCache>
                <c:formatCode>0.0</c:formatCode>
                <c:ptCount val="2"/>
                <c:pt idx="0">
                  <c:v>-3</c:v>
                </c:pt>
                <c:pt idx="1">
                  <c:v>-3.8</c:v>
                </c:pt>
              </c:numCache>
            </c:numRef>
          </c:val>
          <c:extLst>
            <c:ext xmlns:c16="http://schemas.microsoft.com/office/drawing/2014/chart" uri="{C3380CC4-5D6E-409C-BE32-E72D297353CC}">
              <c16:uniqueId val="{00000004-0250-4EC7-9BAC-38409274D0CD}"/>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agregati'!$B$8</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5356-407B-8879-849BEA539DFF}"/>
              </c:ext>
            </c:extLst>
          </c:dPt>
          <c:dPt>
            <c:idx val="1"/>
            <c:invertIfNegative val="0"/>
            <c:bubble3D val="0"/>
            <c:spPr>
              <a:solidFill>
                <a:srgbClr val="ED1C24"/>
              </a:solidFill>
              <a:ln>
                <a:noFill/>
              </a:ln>
              <a:effectLst/>
            </c:spPr>
            <c:extLst>
              <c:ext xmlns:c16="http://schemas.microsoft.com/office/drawing/2014/chart" uri="{C3380CC4-5D6E-409C-BE32-E72D297353CC}">
                <c16:uniqueId val="{00000003-5356-407B-8879-849BEA539DFF}"/>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5356-407B-8879-849BEA539DF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agregati'!$E$8,'Osn. makroekon. agregati'!$F$8)</c:f>
              <c:numCache>
                <c:formatCode>0.0</c:formatCode>
                <c:ptCount val="2"/>
                <c:pt idx="0">
                  <c:v>-1.5</c:v>
                </c:pt>
                <c:pt idx="1">
                  <c:v>-3.3</c:v>
                </c:pt>
              </c:numCache>
            </c:numRef>
          </c:val>
          <c:extLst>
            <c:ext xmlns:c16="http://schemas.microsoft.com/office/drawing/2014/chart" uri="{C3380CC4-5D6E-409C-BE32-E72D297353CC}">
              <c16:uniqueId val="{00000004-5356-407B-8879-849BEA539DFF}"/>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3</a:t>
                </a:r>
                <a:endParaRPr lang="en-US" b="1"/>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agregati'!$B$9</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C119-476F-910E-8F5993BAC62B}"/>
              </c:ext>
            </c:extLst>
          </c:dPt>
          <c:dPt>
            <c:idx val="1"/>
            <c:invertIfNegative val="0"/>
            <c:bubble3D val="0"/>
            <c:spPr>
              <a:solidFill>
                <a:srgbClr val="ED1C24"/>
              </a:solidFill>
              <a:ln>
                <a:noFill/>
              </a:ln>
              <a:effectLst/>
            </c:spPr>
            <c:extLst>
              <c:ext xmlns:c16="http://schemas.microsoft.com/office/drawing/2014/chart" uri="{C3380CC4-5D6E-409C-BE32-E72D297353CC}">
                <c16:uniqueId val="{00000003-C119-476F-910E-8F5993BAC62B}"/>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C119-476F-910E-8F5993BAC62B}"/>
                </c:ext>
              </c:extLst>
            </c:dLbl>
            <c:dLbl>
              <c:idx val="1"/>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C119-476F-910E-8F5993BAC62B}"/>
                </c:ext>
              </c:extLst>
            </c:dLbl>
            <c:spPr>
              <a:noFill/>
              <a:ln>
                <a:noFill/>
              </a:ln>
              <a:effectLst/>
            </c:spPr>
            <c:txPr>
              <a:bodyPr rot="0" spcFirstLastPara="1" vertOverflow="ellipsis" vert="horz" wrap="non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agregati'!$C$9,'Osn. makroekon. agregati'!$D$9)</c:f>
              <c:numCache>
                <c:formatCode>0.0</c:formatCode>
                <c:ptCount val="2"/>
                <c:pt idx="0">
                  <c:v>54.6</c:v>
                </c:pt>
                <c:pt idx="1">
                  <c:v>56.9</c:v>
                </c:pt>
              </c:numCache>
            </c:numRef>
          </c:val>
          <c:extLst>
            <c:ext xmlns:c16="http://schemas.microsoft.com/office/drawing/2014/chart" uri="{C3380CC4-5D6E-409C-BE32-E72D297353CC}">
              <c16:uniqueId val="{00000004-C119-476F-910E-8F5993BAC62B}"/>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0"/>
          <c:min val="3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agregati'!$B$9</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D426-4331-8F50-8267EB32D97A}"/>
              </c:ext>
            </c:extLst>
          </c:dPt>
          <c:dPt>
            <c:idx val="1"/>
            <c:invertIfNegative val="0"/>
            <c:bubble3D val="0"/>
            <c:spPr>
              <a:solidFill>
                <a:srgbClr val="ED1C24"/>
              </a:solidFill>
              <a:ln>
                <a:noFill/>
              </a:ln>
              <a:effectLst/>
            </c:spPr>
            <c:extLst>
              <c:ext xmlns:c16="http://schemas.microsoft.com/office/drawing/2014/chart" uri="{C3380CC4-5D6E-409C-BE32-E72D297353CC}">
                <c16:uniqueId val="{00000003-D426-4331-8F50-8267EB32D97A}"/>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D426-4331-8F50-8267EB32D97A}"/>
                </c:ext>
              </c:extLst>
            </c:dLbl>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agregati'!$E$9,'Osn. makroekon. agregati'!$F$9)</c:f>
              <c:numCache>
                <c:formatCode>0.0</c:formatCode>
                <c:ptCount val="2"/>
                <c:pt idx="0">
                  <c:v>53.1</c:v>
                </c:pt>
                <c:pt idx="1">
                  <c:v>56.1</c:v>
                </c:pt>
              </c:numCache>
            </c:numRef>
          </c:val>
          <c:extLst>
            <c:ext xmlns:c16="http://schemas.microsoft.com/office/drawing/2014/chart" uri="{C3380CC4-5D6E-409C-BE32-E72D297353CC}">
              <c16:uniqueId val="{00000004-D426-4331-8F50-8267EB32D97A}"/>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3</a:t>
                </a:r>
                <a:endParaRPr lang="en-US" b="1"/>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0"/>
          <c:min val="3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2091256084322588"/>
        </c:manualLayout>
      </c:layout>
      <c:barChart>
        <c:barDir val="col"/>
        <c:grouping val="stacked"/>
        <c:varyColors val="0"/>
        <c:ser>
          <c:idx val="0"/>
          <c:order val="0"/>
          <c:tx>
            <c:strRef>
              <c:f>BDPQ_doprinosi!$R$34</c:f>
              <c:strCache>
                <c:ptCount val="1"/>
                <c:pt idx="0">
                  <c:v>Пољопривреда</c:v>
                </c:pt>
              </c:strCache>
            </c:strRef>
          </c:tx>
          <c:spPr>
            <a:solidFill>
              <a:srgbClr val="10103C"/>
            </a:solidFill>
            <a:ln>
              <a:noFill/>
            </a:ln>
            <a:effectLst/>
          </c:spPr>
          <c:invertIfNegative val="0"/>
          <c:cat>
            <c:multiLvlStrRef>
              <c:f>BDPQ_doprinosi!$AY$32:$BI$33</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BDPQ_doprinosi!$AY$34:$BI$34</c:f>
              <c:numCache>
                <c:formatCode>0.0</c:formatCode>
                <c:ptCount val="11"/>
                <c:pt idx="0">
                  <c:v>0.10945963192105693</c:v>
                </c:pt>
                <c:pt idx="1">
                  <c:v>0.12909413699371397</c:v>
                </c:pt>
                <c:pt idx="2">
                  <c:v>0.15324408615082788</c:v>
                </c:pt>
                <c:pt idx="3">
                  <c:v>0.12575708922379022</c:v>
                </c:pt>
                <c:pt idx="4">
                  <c:v>-0.32490994196437156</c:v>
                </c:pt>
                <c:pt idx="5">
                  <c:v>-0.31598427952236169</c:v>
                </c:pt>
                <c:pt idx="6">
                  <c:v>-0.36557249480882975</c:v>
                </c:pt>
                <c:pt idx="7">
                  <c:v>-0.35573425866829361</c:v>
                </c:pt>
                <c:pt idx="8">
                  <c:v>-0.43734023443804981</c:v>
                </c:pt>
                <c:pt idx="9">
                  <c:v>-0.41562017555260339</c:v>
                </c:pt>
                <c:pt idx="10">
                  <c:v>-0.53899614807915885</c:v>
                </c:pt>
              </c:numCache>
            </c:numRef>
          </c:val>
          <c:extLst>
            <c:ext xmlns:c16="http://schemas.microsoft.com/office/drawing/2014/chart" uri="{C3380CC4-5D6E-409C-BE32-E72D297353CC}">
              <c16:uniqueId val="{00000000-76C9-42A2-AD2A-447E6534271C}"/>
            </c:ext>
          </c:extLst>
        </c:ser>
        <c:ser>
          <c:idx val="1"/>
          <c:order val="1"/>
          <c:tx>
            <c:strRef>
              <c:f>BDPQ_doprinosi!$R$35</c:f>
              <c:strCache>
                <c:ptCount val="1"/>
                <c:pt idx="0">
                  <c:v>Индустрија</c:v>
                </c:pt>
              </c:strCache>
            </c:strRef>
          </c:tx>
          <c:spPr>
            <a:solidFill>
              <a:srgbClr val="29489A"/>
            </a:solidFill>
            <a:ln>
              <a:noFill/>
            </a:ln>
            <a:effectLst/>
          </c:spPr>
          <c:invertIfNegative val="0"/>
          <c:cat>
            <c:multiLvlStrRef>
              <c:f>BDPQ_doprinosi!$AY$32:$BI$33</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BDPQ_doprinosi!$AY$35:$BI$35</c:f>
              <c:numCache>
                <c:formatCode>0.0</c:formatCode>
                <c:ptCount val="11"/>
                <c:pt idx="0">
                  <c:v>0.84810112506083535</c:v>
                </c:pt>
                <c:pt idx="1">
                  <c:v>-1.5438585847598842</c:v>
                </c:pt>
                <c:pt idx="2">
                  <c:v>0.63326756919832605</c:v>
                </c:pt>
                <c:pt idx="3">
                  <c:v>0.27447699699655703</c:v>
                </c:pt>
                <c:pt idx="4">
                  <c:v>0.7807479050199948</c:v>
                </c:pt>
                <c:pt idx="5">
                  <c:v>2.917823711750398</c:v>
                </c:pt>
                <c:pt idx="6">
                  <c:v>0.43979265366354336</c:v>
                </c:pt>
                <c:pt idx="7">
                  <c:v>0.8229616146788753</c:v>
                </c:pt>
                <c:pt idx="8">
                  <c:v>0.41016293839458551</c:v>
                </c:pt>
                <c:pt idx="9">
                  <c:v>0.88780606068989842</c:v>
                </c:pt>
                <c:pt idx="10">
                  <c:v>-9.7108453818476229E-2</c:v>
                </c:pt>
              </c:numCache>
            </c:numRef>
          </c:val>
          <c:extLst>
            <c:ext xmlns:c16="http://schemas.microsoft.com/office/drawing/2014/chart" uri="{C3380CC4-5D6E-409C-BE32-E72D297353CC}">
              <c16:uniqueId val="{00000001-76C9-42A2-AD2A-447E6534271C}"/>
            </c:ext>
          </c:extLst>
        </c:ser>
        <c:ser>
          <c:idx val="2"/>
          <c:order val="2"/>
          <c:tx>
            <c:strRef>
              <c:f>BDPQ_doprinosi!$R$36</c:f>
              <c:strCache>
                <c:ptCount val="1"/>
                <c:pt idx="0">
                  <c:v>Грађевинарство</c:v>
                </c:pt>
              </c:strCache>
            </c:strRef>
          </c:tx>
          <c:spPr>
            <a:solidFill>
              <a:srgbClr val="2183C4"/>
            </a:solidFill>
            <a:ln>
              <a:noFill/>
            </a:ln>
            <a:effectLst/>
          </c:spPr>
          <c:invertIfNegative val="0"/>
          <c:cat>
            <c:multiLvlStrRef>
              <c:f>BDPQ_doprinosi!$AY$32:$BI$33</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BDPQ_doprinosi!$AY$36:$BI$36</c:f>
              <c:numCache>
                <c:formatCode>0.0</c:formatCode>
                <c:ptCount val="11"/>
                <c:pt idx="0">
                  <c:v>0.87826233939256892</c:v>
                </c:pt>
                <c:pt idx="1">
                  <c:v>-2.8627716885521629E-2</c:v>
                </c:pt>
                <c:pt idx="2">
                  <c:v>-0.97679026254445434</c:v>
                </c:pt>
                <c:pt idx="3">
                  <c:v>-0.55575858698007019</c:v>
                </c:pt>
                <c:pt idx="4">
                  <c:v>0.71560183728503479</c:v>
                </c:pt>
                <c:pt idx="5">
                  <c:v>0.77931346062252271</c:v>
                </c:pt>
                <c:pt idx="6">
                  <c:v>0.86155101938253131</c:v>
                </c:pt>
                <c:pt idx="7">
                  <c:v>0.6865377951002164</c:v>
                </c:pt>
                <c:pt idx="8">
                  <c:v>-0.31109912320791477</c:v>
                </c:pt>
                <c:pt idx="9">
                  <c:v>-0.43756563360230605</c:v>
                </c:pt>
                <c:pt idx="10">
                  <c:v>-0.72605761947323655</c:v>
                </c:pt>
              </c:numCache>
            </c:numRef>
          </c:val>
          <c:extLst>
            <c:ext xmlns:c16="http://schemas.microsoft.com/office/drawing/2014/chart" uri="{C3380CC4-5D6E-409C-BE32-E72D297353CC}">
              <c16:uniqueId val="{00000002-76C9-42A2-AD2A-447E6534271C}"/>
            </c:ext>
          </c:extLst>
        </c:ser>
        <c:ser>
          <c:idx val="3"/>
          <c:order val="3"/>
          <c:tx>
            <c:strRef>
              <c:f>BDPQ_doprinosi!$R$37</c:f>
              <c:strCache>
                <c:ptCount val="1"/>
                <c:pt idx="0">
                  <c:v>Услуге</c:v>
                </c:pt>
              </c:strCache>
            </c:strRef>
          </c:tx>
          <c:spPr>
            <a:solidFill>
              <a:srgbClr val="51BBE7"/>
            </a:solidFill>
            <a:ln>
              <a:noFill/>
            </a:ln>
            <a:effectLst/>
          </c:spPr>
          <c:invertIfNegative val="0"/>
          <c:cat>
            <c:multiLvlStrRef>
              <c:f>BDPQ_doprinosi!$AY$32:$BI$33</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BDPQ_doprinosi!$AY$37:$BI$37</c:f>
              <c:numCache>
                <c:formatCode>0.0</c:formatCode>
                <c:ptCount val="11"/>
                <c:pt idx="0">
                  <c:v>2.718632197094689</c:v>
                </c:pt>
                <c:pt idx="1">
                  <c:v>-3.5426233455618545</c:v>
                </c:pt>
                <c:pt idx="2">
                  <c:v>-0.90664929780321324</c:v>
                </c:pt>
                <c:pt idx="3">
                  <c:v>-0.50688248919965084</c:v>
                </c:pt>
                <c:pt idx="4">
                  <c:v>0.57908461004881739</c:v>
                </c:pt>
                <c:pt idx="5">
                  <c:v>7.5863611467610239</c:v>
                </c:pt>
                <c:pt idx="6">
                  <c:v>5.1985268404509863</c:v>
                </c:pt>
                <c:pt idx="7">
                  <c:v>4.5610447632321618</c:v>
                </c:pt>
                <c:pt idx="8">
                  <c:v>3.3898365595647117</c:v>
                </c:pt>
                <c:pt idx="9">
                  <c:v>3.0259720394736171</c:v>
                </c:pt>
                <c:pt idx="10">
                  <c:v>1.8176181164861498</c:v>
                </c:pt>
              </c:numCache>
            </c:numRef>
          </c:val>
          <c:extLst>
            <c:ext xmlns:c16="http://schemas.microsoft.com/office/drawing/2014/chart" uri="{C3380CC4-5D6E-409C-BE32-E72D297353CC}">
              <c16:uniqueId val="{00000003-76C9-42A2-AD2A-447E6534271C}"/>
            </c:ext>
          </c:extLst>
        </c:ser>
        <c:ser>
          <c:idx val="4"/>
          <c:order val="4"/>
          <c:tx>
            <c:strRef>
              <c:f>BDPQ_doprinosi!$R$38</c:f>
              <c:strCache>
                <c:ptCount val="1"/>
                <c:pt idx="0">
                  <c:v>Нето порези</c:v>
                </c:pt>
              </c:strCache>
            </c:strRef>
          </c:tx>
          <c:spPr>
            <a:solidFill>
              <a:srgbClr val="9ED1E6"/>
            </a:solidFill>
            <a:ln>
              <a:noFill/>
            </a:ln>
            <a:effectLst/>
          </c:spPr>
          <c:invertIfNegative val="0"/>
          <c:cat>
            <c:multiLvlStrRef>
              <c:f>BDPQ_doprinosi!$AY$32:$BI$33</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BDPQ_doprinosi!$AY$38:$BI$38</c:f>
              <c:numCache>
                <c:formatCode>0.0</c:formatCode>
                <c:ptCount val="11"/>
                <c:pt idx="0">
                  <c:v>0.67325525624327387</c:v>
                </c:pt>
                <c:pt idx="1">
                  <c:v>-1.2701835391377898</c:v>
                </c:pt>
                <c:pt idx="2">
                  <c:v>-0.24985623104886354</c:v>
                </c:pt>
                <c:pt idx="3">
                  <c:v>-0.33324732552147246</c:v>
                </c:pt>
                <c:pt idx="4">
                  <c:v>-0.19521637193414762</c:v>
                </c:pt>
                <c:pt idx="5">
                  <c:v>2.8030886987016581</c:v>
                </c:pt>
                <c:pt idx="6">
                  <c:v>1.4514223906962904</c:v>
                </c:pt>
                <c:pt idx="7">
                  <c:v>1.2792436648592442</c:v>
                </c:pt>
                <c:pt idx="8">
                  <c:v>1.2675173449426524</c:v>
                </c:pt>
                <c:pt idx="9">
                  <c:v>0.8264913784986172</c:v>
                </c:pt>
                <c:pt idx="10">
                  <c:v>0.65795917951892902</c:v>
                </c:pt>
              </c:numCache>
            </c:numRef>
          </c:val>
          <c:extLst>
            <c:ext xmlns:c16="http://schemas.microsoft.com/office/drawing/2014/chart" uri="{C3380CC4-5D6E-409C-BE32-E72D297353CC}">
              <c16:uniqueId val="{00000004-76C9-42A2-AD2A-447E6534271C}"/>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BDPQ_doprinosi!$R$39</c:f>
              <c:strCache>
                <c:ptCount val="1"/>
                <c:pt idx="0">
                  <c:v>Реални раст БДП</c:v>
                </c:pt>
              </c:strCache>
            </c:strRef>
          </c:tx>
          <c:spPr>
            <a:ln w="28575" cap="rnd">
              <a:solidFill>
                <a:srgbClr val="FF0000"/>
              </a:solidFill>
              <a:round/>
            </a:ln>
            <a:effectLst/>
          </c:spPr>
          <c:marker>
            <c:symbol val="none"/>
          </c:marker>
          <c:dLbls>
            <c:dLbl>
              <c:idx val="1"/>
              <c:layout>
                <c:manualLayout>
                  <c:x val="-6.6736293379994163E-2"/>
                  <c:y val="2.31214282439152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6C9-42A2-AD2A-447E6534271C}"/>
                </c:ext>
              </c:extLst>
            </c:dLbl>
            <c:dLbl>
              <c:idx val="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6C9-42A2-AD2A-447E6534271C}"/>
                </c:ext>
              </c:extLst>
            </c:dLbl>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6C9-42A2-AD2A-447E6534271C}"/>
                </c:ext>
              </c:extLst>
            </c:dLbl>
            <c:dLbl>
              <c:idx val="4"/>
              <c:layout>
                <c:manualLayout>
                  <c:x val="-8.4733887430737995E-2"/>
                  <c:y val="-5.67912128958457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6C9-42A2-AD2A-447E6534271C}"/>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BDPQ_doprinosi!$AY$32:$BI$33</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BDPQ_doprinosi!$AY$39:$BI$39</c:f>
              <c:numCache>
                <c:formatCode>0.0</c:formatCode>
                <c:ptCount val="11"/>
                <c:pt idx="0">
                  <c:v>5.2277105497124978</c:v>
                </c:pt>
                <c:pt idx="1">
                  <c:v>-6.2561990493513235</c:v>
                </c:pt>
                <c:pt idx="2">
                  <c:v>-1.3467841360473187</c:v>
                </c:pt>
                <c:pt idx="3">
                  <c:v>-0.99565431548079175</c:v>
                </c:pt>
                <c:pt idx="4">
                  <c:v>1.5553080384552942</c:v>
                </c:pt>
                <c:pt idx="5">
                  <c:v>13.770602738313229</c:v>
                </c:pt>
                <c:pt idx="6">
                  <c:v>7.5857204093844501</c:v>
                </c:pt>
                <c:pt idx="7">
                  <c:v>6.9940535792021734</c:v>
                </c:pt>
                <c:pt idx="8">
                  <c:v>4.3190774852560168</c:v>
                </c:pt>
                <c:pt idx="9">
                  <c:v>3.8870836695072484</c:v>
                </c:pt>
                <c:pt idx="10">
                  <c:v>1.1000000000000001</c:v>
                </c:pt>
              </c:numCache>
            </c:numRef>
          </c:val>
          <c:smooth val="0"/>
          <c:extLst>
            <c:ext xmlns:c16="http://schemas.microsoft.com/office/drawing/2014/chart" uri="{C3380CC4-5D6E-409C-BE32-E72D297353CC}">
              <c16:uniqueId val="{00000009-76C9-42A2-AD2A-447E6534271C}"/>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8336"/>
        <c:crosses val="autoZero"/>
        <c:auto val="1"/>
        <c:lblAlgn val="ctr"/>
        <c:lblOffset val="0"/>
        <c:noMultiLvlLbl val="0"/>
      </c:catAx>
      <c:valAx>
        <c:axId val="1768858336"/>
        <c:scaling>
          <c:orientation val="minMax"/>
          <c:min val="-8"/>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792"/>
        <c:crosses val="autoZero"/>
        <c:crossBetween val="between"/>
        <c:majorUnit val="4"/>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3880572945331671"/>
        </c:manualLayout>
      </c:layout>
      <c:barChart>
        <c:barDir val="col"/>
        <c:grouping val="stacked"/>
        <c:varyColors val="0"/>
        <c:ser>
          <c:idx val="2"/>
          <c:order val="0"/>
          <c:tx>
            <c:strRef>
              <c:f>BDPQ_doprinosi!$R$8</c:f>
              <c:strCache>
                <c:ptCount val="1"/>
                <c:pt idx="0">
                  <c:v>Приватна потрошња</c:v>
                </c:pt>
              </c:strCache>
            </c:strRef>
          </c:tx>
          <c:spPr>
            <a:solidFill>
              <a:srgbClr val="10103C"/>
            </a:solidFill>
            <a:ln>
              <a:noFill/>
            </a:ln>
            <a:effectLst/>
          </c:spPr>
          <c:invertIfNegative val="0"/>
          <c:cat>
            <c:multiLvlStrRef>
              <c:f>BDPQ_doprinosi!$AY$5:$BI$6</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BDPQ_doprinosi!$AY$8:$BI$8</c:f>
              <c:numCache>
                <c:formatCode>0.0</c:formatCode>
                <c:ptCount val="11"/>
                <c:pt idx="0">
                  <c:v>2.3723847017332664</c:v>
                </c:pt>
                <c:pt idx="1">
                  <c:v>-5.5459847680924135</c:v>
                </c:pt>
                <c:pt idx="2">
                  <c:v>-0.60100298162545407</c:v>
                </c:pt>
                <c:pt idx="3">
                  <c:v>-1.296803192100112</c:v>
                </c:pt>
                <c:pt idx="4">
                  <c:v>-1.2299514861450562</c:v>
                </c:pt>
                <c:pt idx="5">
                  <c:v>11.655622769803308</c:v>
                </c:pt>
                <c:pt idx="6">
                  <c:v>5.4319879959717294</c:v>
                </c:pt>
                <c:pt idx="7">
                  <c:v>4.7584908532584622</c:v>
                </c:pt>
                <c:pt idx="8">
                  <c:v>4.3810528431699822</c:v>
                </c:pt>
                <c:pt idx="9">
                  <c:v>2.6540151366799503</c:v>
                </c:pt>
                <c:pt idx="10">
                  <c:v>2.7976266896990536</c:v>
                </c:pt>
              </c:numCache>
            </c:numRef>
          </c:val>
          <c:extLst>
            <c:ext xmlns:c16="http://schemas.microsoft.com/office/drawing/2014/chart" uri="{C3380CC4-5D6E-409C-BE32-E72D297353CC}">
              <c16:uniqueId val="{00000000-BA93-4970-928A-951FEEB089E5}"/>
            </c:ext>
          </c:extLst>
        </c:ser>
        <c:ser>
          <c:idx val="3"/>
          <c:order val="1"/>
          <c:tx>
            <c:strRef>
              <c:f>BDPQ_doprinosi!$R$9</c:f>
              <c:strCache>
                <c:ptCount val="1"/>
                <c:pt idx="0">
                  <c:v>Државна потрошња</c:v>
                </c:pt>
              </c:strCache>
            </c:strRef>
          </c:tx>
          <c:spPr>
            <a:solidFill>
              <a:srgbClr val="29489A"/>
            </a:solidFill>
            <a:ln>
              <a:noFill/>
            </a:ln>
            <a:effectLst/>
          </c:spPr>
          <c:invertIfNegative val="0"/>
          <c:cat>
            <c:multiLvlStrRef>
              <c:f>BDPQ_doprinosi!$AY$5:$BI$6</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BDPQ_doprinosi!$AY$9:$BI$9</c:f>
              <c:numCache>
                <c:formatCode>0.0</c:formatCode>
                <c:ptCount val="11"/>
                <c:pt idx="0">
                  <c:v>1.4653134794838154</c:v>
                </c:pt>
                <c:pt idx="1">
                  <c:v>0.91488903989586334</c:v>
                </c:pt>
                <c:pt idx="2">
                  <c:v>-0.52179055085322701</c:v>
                </c:pt>
                <c:pt idx="3">
                  <c:v>0.15045787982656911</c:v>
                </c:pt>
                <c:pt idx="4">
                  <c:v>3.1819366643646624E-2</c:v>
                </c:pt>
                <c:pt idx="5">
                  <c:v>-0.53376750124820904</c:v>
                </c:pt>
                <c:pt idx="6">
                  <c:v>1.2510459051994285</c:v>
                </c:pt>
                <c:pt idx="7">
                  <c:v>0.99453950280688364</c:v>
                </c:pt>
                <c:pt idx="8">
                  <c:v>0.44254902991140643</c:v>
                </c:pt>
                <c:pt idx="9">
                  <c:v>0.7358701845913177</c:v>
                </c:pt>
                <c:pt idx="10">
                  <c:v>-0.44935330837814064</c:v>
                </c:pt>
              </c:numCache>
            </c:numRef>
          </c:val>
          <c:extLst>
            <c:ext xmlns:c16="http://schemas.microsoft.com/office/drawing/2014/chart" uri="{C3380CC4-5D6E-409C-BE32-E72D297353CC}">
              <c16:uniqueId val="{00000001-BA93-4970-928A-951FEEB089E5}"/>
            </c:ext>
          </c:extLst>
        </c:ser>
        <c:ser>
          <c:idx val="1"/>
          <c:order val="2"/>
          <c:tx>
            <c:strRef>
              <c:f>BDPQ_doprinosi!$R$10</c:f>
              <c:strCache>
                <c:ptCount val="1"/>
                <c:pt idx="0">
                  <c:v>Инвестиције</c:v>
                </c:pt>
              </c:strCache>
            </c:strRef>
          </c:tx>
          <c:spPr>
            <a:solidFill>
              <a:srgbClr val="2183C4"/>
            </a:solidFill>
            <a:ln>
              <a:noFill/>
            </a:ln>
            <a:effectLst/>
          </c:spPr>
          <c:invertIfNegative val="0"/>
          <c:cat>
            <c:multiLvlStrRef>
              <c:f>BDPQ_doprinosi!$AY$5:$BI$6</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BDPQ_doprinosi!$AY$10:$BI$10</c:f>
              <c:numCache>
                <c:formatCode>0.0</c:formatCode>
                <c:ptCount val="11"/>
                <c:pt idx="0">
                  <c:v>2.4984314576361735</c:v>
                </c:pt>
                <c:pt idx="1">
                  <c:v>-2.3541758849095191</c:v>
                </c:pt>
                <c:pt idx="2">
                  <c:v>-0.77373905502813822</c:v>
                </c:pt>
                <c:pt idx="3">
                  <c:v>-0.85228075127421266</c:v>
                </c:pt>
                <c:pt idx="4">
                  <c:v>1.6539702611909575</c:v>
                </c:pt>
                <c:pt idx="5">
                  <c:v>4.2284991957702802</c:v>
                </c:pt>
                <c:pt idx="6">
                  <c:v>2.6312193254561382</c:v>
                </c:pt>
                <c:pt idx="7">
                  <c:v>2.2844337863940076</c:v>
                </c:pt>
                <c:pt idx="8">
                  <c:v>0.22483326246866384</c:v>
                </c:pt>
                <c:pt idx="9">
                  <c:v>0.35181534045390978</c:v>
                </c:pt>
                <c:pt idx="10">
                  <c:v>-0.71273975342437157</c:v>
                </c:pt>
              </c:numCache>
            </c:numRef>
          </c:val>
          <c:extLst>
            <c:ext xmlns:c16="http://schemas.microsoft.com/office/drawing/2014/chart" uri="{C3380CC4-5D6E-409C-BE32-E72D297353CC}">
              <c16:uniqueId val="{00000002-BA93-4970-928A-951FEEB089E5}"/>
            </c:ext>
          </c:extLst>
        </c:ser>
        <c:ser>
          <c:idx val="0"/>
          <c:order val="3"/>
          <c:tx>
            <c:strRef>
              <c:f>BDPQ_doprinosi!$R$11</c:f>
              <c:strCache>
                <c:ptCount val="1"/>
                <c:pt idx="0">
                  <c:v>Нето извоз</c:v>
                </c:pt>
              </c:strCache>
            </c:strRef>
          </c:tx>
          <c:spPr>
            <a:solidFill>
              <a:srgbClr val="51BBE7"/>
            </a:solidFill>
            <a:ln>
              <a:noFill/>
            </a:ln>
            <a:effectLst/>
          </c:spPr>
          <c:invertIfNegative val="0"/>
          <c:cat>
            <c:multiLvlStrRef>
              <c:f>BDPQ_doprinosi!$AY$5:$BI$6</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BDPQ_doprinosi!$AY$11:$BI$11</c:f>
              <c:numCache>
                <c:formatCode>0.0</c:formatCode>
                <c:ptCount val="11"/>
                <c:pt idx="0">
                  <c:v>-1.9336323733563789</c:v>
                </c:pt>
                <c:pt idx="1">
                  <c:v>2.1789389357389783</c:v>
                </c:pt>
                <c:pt idx="2">
                  <c:v>-1.8010005116292331</c:v>
                </c:pt>
                <c:pt idx="3">
                  <c:v>1.5821044882419213</c:v>
                </c:pt>
                <c:pt idx="4">
                  <c:v>4.2776458875554191</c:v>
                </c:pt>
                <c:pt idx="5">
                  <c:v>-6.4302654528938881</c:v>
                </c:pt>
                <c:pt idx="6">
                  <c:v>-2.1442061287481433</c:v>
                </c:pt>
                <c:pt idx="7">
                  <c:v>-2.0983404287262761</c:v>
                </c:pt>
                <c:pt idx="8">
                  <c:v>-5.7988362138381646</c:v>
                </c:pt>
                <c:pt idx="9">
                  <c:v>8.1161052684379342E-2</c:v>
                </c:pt>
                <c:pt idx="10">
                  <c:v>0.61531123252045106</c:v>
                </c:pt>
              </c:numCache>
            </c:numRef>
          </c:val>
          <c:extLst>
            <c:ext xmlns:c16="http://schemas.microsoft.com/office/drawing/2014/chart" uri="{C3380CC4-5D6E-409C-BE32-E72D297353CC}">
              <c16:uniqueId val="{00000003-BA93-4970-928A-951FEEB089E5}"/>
            </c:ext>
          </c:extLst>
        </c:ser>
        <c:ser>
          <c:idx val="4"/>
          <c:order val="4"/>
          <c:tx>
            <c:strRef>
              <c:f>BDPQ_doprinosi!$R$12</c:f>
              <c:strCache>
                <c:ptCount val="1"/>
                <c:pt idx="0">
                  <c:v>Промена у залихама</c:v>
                </c:pt>
              </c:strCache>
            </c:strRef>
          </c:tx>
          <c:spPr>
            <a:solidFill>
              <a:srgbClr val="9ED1E6"/>
            </a:solidFill>
            <a:ln>
              <a:noFill/>
            </a:ln>
            <a:effectLst/>
          </c:spPr>
          <c:invertIfNegative val="0"/>
          <c:cat>
            <c:multiLvlStrRef>
              <c:f>BDPQ_doprinosi!$AY$5:$BI$6</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BDPQ_doprinosi!$AY$12:$BI$12</c:f>
              <c:numCache>
                <c:formatCode>0.0</c:formatCode>
                <c:ptCount val="11"/>
                <c:pt idx="0">
                  <c:v>0.82521328421560991</c:v>
                </c:pt>
                <c:pt idx="1">
                  <c:v>-1.4498663719842249</c:v>
                </c:pt>
                <c:pt idx="2">
                  <c:v>2.3507489630887379</c:v>
                </c:pt>
                <c:pt idx="3">
                  <c:v>-0.57913274017495942</c:v>
                </c:pt>
                <c:pt idx="4">
                  <c:v>-3.1781759907896796</c:v>
                </c:pt>
                <c:pt idx="5">
                  <c:v>4.8505137268817364</c:v>
                </c:pt>
                <c:pt idx="6">
                  <c:v>0.41567331150529263</c:v>
                </c:pt>
                <c:pt idx="7">
                  <c:v>1.0549298654691057</c:v>
                </c:pt>
                <c:pt idx="8">
                  <c:v>5.0694785635441395</c:v>
                </c:pt>
                <c:pt idx="9">
                  <c:v>6.422195509769324E-2</c:v>
                </c:pt>
                <c:pt idx="10">
                  <c:v>-1.2</c:v>
                </c:pt>
              </c:numCache>
            </c:numRef>
          </c:val>
          <c:extLst>
            <c:ext xmlns:c16="http://schemas.microsoft.com/office/drawing/2014/chart" uri="{C3380CC4-5D6E-409C-BE32-E72D297353CC}">
              <c16:uniqueId val="{00000004-BA93-4970-928A-951FEEB089E5}"/>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BDPQ_doprinosi!$R$13</c:f>
              <c:strCache>
                <c:ptCount val="1"/>
                <c:pt idx="0">
                  <c:v>Реални раст БДП</c:v>
                </c:pt>
              </c:strCache>
            </c:strRef>
          </c:tx>
          <c:spPr>
            <a:ln w="28575" cap="rnd">
              <a:solidFill>
                <a:srgbClr val="FF0000"/>
              </a:solidFill>
              <a:round/>
            </a:ln>
            <a:effectLst/>
          </c:spPr>
          <c:marker>
            <c:symbol val="none"/>
          </c:marker>
          <c:dLbls>
            <c:dLbl>
              <c:idx val="1"/>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A93-4970-928A-951FEEB089E5}"/>
                </c:ext>
              </c:extLst>
            </c:dLbl>
            <c:dLbl>
              <c:idx val="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A93-4970-928A-951FEEB089E5}"/>
                </c:ext>
              </c:extLst>
            </c:dLbl>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A93-4970-928A-951FEEB089E5}"/>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BDPQ_doprinosi!$AY$5:$BI$6</c:f>
              <c:multiLvlStrCache>
                <c:ptCount val="11"/>
                <c:lvl>
                  <c:pt idx="0">
                    <c:v>Q1</c:v>
                  </c:pt>
                  <c:pt idx="1">
                    <c:v>Q2</c:v>
                  </c:pt>
                  <c:pt idx="2">
                    <c:v>Q3</c:v>
                  </c:pt>
                  <c:pt idx="3">
                    <c:v>Q4</c:v>
                  </c:pt>
                  <c:pt idx="4">
                    <c:v>Q1</c:v>
                  </c:pt>
                  <c:pt idx="5">
                    <c:v>Q2</c:v>
                  </c:pt>
                  <c:pt idx="6">
                    <c:v>Q3</c:v>
                  </c:pt>
                  <c:pt idx="7">
                    <c:v>Q4</c:v>
                  </c:pt>
                  <c:pt idx="8">
                    <c:v>Q1</c:v>
                  </c:pt>
                  <c:pt idx="9">
                    <c:v>Q2</c:v>
                  </c:pt>
                  <c:pt idx="10">
                    <c:v>Q3*</c:v>
                  </c:pt>
                </c:lvl>
                <c:lvl>
                  <c:pt idx="0">
                    <c:v>2020</c:v>
                  </c:pt>
                  <c:pt idx="4">
                    <c:v>2021</c:v>
                  </c:pt>
                  <c:pt idx="8">
                    <c:v>2022</c:v>
                  </c:pt>
                </c:lvl>
              </c:multiLvlStrCache>
            </c:multiLvlStrRef>
          </c:cat>
          <c:val>
            <c:numRef>
              <c:f>BDPQ_doprinosi!$AY$13:$BI$13</c:f>
              <c:numCache>
                <c:formatCode>0.0</c:formatCode>
                <c:ptCount val="11"/>
                <c:pt idx="0">
                  <c:v>5.2277105497124863</c:v>
                </c:pt>
                <c:pt idx="1">
                  <c:v>-6.2561990493513155</c:v>
                </c:pt>
                <c:pt idx="2">
                  <c:v>-1.346784136047315</c:v>
                </c:pt>
                <c:pt idx="3">
                  <c:v>-0.99565431548079375</c:v>
                </c:pt>
                <c:pt idx="4">
                  <c:v>1.5553080384552878</c:v>
                </c:pt>
                <c:pt idx="5">
                  <c:v>13.770602738313228</c:v>
                </c:pt>
                <c:pt idx="6">
                  <c:v>7.5857204093844457</c:v>
                </c:pt>
                <c:pt idx="7">
                  <c:v>6.9940535792021832</c:v>
                </c:pt>
                <c:pt idx="8">
                  <c:v>4.3190774852560274</c:v>
                </c:pt>
                <c:pt idx="9">
                  <c:v>3.8870836695072497</c:v>
                </c:pt>
                <c:pt idx="10">
                  <c:v>1.1000000000000001</c:v>
                </c:pt>
              </c:numCache>
            </c:numRef>
          </c:val>
          <c:smooth val="0"/>
          <c:extLst>
            <c:ext xmlns:c16="http://schemas.microsoft.com/office/drawing/2014/chart" uri="{C3380CC4-5D6E-409C-BE32-E72D297353CC}">
              <c16:uniqueId val="{00000008-BA93-4970-928A-951FEEB089E5}"/>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5072"/>
        <c:crosses val="autoZero"/>
        <c:auto val="1"/>
        <c:lblAlgn val="ctr"/>
        <c:lblOffset val="0"/>
        <c:noMultiLvlLbl val="0"/>
      </c:catAx>
      <c:valAx>
        <c:axId val="1768855072"/>
        <c:scaling>
          <c:orientation val="minMax"/>
          <c:max val="22"/>
          <c:min val="-1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248"/>
        <c:crosses val="autoZero"/>
        <c:crossBetween val="between"/>
        <c:majorUnit val="4"/>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5459160052910048"/>
        </c:manualLayout>
      </c:layout>
      <c:barChart>
        <c:barDir val="col"/>
        <c:grouping val="stacked"/>
        <c:varyColors val="0"/>
        <c:ser>
          <c:idx val="0"/>
          <c:order val="1"/>
          <c:tx>
            <c:strRef>
              <c:f>IPAS_doprinosi!$D$11</c:f>
              <c:strCache>
                <c:ptCount val="1"/>
                <c:pt idx="0">
                  <c:v>Пољопривреда</c:v>
                </c:pt>
              </c:strCache>
            </c:strRef>
          </c:tx>
          <c:spPr>
            <a:solidFill>
              <a:srgbClr val="002060"/>
            </a:solidFill>
            <a:ln>
              <a:noFill/>
            </a:ln>
            <a:effectLst/>
          </c:spPr>
          <c:invertIfNegative val="0"/>
          <c:cat>
            <c:multiLvlStrRef>
              <c:f>IPAS_doprinosi!$A$36:$B$56</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IPAS_doprinosi!$D$36:$D$56</c:f>
              <c:numCache>
                <c:formatCode>0.0</c:formatCode>
                <c:ptCount val="21"/>
                <c:pt idx="0">
                  <c:v>-0.34722472513830427</c:v>
                </c:pt>
                <c:pt idx="1">
                  <c:v>-0.31576298550103071</c:v>
                </c:pt>
                <c:pt idx="2">
                  <c:v>-0.3118233442189548</c:v>
                </c:pt>
                <c:pt idx="3">
                  <c:v>-0.32141819714685399</c:v>
                </c:pt>
                <c:pt idx="4">
                  <c:v>-0.31467372001363536</c:v>
                </c:pt>
                <c:pt idx="5">
                  <c:v>-0.31267876370076064</c:v>
                </c:pt>
                <c:pt idx="6">
                  <c:v>-0.36480800667299051</c:v>
                </c:pt>
                <c:pt idx="7">
                  <c:v>-0.37603800445413627</c:v>
                </c:pt>
                <c:pt idx="8">
                  <c:v>-0.35612526432354247</c:v>
                </c:pt>
                <c:pt idx="9">
                  <c:v>-0.31409521723179912</c:v>
                </c:pt>
                <c:pt idx="10">
                  <c:v>-0.36724008966847693</c:v>
                </c:pt>
                <c:pt idx="11">
                  <c:v>-0.38557209373915197</c:v>
                </c:pt>
                <c:pt idx="12">
                  <c:v>-0.37360698214039256</c:v>
                </c:pt>
                <c:pt idx="13">
                  <c:v>-0.43566301218142917</c:v>
                </c:pt>
                <c:pt idx="14">
                  <c:v>-0.49756991903304304</c:v>
                </c:pt>
                <c:pt idx="15">
                  <c:v>-0.39392236730285779</c:v>
                </c:pt>
                <c:pt idx="16">
                  <c:v>-0.43510394669502939</c:v>
                </c:pt>
                <c:pt idx="17">
                  <c:v>-0.41692309784197151</c:v>
                </c:pt>
                <c:pt idx="18">
                  <c:v>-0.46270049363112498</c:v>
                </c:pt>
                <c:pt idx="19">
                  <c:v>-0.43605487520289371</c:v>
                </c:pt>
                <c:pt idx="20">
                  <c:v>-0.45584453314427009</c:v>
                </c:pt>
              </c:numCache>
            </c:numRef>
          </c:val>
          <c:extLst>
            <c:ext xmlns:c16="http://schemas.microsoft.com/office/drawing/2014/chart" uri="{C3380CC4-5D6E-409C-BE32-E72D297353CC}">
              <c16:uniqueId val="{00000000-42EC-4206-9216-6844EBEBE6AF}"/>
            </c:ext>
          </c:extLst>
        </c:ser>
        <c:ser>
          <c:idx val="1"/>
          <c:order val="2"/>
          <c:tx>
            <c:strRef>
              <c:f>IPAS_doprinosi!$E$11</c:f>
              <c:strCache>
                <c:ptCount val="1"/>
                <c:pt idx="0">
                  <c:v>Индустрија</c:v>
                </c:pt>
              </c:strCache>
            </c:strRef>
          </c:tx>
          <c:spPr>
            <a:solidFill>
              <a:srgbClr val="A44AA4"/>
            </a:solidFill>
            <a:ln>
              <a:noFill/>
            </a:ln>
            <a:effectLst/>
          </c:spPr>
          <c:invertIfNegative val="0"/>
          <c:cat>
            <c:multiLvlStrRef>
              <c:f>IPAS_doprinosi!$A$36:$B$56</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IPAS_doprinosi!$E$36:$E$56</c:f>
              <c:numCache>
                <c:formatCode>0.0</c:formatCode>
                <c:ptCount val="21"/>
                <c:pt idx="0">
                  <c:v>7.9162604762525887E-2</c:v>
                </c:pt>
                <c:pt idx="1">
                  <c:v>0.3582960867581898</c:v>
                </c:pt>
                <c:pt idx="2">
                  <c:v>1.889971874628162</c:v>
                </c:pt>
                <c:pt idx="3">
                  <c:v>6.4155531238441048</c:v>
                </c:pt>
                <c:pt idx="4">
                  <c:v>1.9882966658917922</c:v>
                </c:pt>
                <c:pt idx="5">
                  <c:v>0.86996393806650729</c:v>
                </c:pt>
                <c:pt idx="6">
                  <c:v>0.45504272667478002</c:v>
                </c:pt>
                <c:pt idx="7">
                  <c:v>0.45531745722060829</c:v>
                </c:pt>
                <c:pt idx="8">
                  <c:v>0.41009006949345184</c:v>
                </c:pt>
                <c:pt idx="9">
                  <c:v>0.44731729045835505</c:v>
                </c:pt>
                <c:pt idx="10">
                  <c:v>1.3148505898519107</c:v>
                </c:pt>
                <c:pt idx="11">
                  <c:v>0.70853779402675254</c:v>
                </c:pt>
                <c:pt idx="12">
                  <c:v>2.7316618799281048E-2</c:v>
                </c:pt>
                <c:pt idx="13">
                  <c:v>0.17630657641259506</c:v>
                </c:pt>
                <c:pt idx="14">
                  <c:v>0.98070003165140995</c:v>
                </c:pt>
                <c:pt idx="15">
                  <c:v>0.57608283048285558</c:v>
                </c:pt>
                <c:pt idx="16">
                  <c:v>1.3573406078863905</c:v>
                </c:pt>
                <c:pt idx="17">
                  <c:v>0.72427942374412002</c:v>
                </c:pt>
                <c:pt idx="18">
                  <c:v>-0.25394264704000996</c:v>
                </c:pt>
                <c:pt idx="19">
                  <c:v>0.10595251948797174</c:v>
                </c:pt>
                <c:pt idx="20">
                  <c:v>-0.12773157402810909</c:v>
                </c:pt>
              </c:numCache>
            </c:numRef>
          </c:val>
          <c:extLst>
            <c:ext xmlns:c16="http://schemas.microsoft.com/office/drawing/2014/chart" uri="{C3380CC4-5D6E-409C-BE32-E72D297353CC}">
              <c16:uniqueId val="{00000001-42EC-4206-9216-6844EBEBE6AF}"/>
            </c:ext>
          </c:extLst>
        </c:ser>
        <c:ser>
          <c:idx val="2"/>
          <c:order val="3"/>
          <c:tx>
            <c:strRef>
              <c:f>IPAS_doprinosi!$F$11</c:f>
              <c:strCache>
                <c:ptCount val="1"/>
                <c:pt idx="0">
                  <c:v>Грађевинарство</c:v>
                </c:pt>
              </c:strCache>
            </c:strRef>
          </c:tx>
          <c:spPr>
            <a:solidFill>
              <a:srgbClr val="F7C39F"/>
            </a:solidFill>
            <a:ln>
              <a:noFill/>
            </a:ln>
            <a:effectLst/>
          </c:spPr>
          <c:invertIfNegative val="0"/>
          <c:cat>
            <c:multiLvlStrRef>
              <c:f>IPAS_doprinosi!$A$36:$B$56</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IPAS_doprinosi!$F$36:$F$56</c:f>
              <c:numCache>
                <c:formatCode>0.0</c:formatCode>
                <c:ptCount val="21"/>
                <c:pt idx="0">
                  <c:v>-0.46875955744314723</c:v>
                </c:pt>
                <c:pt idx="1">
                  <c:v>0.66015644963793529</c:v>
                </c:pt>
                <c:pt idx="2">
                  <c:v>1.9417582698874583</c:v>
                </c:pt>
                <c:pt idx="3">
                  <c:v>1.3712946122738738</c:v>
                </c:pt>
                <c:pt idx="4">
                  <c:v>0.43660051490294033</c:v>
                </c:pt>
                <c:pt idx="5">
                  <c:v>0.60498525508443213</c:v>
                </c:pt>
                <c:pt idx="6">
                  <c:v>0.70183202972066638</c:v>
                </c:pt>
                <c:pt idx="7">
                  <c:v>0.96258357057566313</c:v>
                </c:pt>
                <c:pt idx="8">
                  <c:v>0.91621748773431722</c:v>
                </c:pt>
                <c:pt idx="9">
                  <c:v>0.95140176081353001</c:v>
                </c:pt>
                <c:pt idx="10">
                  <c:v>1.4369444085282652</c:v>
                </c:pt>
                <c:pt idx="11">
                  <c:v>-0.31733448248142887</c:v>
                </c:pt>
                <c:pt idx="12">
                  <c:v>-0.37728357032076221</c:v>
                </c:pt>
                <c:pt idx="13">
                  <c:v>-0.28381294117673872</c:v>
                </c:pt>
                <c:pt idx="14">
                  <c:v>-0.27562933072061424</c:v>
                </c:pt>
                <c:pt idx="15">
                  <c:v>-0.30727385946789898</c:v>
                </c:pt>
                <c:pt idx="16">
                  <c:v>-0.23005504450843883</c:v>
                </c:pt>
                <c:pt idx="17">
                  <c:v>-0.75727821278776075</c:v>
                </c:pt>
                <c:pt idx="18">
                  <c:v>-0.42467711038733474</c:v>
                </c:pt>
                <c:pt idx="19">
                  <c:v>-0.5027878232398445</c:v>
                </c:pt>
                <c:pt idx="20">
                  <c:v>-0.91283584405075879</c:v>
                </c:pt>
              </c:numCache>
            </c:numRef>
          </c:val>
          <c:extLst>
            <c:ext xmlns:c16="http://schemas.microsoft.com/office/drawing/2014/chart" uri="{C3380CC4-5D6E-409C-BE32-E72D297353CC}">
              <c16:uniqueId val="{00000002-42EC-4206-9216-6844EBEBE6AF}"/>
            </c:ext>
          </c:extLst>
        </c:ser>
        <c:ser>
          <c:idx val="3"/>
          <c:order val="4"/>
          <c:tx>
            <c:strRef>
              <c:f>IPAS_doprinosi!$G$11</c:f>
              <c:strCache>
                <c:ptCount val="1"/>
                <c:pt idx="0">
                  <c:v>Услуге</c:v>
                </c:pt>
              </c:strCache>
            </c:strRef>
          </c:tx>
          <c:spPr>
            <a:solidFill>
              <a:schemeClr val="accent5">
                <a:lumMod val="60000"/>
                <a:lumOff val="40000"/>
              </a:schemeClr>
            </a:solidFill>
            <a:ln>
              <a:noFill/>
            </a:ln>
            <a:effectLst/>
          </c:spPr>
          <c:invertIfNegative val="0"/>
          <c:cat>
            <c:multiLvlStrRef>
              <c:f>IPAS_doprinosi!$A$36:$B$56</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IPAS_doprinosi!$G$36:$G$56</c:f>
              <c:numCache>
                <c:formatCode>0.0</c:formatCode>
                <c:ptCount val="21"/>
                <c:pt idx="0">
                  <c:v>-0.21269022200830362</c:v>
                </c:pt>
                <c:pt idx="1">
                  <c:v>-0.20159614034159309</c:v>
                </c:pt>
                <c:pt idx="2">
                  <c:v>2.1295753277682632</c:v>
                </c:pt>
                <c:pt idx="3">
                  <c:v>9.4736523269744399</c:v>
                </c:pt>
                <c:pt idx="4">
                  <c:v>7.7822708430330296</c:v>
                </c:pt>
                <c:pt idx="5">
                  <c:v>5.8333082282570032</c:v>
                </c:pt>
                <c:pt idx="6">
                  <c:v>6.1431608805813607</c:v>
                </c:pt>
                <c:pt idx="7">
                  <c:v>4.7795848253282927</c:v>
                </c:pt>
                <c:pt idx="8">
                  <c:v>4.7014960911999326</c:v>
                </c:pt>
                <c:pt idx="9">
                  <c:v>3.706696737377067</c:v>
                </c:pt>
                <c:pt idx="10">
                  <c:v>5.1977116657894191</c:v>
                </c:pt>
                <c:pt idx="11">
                  <c:v>4.77729568518882</c:v>
                </c:pt>
                <c:pt idx="12">
                  <c:v>4.0243555977065153</c:v>
                </c:pt>
                <c:pt idx="13">
                  <c:v>3.2405678333151418</c:v>
                </c:pt>
                <c:pt idx="14">
                  <c:v>2.9450073303855921</c:v>
                </c:pt>
                <c:pt idx="15">
                  <c:v>3.7511060414327577</c:v>
                </c:pt>
                <c:pt idx="16">
                  <c:v>2.9734278046507745</c:v>
                </c:pt>
                <c:pt idx="17">
                  <c:v>2.4071076021876654</c:v>
                </c:pt>
                <c:pt idx="18">
                  <c:v>1.6580650392005918</c:v>
                </c:pt>
                <c:pt idx="19">
                  <c:v>2.1600669625350344</c:v>
                </c:pt>
                <c:pt idx="20">
                  <c:v>1.6232757831159379</c:v>
                </c:pt>
              </c:numCache>
            </c:numRef>
          </c:val>
          <c:extLst>
            <c:ext xmlns:c16="http://schemas.microsoft.com/office/drawing/2014/chart" uri="{C3380CC4-5D6E-409C-BE32-E72D297353CC}">
              <c16:uniqueId val="{00000003-42EC-4206-9216-6844EBEBE6AF}"/>
            </c:ext>
          </c:extLst>
        </c:ser>
        <c:ser>
          <c:idx val="4"/>
          <c:order val="5"/>
          <c:tx>
            <c:strRef>
              <c:f>IPAS_doprinosi!$H$11</c:f>
              <c:strCache>
                <c:ptCount val="1"/>
                <c:pt idx="0">
                  <c:v>Нето порези</c:v>
                </c:pt>
              </c:strCache>
            </c:strRef>
          </c:tx>
          <c:spPr>
            <a:solidFill>
              <a:srgbClr val="D4A0D4"/>
            </a:solidFill>
            <a:ln>
              <a:noFill/>
            </a:ln>
            <a:effectLst/>
          </c:spPr>
          <c:invertIfNegative val="0"/>
          <c:cat>
            <c:multiLvlStrRef>
              <c:f>IPAS_doprinosi!$A$36:$B$56</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IPAS_doprinosi!$H$36:$H$56</c:f>
              <c:numCache>
                <c:formatCode>0.0</c:formatCode>
                <c:ptCount val="21"/>
                <c:pt idx="0">
                  <c:v>-0.62483733920110029</c:v>
                </c:pt>
                <c:pt idx="1">
                  <c:v>-9.6736593095631609E-2</c:v>
                </c:pt>
                <c:pt idx="2">
                  <c:v>0.13302080716112463</c:v>
                </c:pt>
                <c:pt idx="3">
                  <c:v>3.8618956253185615</c:v>
                </c:pt>
                <c:pt idx="4">
                  <c:v>2.7842174754414168</c:v>
                </c:pt>
                <c:pt idx="5">
                  <c:v>1.9392540736022545</c:v>
                </c:pt>
                <c:pt idx="6">
                  <c:v>1.6353761477608322</c:v>
                </c:pt>
                <c:pt idx="7">
                  <c:v>1.5740035350794983</c:v>
                </c:pt>
                <c:pt idx="8">
                  <c:v>1.1560530424775159</c:v>
                </c:pt>
                <c:pt idx="9">
                  <c:v>1.0591535527709608</c:v>
                </c:pt>
                <c:pt idx="10">
                  <c:v>1.3819802551167295</c:v>
                </c:pt>
                <c:pt idx="11">
                  <c:v>1.3955204774494272</c:v>
                </c:pt>
                <c:pt idx="12">
                  <c:v>0.56332708689614008</c:v>
                </c:pt>
                <c:pt idx="13">
                  <c:v>1.3978910063474235</c:v>
                </c:pt>
                <c:pt idx="14">
                  <c:v>1.7941026219843514</c:v>
                </c:pt>
                <c:pt idx="15">
                  <c:v>0.81437127636517814</c:v>
                </c:pt>
                <c:pt idx="16">
                  <c:v>0.82494406456027991</c:v>
                </c:pt>
                <c:pt idx="17">
                  <c:v>0.8391665361909233</c:v>
                </c:pt>
                <c:pt idx="18">
                  <c:v>0.55239383587138879</c:v>
                </c:pt>
                <c:pt idx="19">
                  <c:v>0.73889848648046774</c:v>
                </c:pt>
                <c:pt idx="20">
                  <c:v>0.70571027007192766</c:v>
                </c:pt>
              </c:numCache>
            </c:numRef>
          </c:val>
          <c:extLst>
            <c:ext xmlns:c16="http://schemas.microsoft.com/office/drawing/2014/chart" uri="{C3380CC4-5D6E-409C-BE32-E72D297353CC}">
              <c16:uniqueId val="{00000004-42EC-4206-9216-6844EBEBE6AF}"/>
            </c:ext>
          </c:extLst>
        </c:ser>
        <c:dLbls>
          <c:showLegendKey val="0"/>
          <c:showVal val="0"/>
          <c:showCatName val="0"/>
          <c:showSerName val="0"/>
          <c:showPercent val="0"/>
          <c:showBubbleSize val="0"/>
        </c:dLbls>
        <c:gapWidth val="60"/>
        <c:overlap val="100"/>
        <c:axId val="1961440656"/>
        <c:axId val="1961448816"/>
      </c:barChart>
      <c:lineChart>
        <c:grouping val="standard"/>
        <c:varyColors val="0"/>
        <c:ser>
          <c:idx val="5"/>
          <c:order val="0"/>
          <c:tx>
            <c:strRef>
              <c:f>IPAS_doprinosi!$C$11</c:f>
              <c:strCache>
                <c:ptCount val="1"/>
                <c:pt idx="0">
                  <c:v>БДП</c:v>
                </c:pt>
              </c:strCache>
            </c:strRef>
          </c:tx>
          <c:spPr>
            <a:ln w="25400" cap="rnd">
              <a:solidFill>
                <a:srgbClr val="FF0000"/>
              </a:solidFill>
              <a:round/>
            </a:ln>
            <a:effectLst/>
          </c:spPr>
          <c:marker>
            <c:symbol val="none"/>
          </c:marker>
          <c:dLbls>
            <c:dLbl>
              <c:idx val="0"/>
              <c:layout>
                <c:manualLayout>
                  <c:x val="-6.5081291921843185E-2"/>
                  <c:y val="3.46070015845758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2EC-4206-9216-6844EBEBE6AF}"/>
                </c:ext>
              </c:extLst>
            </c:dLbl>
            <c:dLbl>
              <c:idx val="1"/>
              <c:layout>
                <c:manualLayout>
                  <c:x val="-6.9375182268883062E-2"/>
                  <c:y val="-4.41241986726132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2EC-4206-9216-6844EBEBE6AF}"/>
                </c:ext>
              </c:extLst>
            </c:dLbl>
            <c:dLbl>
              <c:idx val="2"/>
              <c:layout>
                <c:manualLayout>
                  <c:x val="-7.8634441528142321E-2"/>
                  <c:y val="-4.88827972166320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2EC-4206-9216-6844EBEBE6AF}"/>
                </c:ext>
              </c:extLst>
            </c:dLbl>
            <c:dLbl>
              <c:idx val="4"/>
              <c:layout>
                <c:manualLayout>
                  <c:x val="-4.5185185185185182E-2"/>
                  <c:y val="-4.88827972166320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2EC-4206-9216-6844EBEBE6AF}"/>
                </c:ext>
              </c:extLst>
            </c:dLbl>
            <c:dLbl>
              <c:idx val="6"/>
              <c:layout>
                <c:manualLayout>
                  <c:x val="-5.0283245844269464E-2"/>
                  <c:y val="-4.55753838821396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2EC-4206-9216-6844EBEBE6AF}"/>
                </c:ext>
              </c:extLst>
            </c:dLbl>
            <c:spPr>
              <a:noFill/>
              <a:ln>
                <a:noFill/>
              </a:ln>
              <a:effectLst/>
            </c:spPr>
            <c:txPr>
              <a:bodyPr rot="0" spcFirstLastPara="1" vertOverflow="ellipsis" vert="horz" wrap="square" anchor="ctr" anchorCtr="1"/>
              <a:lstStyle/>
              <a:p>
                <a:pPr>
                  <a:defRPr sz="60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IPAS_doprinosi!$A$36:$B$56</c:f>
              <c:multiLvlStrCache>
                <c:ptCount val="2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lvl>
                <c:lvl>
                  <c:pt idx="0">
                    <c:v>2021</c:v>
                  </c:pt>
                  <c:pt idx="12">
                    <c:v>2022</c:v>
                  </c:pt>
                </c:lvl>
              </c:multiLvlStrCache>
            </c:multiLvlStrRef>
          </c:cat>
          <c:val>
            <c:numRef>
              <c:f>IPAS_doprinosi!$C$36:$C$56</c:f>
              <c:numCache>
                <c:formatCode>0.0</c:formatCode>
                <c:ptCount val="21"/>
                <c:pt idx="0">
                  <c:v>-1.5743492720379231</c:v>
                </c:pt>
                <c:pt idx="1">
                  <c:v>0.40435662758474561</c:v>
                </c:pt>
                <c:pt idx="2">
                  <c:v>5.7825027943457261</c:v>
                </c:pt>
                <c:pt idx="3">
                  <c:v>20.800976876109932</c:v>
                </c:pt>
                <c:pt idx="4">
                  <c:v>12.676711360670495</c:v>
                </c:pt>
                <c:pt idx="5">
                  <c:v>8.9348323054452479</c:v>
                </c:pt>
                <c:pt idx="6">
                  <c:v>8.570603556145306</c:v>
                </c:pt>
                <c:pt idx="7">
                  <c:v>7.3954509897148943</c:v>
                </c:pt>
                <c:pt idx="8">
                  <c:v>6.8277311757561856</c:v>
                </c:pt>
                <c:pt idx="9">
                  <c:v>5.8504739104033305</c:v>
                </c:pt>
                <c:pt idx="10">
                  <c:v>8.9642464781428224</c:v>
                </c:pt>
                <c:pt idx="11">
                  <c:v>6.1784470858640255</c:v>
                </c:pt>
                <c:pt idx="12">
                  <c:v>3.8641084776460173</c:v>
                </c:pt>
                <c:pt idx="13">
                  <c:v>4.0952893718527337</c:v>
                </c:pt>
                <c:pt idx="14">
                  <c:v>4.9466104223962635</c:v>
                </c:pt>
                <c:pt idx="15">
                  <c:v>4.4403637764923998</c:v>
                </c:pt>
                <c:pt idx="16">
                  <c:v>4.4905533082093019</c:v>
                </c:pt>
                <c:pt idx="17">
                  <c:v>2.7963522880416405</c:v>
                </c:pt>
                <c:pt idx="18">
                  <c:v>1.0691385701555365</c:v>
                </c:pt>
                <c:pt idx="19">
                  <c:v>2.0660753704782087</c:v>
                </c:pt>
                <c:pt idx="20">
                  <c:v>0.8325741391894832</c:v>
                </c:pt>
              </c:numCache>
            </c:numRef>
          </c:val>
          <c:smooth val="0"/>
          <c:extLst>
            <c:ext xmlns:c16="http://schemas.microsoft.com/office/drawing/2014/chart" uri="{C3380CC4-5D6E-409C-BE32-E72D297353CC}">
              <c16:uniqueId val="{0000000A-42EC-4206-9216-6844EBEBE6AF}"/>
            </c:ext>
          </c:extLst>
        </c:ser>
        <c:dLbls>
          <c:showLegendKey val="0"/>
          <c:showVal val="0"/>
          <c:showCatName val="0"/>
          <c:showSerName val="0"/>
          <c:showPercent val="0"/>
          <c:showBubbleSize val="0"/>
        </c:dLbls>
        <c:marker val="1"/>
        <c:smooth val="0"/>
        <c:axId val="1961440656"/>
        <c:axId val="1961448816"/>
      </c:lineChart>
      <c:catAx>
        <c:axId val="1961440656"/>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Arial" panose="020B0604020202020204" pitchFamily="34" charset="0"/>
              </a:defRPr>
            </a:pPr>
            <a:endParaRPr lang="en-US"/>
          </a:p>
        </c:txPr>
        <c:crossAx val="1961448816"/>
        <c:crosses val="autoZero"/>
        <c:auto val="1"/>
        <c:lblAlgn val="ctr"/>
        <c:lblOffset val="0"/>
        <c:noMultiLvlLbl val="0"/>
      </c:catAx>
      <c:valAx>
        <c:axId val="1961448816"/>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40656"/>
        <c:crosses val="autoZero"/>
        <c:crossBetween val="between"/>
        <c:majorUnit val="4"/>
      </c:valAx>
      <c:spPr>
        <a:noFill/>
        <a:ln>
          <a:noFill/>
        </a:ln>
        <a:effectLst/>
      </c:spPr>
    </c:plotArea>
    <c:legend>
      <c:legendPos val="b"/>
      <c:layout>
        <c:manualLayout>
          <c:xMode val="edge"/>
          <c:yMode val="edge"/>
          <c:x val="7.1965223097112854E-2"/>
          <c:y val="0.84188729654707517"/>
          <c:w val="0.88171770195392241"/>
          <c:h val="0.15250475684372333"/>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824305555555574E-2"/>
          <c:y val="2.2302910052910054E-2"/>
          <c:w val="0.88431506235448831"/>
          <c:h val="0.68302884703217215"/>
        </c:manualLayout>
      </c:layout>
      <c:lineChart>
        <c:grouping val="standard"/>
        <c:varyColors val="0"/>
        <c:ser>
          <c:idx val="0"/>
          <c:order val="0"/>
          <c:tx>
            <c:strRef>
              <c:f>IPAS_doprinosi!$W$11</c:f>
              <c:strCache>
                <c:ptCount val="1"/>
                <c:pt idx="0">
                  <c:v>Оригинални подаци</c:v>
                </c:pt>
              </c:strCache>
            </c:strRef>
          </c:tx>
          <c:spPr>
            <a:ln w="15875">
              <a:solidFill>
                <a:srgbClr val="A44AA4"/>
              </a:solidFill>
              <a:prstDash val="sysDot"/>
            </a:ln>
          </c:spPr>
          <c:marker>
            <c:symbol val="none"/>
          </c:marker>
          <c:cat>
            <c:multiLvlStrRef>
              <c:f>IPAS_doprinosi!$U$12:$V$56</c:f>
              <c:multiLvlStrCache>
                <c:ptCount val="4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lvl>
                <c:lvl>
                  <c:pt idx="0">
                    <c:v>2019</c:v>
                  </c:pt>
                  <c:pt idx="12">
                    <c:v>2020</c:v>
                  </c:pt>
                  <c:pt idx="24">
                    <c:v>2021</c:v>
                  </c:pt>
                  <c:pt idx="36">
                    <c:v>2022</c:v>
                  </c:pt>
                </c:lvl>
              </c:multiLvlStrCache>
            </c:multiLvlStrRef>
          </c:cat>
          <c:val>
            <c:numRef>
              <c:f>IPAS_doprinosi!$W$12:$W$56</c:f>
              <c:numCache>
                <c:formatCode>0.0</c:formatCode>
                <c:ptCount val="45"/>
                <c:pt idx="0">
                  <c:v>372134.73595517699</c:v>
                </c:pt>
                <c:pt idx="1">
                  <c:v>377055.57187658199</c:v>
                </c:pt>
                <c:pt idx="2">
                  <c:v>391818.46001661301</c:v>
                </c:pt>
                <c:pt idx="3">
                  <c:v>394522.76065783098</c:v>
                </c:pt>
                <c:pt idx="4">
                  <c:v>409786.50091411901</c:v>
                </c:pt>
                <c:pt idx="5">
                  <c:v>411989.26179821999</c:v>
                </c:pt>
                <c:pt idx="6">
                  <c:v>422266.620999615</c:v>
                </c:pt>
                <c:pt idx="7">
                  <c:v>422840.45485561801</c:v>
                </c:pt>
                <c:pt idx="8">
                  <c:v>433916.12716461899</c:v>
                </c:pt>
                <c:pt idx="9">
                  <c:v>441713.519355778</c:v>
                </c:pt>
                <c:pt idx="10">
                  <c:v>442444.57056442002</c:v>
                </c:pt>
                <c:pt idx="11">
                  <c:v>443016.83516746701</c:v>
                </c:pt>
                <c:pt idx="12">
                  <c:v>399657.81927588402</c:v>
                </c:pt>
                <c:pt idx="13">
                  <c:v>397012.14115677698</c:v>
                </c:pt>
                <c:pt idx="14">
                  <c:v>403987.44288085197</c:v>
                </c:pt>
                <c:pt idx="15">
                  <c:v>343685.500950024</c:v>
                </c:pt>
                <c:pt idx="16">
                  <c:v>383642.82641754003</c:v>
                </c:pt>
                <c:pt idx="17">
                  <c:v>412876.139358635</c:v>
                </c:pt>
                <c:pt idx="18">
                  <c:v>412332.61660007702</c:v>
                </c:pt>
                <c:pt idx="19">
                  <c:v>418843.38895324501</c:v>
                </c:pt>
                <c:pt idx="20">
                  <c:v>430621.51230047102</c:v>
                </c:pt>
                <c:pt idx="21">
                  <c:v>436660.79679011798</c:v>
                </c:pt>
                <c:pt idx="22">
                  <c:v>436100.27810268599</c:v>
                </c:pt>
                <c:pt idx="23">
                  <c:v>441199.77602399501</c:v>
                </c:pt>
                <c:pt idx="24">
                  <c:v>393365.80930747098</c:v>
                </c:pt>
                <c:pt idx="25">
                  <c:v>398617.48606186098</c:v>
                </c:pt>
                <c:pt idx="26">
                  <c:v>427348.02805424301</c:v>
                </c:pt>
                <c:pt idx="27">
                  <c:v>415175.44252918102</c:v>
                </c:pt>
                <c:pt idx="28">
                  <c:v>432276.12017840898</c:v>
                </c:pt>
                <c:pt idx="29">
                  <c:v>449765.93003952602</c:v>
                </c:pt>
                <c:pt idx="30">
                  <c:v>447672.01050154999</c:v>
                </c:pt>
                <c:pt idx="31">
                  <c:v>449818.74650694302</c:v>
                </c:pt>
                <c:pt idx="32">
                  <c:v>460023.191545323</c:v>
                </c:pt>
                <c:pt idx="33">
                  <c:v>462207.52278328303</c:v>
                </c:pt>
                <c:pt idx="34">
                  <c:v>475193.38192367798</c:v>
                </c:pt>
                <c:pt idx="35">
                  <c:v>468459.07072858798</c:v>
                </c:pt>
                <c:pt idx="36">
                  <c:v>408565.89089308202</c:v>
                </c:pt>
                <c:pt idx="37">
                  <c:v>414942.02560289903</c:v>
                </c:pt>
                <c:pt idx="38">
                  <c:v>448487.27014987898</c:v>
                </c:pt>
                <c:pt idx="39">
                  <c:v>433610.74248813902</c:v>
                </c:pt>
                <c:pt idx="40">
                  <c:v>451687.70979368</c:v>
                </c:pt>
                <c:pt idx="41">
                  <c:v>462342.96991501801</c:v>
                </c:pt>
                <c:pt idx="42">
                  <c:v>452458.24463361298</c:v>
                </c:pt>
                <c:pt idx="43">
                  <c:v>459112.34084031702</c:v>
                </c:pt>
                <c:pt idx="44" formatCode="General">
                  <c:v>463853.22567240399</c:v>
                </c:pt>
              </c:numCache>
            </c:numRef>
          </c:val>
          <c:smooth val="0"/>
          <c:extLst>
            <c:ext xmlns:c16="http://schemas.microsoft.com/office/drawing/2014/chart" uri="{C3380CC4-5D6E-409C-BE32-E72D297353CC}">
              <c16:uniqueId val="{00000000-5357-4311-A021-503693119B79}"/>
            </c:ext>
          </c:extLst>
        </c:ser>
        <c:ser>
          <c:idx val="1"/>
          <c:order val="1"/>
          <c:tx>
            <c:strRef>
              <c:f>IPAS_doprinosi!$X$11</c:f>
              <c:strCache>
                <c:ptCount val="1"/>
                <c:pt idx="0">
                  <c:v>Тренд циклус</c:v>
                </c:pt>
              </c:strCache>
            </c:strRef>
          </c:tx>
          <c:spPr>
            <a:ln w="25400">
              <a:solidFill>
                <a:srgbClr val="FF0000"/>
              </a:solidFill>
            </a:ln>
          </c:spPr>
          <c:marker>
            <c:symbol val="none"/>
          </c:marker>
          <c:cat>
            <c:multiLvlStrRef>
              <c:f>IPAS_doprinosi!$U$12:$V$56</c:f>
              <c:multiLvlStrCache>
                <c:ptCount val="4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lvl>
                <c:lvl>
                  <c:pt idx="0">
                    <c:v>2019</c:v>
                  </c:pt>
                  <c:pt idx="12">
                    <c:v>2020</c:v>
                  </c:pt>
                  <c:pt idx="24">
                    <c:v>2021</c:v>
                  </c:pt>
                  <c:pt idx="36">
                    <c:v>2022</c:v>
                  </c:pt>
                </c:lvl>
              </c:multiLvlStrCache>
            </c:multiLvlStrRef>
          </c:cat>
          <c:val>
            <c:numRef>
              <c:f>IPAS_doprinosi!$X$12:$X$56</c:f>
              <c:numCache>
                <c:formatCode>0.0</c:formatCode>
                <c:ptCount val="45"/>
                <c:pt idx="0">
                  <c:v>399923.51247528603</c:v>
                </c:pt>
                <c:pt idx="1">
                  <c:v>401750.16150809999</c:v>
                </c:pt>
                <c:pt idx="2">
                  <c:v>404002.83770267101</c:v>
                </c:pt>
                <c:pt idx="3">
                  <c:v>406550.00236828002</c:v>
                </c:pt>
                <c:pt idx="4">
                  <c:v>409160.91913527099</c:v>
                </c:pt>
                <c:pt idx="5">
                  <c:v>411771.53554436698</c:v>
                </c:pt>
                <c:pt idx="6">
                  <c:v>414478.736594346</c:v>
                </c:pt>
                <c:pt idx="7">
                  <c:v>417351.85749037401</c:v>
                </c:pt>
                <c:pt idx="8">
                  <c:v>420213.56636446901</c:v>
                </c:pt>
                <c:pt idx="9">
                  <c:v>422888.85812297801</c:v>
                </c:pt>
                <c:pt idx="10">
                  <c:v>425237.93275724602</c:v>
                </c:pt>
                <c:pt idx="11">
                  <c:v>426920.48854481202</c:v>
                </c:pt>
                <c:pt idx="12">
                  <c:v>427743.17854742298</c:v>
                </c:pt>
                <c:pt idx="13">
                  <c:v>427654.43923213799</c:v>
                </c:pt>
                <c:pt idx="14">
                  <c:v>410603.64853959897</c:v>
                </c:pt>
                <c:pt idx="15">
                  <c:v>409505.23071191</c:v>
                </c:pt>
                <c:pt idx="16">
                  <c:v>408793.682053069</c:v>
                </c:pt>
                <c:pt idx="17">
                  <c:v>408902.18314666301</c:v>
                </c:pt>
                <c:pt idx="18">
                  <c:v>410031.43697539601</c:v>
                </c:pt>
                <c:pt idx="19">
                  <c:v>412086.211018776</c:v>
                </c:pt>
                <c:pt idx="20">
                  <c:v>414693.28997878102</c:v>
                </c:pt>
                <c:pt idx="21">
                  <c:v>417572.59308025002</c:v>
                </c:pt>
                <c:pt idx="22">
                  <c:v>420447.54237694101</c:v>
                </c:pt>
                <c:pt idx="23">
                  <c:v>423230.25848341099</c:v>
                </c:pt>
                <c:pt idx="24">
                  <c:v>425997.40693584201</c:v>
                </c:pt>
                <c:pt idx="25">
                  <c:v>428912.26292249397</c:v>
                </c:pt>
                <c:pt idx="26">
                  <c:v>431994.21079745598</c:v>
                </c:pt>
                <c:pt idx="27">
                  <c:v>435079.832635328</c:v>
                </c:pt>
                <c:pt idx="28">
                  <c:v>437957.87919906998</c:v>
                </c:pt>
                <c:pt idx="29">
                  <c:v>440434.38790078199</c:v>
                </c:pt>
                <c:pt idx="30">
                  <c:v>442356.02995388297</c:v>
                </c:pt>
                <c:pt idx="31">
                  <c:v>443712.97566368699</c:v>
                </c:pt>
                <c:pt idx="32">
                  <c:v>444585.58934338897</c:v>
                </c:pt>
                <c:pt idx="33">
                  <c:v>445062.965070943</c:v>
                </c:pt>
                <c:pt idx="34">
                  <c:v>445309.32598245097</c:v>
                </c:pt>
                <c:pt idx="35">
                  <c:v>445645.101016425</c:v>
                </c:pt>
                <c:pt idx="36">
                  <c:v>446293.65105490299</c:v>
                </c:pt>
                <c:pt idx="37">
                  <c:v>447193.49103968201</c:v>
                </c:pt>
                <c:pt idx="38">
                  <c:v>448281.25947482098</c:v>
                </c:pt>
                <c:pt idx="39">
                  <c:v>449379.85430872702</c:v>
                </c:pt>
                <c:pt idx="40">
                  <c:v>450175.58328720002</c:v>
                </c:pt>
                <c:pt idx="41">
                  <c:v>450523.37550962903</c:v>
                </c:pt>
                <c:pt idx="42">
                  <c:v>450512.894167119</c:v>
                </c:pt>
                <c:pt idx="43">
                  <c:v>450299.03428936802</c:v>
                </c:pt>
                <c:pt idx="44" formatCode="General">
                  <c:v>450144.92740843102</c:v>
                </c:pt>
              </c:numCache>
            </c:numRef>
          </c:val>
          <c:smooth val="0"/>
          <c:extLst>
            <c:ext xmlns:c16="http://schemas.microsoft.com/office/drawing/2014/chart" uri="{C3380CC4-5D6E-409C-BE32-E72D297353CC}">
              <c16:uniqueId val="{00000001-5357-4311-A021-503693119B79}"/>
            </c:ext>
          </c:extLst>
        </c:ser>
        <c:ser>
          <c:idx val="2"/>
          <c:order val="2"/>
          <c:tx>
            <c:strRef>
              <c:f>IPAS_doprinosi!$Y$11</c:f>
              <c:strCache>
                <c:ptCount val="1"/>
                <c:pt idx="0">
                  <c:v>Десезонирани подаци</c:v>
                </c:pt>
              </c:strCache>
            </c:strRef>
          </c:tx>
          <c:spPr>
            <a:ln w="22225">
              <a:solidFill>
                <a:srgbClr val="002060"/>
              </a:solidFill>
            </a:ln>
          </c:spPr>
          <c:marker>
            <c:symbol val="none"/>
          </c:marker>
          <c:cat>
            <c:multiLvlStrRef>
              <c:f>IPAS_doprinosi!$U$12:$V$56</c:f>
              <c:multiLvlStrCache>
                <c:ptCount val="4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lvl>
                <c:lvl>
                  <c:pt idx="0">
                    <c:v>2019</c:v>
                  </c:pt>
                  <c:pt idx="12">
                    <c:v>2020</c:v>
                  </c:pt>
                  <c:pt idx="24">
                    <c:v>2021</c:v>
                  </c:pt>
                  <c:pt idx="36">
                    <c:v>2022</c:v>
                  </c:pt>
                </c:lvl>
              </c:multiLvlStrCache>
            </c:multiLvlStrRef>
          </c:cat>
          <c:val>
            <c:numRef>
              <c:f>IPAS_doprinosi!$Y$12:$Y$56</c:f>
              <c:numCache>
                <c:formatCode>0.0</c:formatCode>
                <c:ptCount val="45"/>
                <c:pt idx="0">
                  <c:v>399758.21552365698</c:v>
                </c:pt>
                <c:pt idx="1">
                  <c:v>405286.21965334401</c:v>
                </c:pt>
                <c:pt idx="2">
                  <c:v>402385.37267343199</c:v>
                </c:pt>
                <c:pt idx="3">
                  <c:v>406832.71291262301</c:v>
                </c:pt>
                <c:pt idx="4">
                  <c:v>410361.28533306799</c:v>
                </c:pt>
                <c:pt idx="5">
                  <c:v>409550.67042315297</c:v>
                </c:pt>
                <c:pt idx="6">
                  <c:v>416463.273488131</c:v>
                </c:pt>
                <c:pt idx="7">
                  <c:v>416312.29395725898</c:v>
                </c:pt>
                <c:pt idx="8">
                  <c:v>420083.600281803</c:v>
                </c:pt>
                <c:pt idx="9">
                  <c:v>421752.00090406102</c:v>
                </c:pt>
                <c:pt idx="10">
                  <c:v>426567.87231534201</c:v>
                </c:pt>
                <c:pt idx="11">
                  <c:v>427211.250207089</c:v>
                </c:pt>
                <c:pt idx="12">
                  <c:v>428828.186591629</c:v>
                </c:pt>
                <c:pt idx="13">
                  <c:v>426578.312600857</c:v>
                </c:pt>
                <c:pt idx="14">
                  <c:v>412286.45834275201</c:v>
                </c:pt>
                <c:pt idx="15">
                  <c:v>357084.25065348297</c:v>
                </c:pt>
                <c:pt idx="16">
                  <c:v>384554.36636613001</c:v>
                </c:pt>
                <c:pt idx="17">
                  <c:v>408297.80611008202</c:v>
                </c:pt>
                <c:pt idx="18">
                  <c:v>407008.90153729299</c:v>
                </c:pt>
                <c:pt idx="19">
                  <c:v>412640.70245166298</c:v>
                </c:pt>
                <c:pt idx="20">
                  <c:v>415969.98610229703</c:v>
                </c:pt>
                <c:pt idx="21">
                  <c:v>417881.26649149199</c:v>
                </c:pt>
                <c:pt idx="22">
                  <c:v>419985.42233336403</c:v>
                </c:pt>
                <c:pt idx="23">
                  <c:v>424382.08400000399</c:v>
                </c:pt>
                <c:pt idx="24">
                  <c:v>424184.87213047303</c:v>
                </c:pt>
                <c:pt idx="25">
                  <c:v>428795.92189361999</c:v>
                </c:pt>
                <c:pt idx="26">
                  <c:v>433717.04395220103</c:v>
                </c:pt>
                <c:pt idx="27">
                  <c:v>429407.92319433799</c:v>
                </c:pt>
                <c:pt idx="28">
                  <c:v>432173.516516893</c:v>
                </c:pt>
                <c:pt idx="29">
                  <c:v>444076.91258262203</c:v>
                </c:pt>
                <c:pt idx="30">
                  <c:v>443405.19912263303</c:v>
                </c:pt>
                <c:pt idx="31">
                  <c:v>442857.55138138402</c:v>
                </c:pt>
                <c:pt idx="32">
                  <c:v>445257.166323738</c:v>
                </c:pt>
                <c:pt idx="33">
                  <c:v>444529.106584161</c:v>
                </c:pt>
                <c:pt idx="34">
                  <c:v>458399.27769027703</c:v>
                </c:pt>
                <c:pt idx="35">
                  <c:v>451057.48803558201</c:v>
                </c:pt>
                <c:pt idx="36">
                  <c:v>439590.56006659899</c:v>
                </c:pt>
                <c:pt idx="37">
                  <c:v>445568.47322845802</c:v>
                </c:pt>
                <c:pt idx="38">
                  <c:v>453874.59123580297</c:v>
                </c:pt>
                <c:pt idx="39">
                  <c:v>448804.61945415701</c:v>
                </c:pt>
                <c:pt idx="40">
                  <c:v>451784.52481086599</c:v>
                </c:pt>
                <c:pt idx="41">
                  <c:v>455665.82588703302</c:v>
                </c:pt>
                <c:pt idx="42">
                  <c:v>448999.27087281097</c:v>
                </c:pt>
                <c:pt idx="43">
                  <c:v>451445.47016338201</c:v>
                </c:pt>
                <c:pt idx="44" formatCode="General">
                  <c:v>449071.92523590999</c:v>
                </c:pt>
              </c:numCache>
            </c:numRef>
          </c:val>
          <c:smooth val="0"/>
          <c:extLst>
            <c:ext xmlns:c16="http://schemas.microsoft.com/office/drawing/2014/chart" uri="{C3380CC4-5D6E-409C-BE32-E72D297353CC}">
              <c16:uniqueId val="{00000002-5357-4311-A021-503693119B79}"/>
            </c:ext>
          </c:extLst>
        </c:ser>
        <c:dLbls>
          <c:showLegendKey val="0"/>
          <c:showVal val="0"/>
          <c:showCatName val="0"/>
          <c:showSerName val="0"/>
          <c:showPercent val="0"/>
          <c:showBubbleSize val="0"/>
        </c:dLbls>
        <c:smooth val="0"/>
        <c:axId val="761081920"/>
        <c:axId val="761082480"/>
      </c:lineChart>
      <c:catAx>
        <c:axId val="76108192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0" vert="horz"/>
          <a:lstStyle/>
          <a:p>
            <a:pPr>
              <a:defRPr sz="750">
                <a:latin typeface="+mn-lt"/>
              </a:defRPr>
            </a:pPr>
            <a:endParaRPr lang="en-US"/>
          </a:p>
        </c:txPr>
        <c:crossAx val="761082480"/>
        <c:crosses val="autoZero"/>
        <c:auto val="1"/>
        <c:lblAlgn val="ctr"/>
        <c:lblOffset val="100"/>
        <c:tickMarkSkip val="1"/>
        <c:noMultiLvlLbl val="1"/>
      </c:catAx>
      <c:valAx>
        <c:axId val="761082480"/>
        <c:scaling>
          <c:orientation val="minMax"/>
          <c:max val="475000"/>
          <c:min val="325000"/>
        </c:scaling>
        <c:delete val="0"/>
        <c:axPos val="l"/>
        <c:numFmt formatCode="#,##0" sourceLinked="0"/>
        <c:majorTickMark val="none"/>
        <c:minorTickMark val="none"/>
        <c:tickLblPos val="nextTo"/>
        <c:spPr>
          <a:noFill/>
          <a:ln>
            <a:noFill/>
          </a:ln>
          <a:effectLst/>
        </c:spPr>
        <c:txPr>
          <a:bodyPr rot="-60000000" vert="horz"/>
          <a:lstStyle/>
          <a:p>
            <a:pPr>
              <a:defRPr sz="750">
                <a:latin typeface="+mn-lt"/>
              </a:defRPr>
            </a:pPr>
            <a:endParaRPr lang="en-US"/>
          </a:p>
        </c:txPr>
        <c:crossAx val="761081920"/>
        <c:crossesAt val="1"/>
        <c:crossBetween val="between"/>
        <c:majorUnit val="50000"/>
      </c:valAx>
      <c:spPr>
        <a:noFill/>
        <a:ln>
          <a:noFill/>
        </a:ln>
        <a:effectLst/>
      </c:spPr>
    </c:plotArea>
    <c:legend>
      <c:legendPos val="b"/>
      <c:layout>
        <c:manualLayout>
          <c:xMode val="edge"/>
          <c:yMode val="edge"/>
          <c:x val="7.407407407407407E-2"/>
          <c:y val="0.84404059411367083"/>
          <c:w val="0.86111111111111116"/>
          <c:h val="0.15595940588632917"/>
        </c:manualLayout>
      </c:layout>
      <c:overlay val="0"/>
      <c:spPr>
        <a:noFill/>
        <a:ln>
          <a:noFill/>
        </a:ln>
        <a:effectLst/>
      </c:spPr>
      <c:txPr>
        <a:bodyPr rot="0" vert="horz"/>
        <a:lstStyle/>
        <a:p>
          <a:pPr>
            <a:defRPr sz="750">
              <a:latin typeface="+mn-lt"/>
            </a:defRPr>
          </a:pPr>
          <a:endParaRPr lang="en-US"/>
        </a:p>
      </c:txPr>
    </c:legend>
    <c:plotVisOnly val="1"/>
    <c:dispBlanksAs val="gap"/>
    <c:showDLblsOverMax val="0"/>
  </c:chart>
  <c:spPr>
    <a:noFill/>
    <a:ln w="9525" cap="flat" cmpd="sng" algn="ctr">
      <a:noFill/>
      <a:round/>
    </a:ln>
    <a:effectLst/>
  </c:spPr>
  <c:txPr>
    <a:bodyPr/>
    <a:lstStyle/>
    <a:p>
      <a:pPr>
        <a:defRPr sz="800">
          <a:solidFill>
            <a:schemeClr val="tx2"/>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r>
              <a:rPr lang="sr-Cyrl-RS" sz="800">
                <a:solidFill>
                  <a:schemeClr val="tx2"/>
                </a:solidFill>
                <a:latin typeface="+mn-lt"/>
              </a:rPr>
              <a:t>Раст БДП у Италији</a:t>
            </a:r>
            <a:r>
              <a:rPr lang="en-US" sz="800">
                <a:solidFill>
                  <a:schemeClr val="tx2"/>
                </a:solidFill>
                <a:latin typeface="+mn-lt"/>
              </a:rPr>
              <a:t>, %</a:t>
            </a:r>
            <a:endParaRPr lang="sr-Cyrl-RS" sz="800">
              <a:solidFill>
                <a:schemeClr val="tx2"/>
              </a:solidFill>
              <a:latin typeface="+mn-lt"/>
            </a:endParaRPr>
          </a:p>
        </c:rich>
      </c:tx>
      <c:layout>
        <c:manualLayout>
          <c:xMode val="edge"/>
          <c:yMode val="edge"/>
          <c:x val="0.33534842249657065"/>
          <c:y val="2.1166666666666667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5112139722852622"/>
          <c:w val="0.88876071125802292"/>
          <c:h val="0.72565619472861453"/>
        </c:manualLayout>
      </c:layout>
      <c:lineChart>
        <c:grouping val="standard"/>
        <c:varyColors val="0"/>
        <c:ser>
          <c:idx val="0"/>
          <c:order val="0"/>
          <c:tx>
            <c:strRef>
              <c:f>Sheet1!$A$223</c:f>
              <c:strCache>
                <c:ptCount val="1"/>
                <c:pt idx="0">
                  <c:v>окт. 2021.</c:v>
                </c:pt>
              </c:strCache>
            </c:strRef>
          </c:tx>
          <c:spPr>
            <a:ln w="25400" cap="rnd">
              <a:solidFill>
                <a:schemeClr val="accent4"/>
              </a:solidFill>
              <a:prstDash val="sysDot"/>
              <a:round/>
            </a:ln>
            <a:effectLst/>
          </c:spPr>
          <c:marker>
            <c:symbol val="none"/>
          </c:marker>
          <c:dLbls>
            <c:dLbl>
              <c:idx val="0"/>
              <c:layout>
                <c:manualLayout>
                  <c:x val="-7.1216049382716071E-2"/>
                  <c:y val="3.71027777777777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68-41B6-BA59-4C7A432B4000}"/>
                </c:ext>
              </c:extLst>
            </c:dLbl>
            <c:dLbl>
              <c:idx val="2"/>
              <c:layout>
                <c:manualLayout>
                  <c:x val="-2.6131687242798355E-2"/>
                  <c:y val="-6.4675178792741559E-1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68-41B6-BA59-4C7A432B4000}"/>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Sheet1!$B$79:$D$79</c:f>
              <c:numCache>
                <c:formatCode>General</c:formatCode>
                <c:ptCount val="3"/>
                <c:pt idx="0">
                  <c:v>2021</c:v>
                </c:pt>
                <c:pt idx="1">
                  <c:v>2022</c:v>
                </c:pt>
                <c:pt idx="2">
                  <c:v>2023</c:v>
                </c:pt>
              </c:numCache>
            </c:numRef>
          </c:cat>
          <c:val>
            <c:numRef>
              <c:f>Sheet1!$B$223:$D$223</c:f>
              <c:numCache>
                <c:formatCode>0.0</c:formatCode>
                <c:ptCount val="3"/>
                <c:pt idx="0">
                  <c:v>5.77</c:v>
                </c:pt>
                <c:pt idx="1">
                  <c:v>4.2329999999999997</c:v>
                </c:pt>
                <c:pt idx="2">
                  <c:v>1.617</c:v>
                </c:pt>
              </c:numCache>
            </c:numRef>
          </c:val>
          <c:smooth val="0"/>
          <c:extLst>
            <c:ext xmlns:c16="http://schemas.microsoft.com/office/drawing/2014/chart" uri="{C3380CC4-5D6E-409C-BE32-E72D297353CC}">
              <c16:uniqueId val="{00000002-0968-41B6-BA59-4C7A432B4000}"/>
            </c:ext>
          </c:extLst>
        </c:ser>
        <c:ser>
          <c:idx val="1"/>
          <c:order val="1"/>
          <c:tx>
            <c:strRef>
              <c:f>Sheet1!$A$224</c:f>
              <c:strCache>
                <c:ptCount val="1"/>
                <c:pt idx="0">
                  <c:v>апр. 2022.</c:v>
                </c:pt>
              </c:strCache>
            </c:strRef>
          </c:tx>
          <c:spPr>
            <a:ln w="22225" cap="rnd">
              <a:solidFill>
                <a:srgbClr val="002060"/>
              </a:solidFill>
              <a:prstDash val="sysDash"/>
              <a:round/>
            </a:ln>
            <a:effectLst/>
          </c:spPr>
          <c:marker>
            <c:symbol val="none"/>
          </c:marker>
          <c:dLbls>
            <c:dLbl>
              <c:idx val="1"/>
              <c:layout>
                <c:manualLayout>
                  <c:x val="-5.6074417009602195E-2"/>
                  <c:y val="4.95655555555555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68-41B6-BA59-4C7A432B4000}"/>
                </c:ext>
              </c:extLst>
            </c:dLbl>
            <c:dLbl>
              <c:idx val="2"/>
              <c:layout>
                <c:manualLayout>
                  <c:x val="-3.9197530864197694E-2"/>
                  <c:y val="-6.35000000000000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968-41B6-BA59-4C7A432B4000}"/>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Sheet1!$B$79:$D$79</c:f>
              <c:numCache>
                <c:formatCode>General</c:formatCode>
                <c:ptCount val="3"/>
                <c:pt idx="0">
                  <c:v>2021</c:v>
                </c:pt>
                <c:pt idx="1">
                  <c:v>2022</c:v>
                </c:pt>
                <c:pt idx="2">
                  <c:v>2023</c:v>
                </c:pt>
              </c:numCache>
            </c:numRef>
          </c:cat>
          <c:val>
            <c:numRef>
              <c:f>Sheet1!$B$224:$D$224</c:f>
              <c:numCache>
                <c:formatCode>0.0</c:formatCode>
                <c:ptCount val="3"/>
                <c:pt idx="0">
                  <c:v>6.6360000000000001</c:v>
                </c:pt>
                <c:pt idx="1">
                  <c:v>2.274</c:v>
                </c:pt>
                <c:pt idx="2">
                  <c:v>1.663</c:v>
                </c:pt>
              </c:numCache>
            </c:numRef>
          </c:val>
          <c:smooth val="0"/>
          <c:extLst>
            <c:ext xmlns:c16="http://schemas.microsoft.com/office/drawing/2014/chart" uri="{C3380CC4-5D6E-409C-BE32-E72D297353CC}">
              <c16:uniqueId val="{00000005-0968-41B6-BA59-4C7A432B4000}"/>
            </c:ext>
          </c:extLst>
        </c:ser>
        <c:ser>
          <c:idx val="2"/>
          <c:order val="2"/>
          <c:tx>
            <c:strRef>
              <c:f>Sheet1!$A$225</c:f>
              <c:strCache>
                <c:ptCount val="1"/>
                <c:pt idx="0">
                  <c:v>окт. 2022.</c:v>
                </c:pt>
              </c:strCache>
            </c:strRef>
          </c:tx>
          <c:spPr>
            <a:ln w="28575" cap="rnd">
              <a:solidFill>
                <a:srgbClr val="FF0000"/>
              </a:solidFill>
              <a:round/>
            </a:ln>
            <a:effectLst/>
          </c:spPr>
          <c:marker>
            <c:symbol val="circle"/>
            <c:size val="13"/>
            <c:spPr>
              <a:solidFill>
                <a:srgbClr val="FF0000"/>
              </a:solidFill>
              <a:ln w="9525">
                <a:noFill/>
              </a:ln>
              <a:effectLst/>
            </c:spPr>
          </c:marker>
          <c:dLbls>
            <c:spPr>
              <a:noFill/>
              <a:ln>
                <a:noFill/>
              </a:ln>
              <a:effectLst/>
            </c:spPr>
            <c:txPr>
              <a:bodyPr rot="0" spcFirstLastPara="1" vertOverflow="ellipsis" vert="horz" wrap="square" anchor="ctr" anchorCtr="1"/>
              <a:lstStyle/>
              <a:p>
                <a:pPr>
                  <a:defRPr sz="700" b="0" i="0" u="none" strike="noStrike" kern="1200" baseline="0">
                    <a:solidFill>
                      <a:schemeClr val="bg1"/>
                    </a:solidFill>
                    <a:latin typeface="+mn-lt"/>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Sheet1!$B$79:$D$79</c:f>
              <c:numCache>
                <c:formatCode>General</c:formatCode>
                <c:ptCount val="3"/>
                <c:pt idx="0">
                  <c:v>2021</c:v>
                </c:pt>
                <c:pt idx="1">
                  <c:v>2022</c:v>
                </c:pt>
                <c:pt idx="2">
                  <c:v>2023</c:v>
                </c:pt>
              </c:numCache>
            </c:numRef>
          </c:cat>
          <c:val>
            <c:numRef>
              <c:f>Sheet1!$B$225:$D$225</c:f>
              <c:numCache>
                <c:formatCode>0.0</c:formatCode>
                <c:ptCount val="3"/>
                <c:pt idx="0">
                  <c:v>6.702</c:v>
                </c:pt>
                <c:pt idx="1">
                  <c:v>3.161</c:v>
                </c:pt>
                <c:pt idx="2">
                  <c:v>-0.18099999999999999</c:v>
                </c:pt>
              </c:numCache>
            </c:numRef>
          </c:val>
          <c:smooth val="0"/>
          <c:extLst>
            <c:ext xmlns:c16="http://schemas.microsoft.com/office/drawing/2014/chart" uri="{C3380CC4-5D6E-409C-BE32-E72D297353CC}">
              <c16:uniqueId val="{00000006-0968-41B6-BA59-4C7A432B4000}"/>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graf'!$G$7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5.892927128785307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24-4B57-8967-9F197BB52617}"/>
                </c:ext>
              </c:extLst>
            </c:dLbl>
            <c:dLbl>
              <c:idx val="12"/>
              <c:layout>
                <c:manualLayout>
                  <c:x val="5.901253276896680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24-4B57-8967-9F197BB52617}"/>
                </c:ext>
              </c:extLst>
            </c:dLbl>
            <c:dLbl>
              <c:idx val="24"/>
              <c:layout>
                <c:manualLayout>
                  <c:x val="5.792971505118257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24-4B57-8967-9F197BB52617}"/>
                </c:ext>
              </c:extLst>
            </c:dLbl>
            <c:dLbl>
              <c:idx val="36"/>
              <c:layout>
                <c:manualLayout>
                  <c:x val="1.460455151150941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24-4B57-8967-9F197BB52617}"/>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graf'!$G$32:$G$76</c:f>
              <c:numCache>
                <c:formatCode>General</c:formatCode>
                <c:ptCount val="45"/>
                <c:pt idx="0">
                  <c:v>70</c:v>
                </c:pt>
                <c:pt idx="12">
                  <c:v>70</c:v>
                </c:pt>
                <c:pt idx="24">
                  <c:v>70</c:v>
                </c:pt>
                <c:pt idx="36">
                  <c:v>70</c:v>
                </c:pt>
              </c:numCache>
            </c:numRef>
          </c:val>
          <c:smooth val="0"/>
          <c:extLst>
            <c:ext xmlns:c16="http://schemas.microsoft.com/office/drawing/2014/chart" uri="{C3380CC4-5D6E-409C-BE32-E72D297353CC}">
              <c16:uniqueId val="{00000004-5724-4B57-8967-9F197BB52617}"/>
            </c:ext>
          </c:extLst>
        </c:ser>
        <c:ser>
          <c:idx val="4"/>
          <c:order val="1"/>
          <c:tx>
            <c:strRef>
              <c:f>'Prerađivačka_6 graf'!$H$7</c:f>
              <c:strCache>
                <c:ptCount val="1"/>
                <c:pt idx="0">
                  <c:v>Series5</c:v>
                </c:pt>
              </c:strCache>
            </c:strRef>
          </c:tx>
          <c:spPr>
            <a:ln w="25400" cap="rnd">
              <a:noFill/>
              <a:round/>
            </a:ln>
            <a:effectLst/>
          </c:spPr>
          <c:marker>
            <c:symbol val="none"/>
          </c:marker>
          <c:dLbls>
            <c:dLbl>
              <c:idx val="0"/>
              <c:tx>
                <c:rich>
                  <a:bodyPr/>
                  <a:lstStyle/>
                  <a:p>
                    <a:fld id="{FE9BE995-B19A-45BA-9DA6-AF710538628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5724-4B57-8967-9F197BB52617}"/>
                </c:ext>
              </c:extLst>
            </c:dLbl>
            <c:dLbl>
              <c:idx val="1"/>
              <c:tx>
                <c:rich>
                  <a:bodyPr/>
                  <a:lstStyle/>
                  <a:p>
                    <a:fld id="{C8DB3138-085F-473F-B571-E1F57A79A09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5724-4B57-8967-9F197BB52617}"/>
                </c:ext>
              </c:extLst>
            </c:dLbl>
            <c:dLbl>
              <c:idx val="2"/>
              <c:tx>
                <c:rich>
                  <a:bodyPr/>
                  <a:lstStyle/>
                  <a:p>
                    <a:fld id="{1CA429FE-2398-405D-A0EB-723674BE1C8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5724-4B57-8967-9F197BB52617}"/>
                </c:ext>
              </c:extLst>
            </c:dLbl>
            <c:dLbl>
              <c:idx val="3"/>
              <c:tx>
                <c:rich>
                  <a:bodyPr/>
                  <a:lstStyle/>
                  <a:p>
                    <a:fld id="{2C7AEB98-FBEC-42AC-AD87-2CBB9B82435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5724-4B57-8967-9F197BB52617}"/>
                </c:ext>
              </c:extLst>
            </c:dLbl>
            <c:dLbl>
              <c:idx val="4"/>
              <c:tx>
                <c:rich>
                  <a:bodyPr/>
                  <a:lstStyle/>
                  <a:p>
                    <a:fld id="{8C2F4AFA-F9BE-43B4-B424-F35ED5ECAC6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5724-4B57-8967-9F197BB52617}"/>
                </c:ext>
              </c:extLst>
            </c:dLbl>
            <c:dLbl>
              <c:idx val="5"/>
              <c:tx>
                <c:rich>
                  <a:bodyPr/>
                  <a:lstStyle/>
                  <a:p>
                    <a:fld id="{C7E5E88B-5C20-4CA5-9F4D-5551AEF75E8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5724-4B57-8967-9F197BB52617}"/>
                </c:ext>
              </c:extLst>
            </c:dLbl>
            <c:dLbl>
              <c:idx val="6"/>
              <c:tx>
                <c:rich>
                  <a:bodyPr/>
                  <a:lstStyle/>
                  <a:p>
                    <a:fld id="{685F9EFE-B1E5-486C-8F7B-96A37BC430D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724-4B57-8967-9F197BB52617}"/>
                </c:ext>
              </c:extLst>
            </c:dLbl>
            <c:dLbl>
              <c:idx val="7"/>
              <c:tx>
                <c:rich>
                  <a:bodyPr/>
                  <a:lstStyle/>
                  <a:p>
                    <a:fld id="{825AD358-19FE-4E90-85F2-F1DEA1D5401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5724-4B57-8967-9F197BB52617}"/>
                </c:ext>
              </c:extLst>
            </c:dLbl>
            <c:dLbl>
              <c:idx val="8"/>
              <c:tx>
                <c:rich>
                  <a:bodyPr/>
                  <a:lstStyle/>
                  <a:p>
                    <a:fld id="{E544F786-B0BA-43FD-B195-29C9B3674ED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5724-4B57-8967-9F197BB52617}"/>
                </c:ext>
              </c:extLst>
            </c:dLbl>
            <c:dLbl>
              <c:idx val="9"/>
              <c:tx>
                <c:rich>
                  <a:bodyPr/>
                  <a:lstStyle/>
                  <a:p>
                    <a:fld id="{BD240AC6-E145-43FB-BB76-D4E3C59A5FE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5724-4B57-8967-9F197BB52617}"/>
                </c:ext>
              </c:extLst>
            </c:dLbl>
            <c:dLbl>
              <c:idx val="10"/>
              <c:tx>
                <c:rich>
                  <a:bodyPr/>
                  <a:lstStyle/>
                  <a:p>
                    <a:fld id="{B2408C50-1F2A-46A2-B8E6-7D904FDF0D9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5724-4B57-8967-9F197BB52617}"/>
                </c:ext>
              </c:extLst>
            </c:dLbl>
            <c:dLbl>
              <c:idx val="11"/>
              <c:tx>
                <c:rich>
                  <a:bodyPr/>
                  <a:lstStyle/>
                  <a:p>
                    <a:fld id="{30097EB7-3B0E-4C0E-91FE-8F998ADADDA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5724-4B57-8967-9F197BB52617}"/>
                </c:ext>
              </c:extLst>
            </c:dLbl>
            <c:dLbl>
              <c:idx val="12"/>
              <c:tx>
                <c:rich>
                  <a:bodyPr/>
                  <a:lstStyle/>
                  <a:p>
                    <a:fld id="{050E8D40-AD84-49AB-A23A-65D96650790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5724-4B57-8967-9F197BB52617}"/>
                </c:ext>
              </c:extLst>
            </c:dLbl>
            <c:dLbl>
              <c:idx val="13"/>
              <c:tx>
                <c:rich>
                  <a:bodyPr/>
                  <a:lstStyle/>
                  <a:p>
                    <a:fld id="{E431F74D-2FA6-4ADC-9A63-EE2204566EC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5724-4B57-8967-9F197BB52617}"/>
                </c:ext>
              </c:extLst>
            </c:dLbl>
            <c:dLbl>
              <c:idx val="14"/>
              <c:tx>
                <c:rich>
                  <a:bodyPr/>
                  <a:lstStyle/>
                  <a:p>
                    <a:fld id="{ADA5CA5A-46AC-421C-B993-E145C48CB7E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5724-4B57-8967-9F197BB52617}"/>
                </c:ext>
              </c:extLst>
            </c:dLbl>
            <c:dLbl>
              <c:idx val="15"/>
              <c:tx>
                <c:rich>
                  <a:bodyPr/>
                  <a:lstStyle/>
                  <a:p>
                    <a:fld id="{B5D7F78E-E3DC-4530-8B0F-CC901966F80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5724-4B57-8967-9F197BB52617}"/>
                </c:ext>
              </c:extLst>
            </c:dLbl>
            <c:dLbl>
              <c:idx val="16"/>
              <c:tx>
                <c:rich>
                  <a:bodyPr/>
                  <a:lstStyle/>
                  <a:p>
                    <a:fld id="{19A57E6D-8B00-4ED4-94E8-22AF0580EA6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5724-4B57-8967-9F197BB52617}"/>
                </c:ext>
              </c:extLst>
            </c:dLbl>
            <c:dLbl>
              <c:idx val="17"/>
              <c:tx>
                <c:rich>
                  <a:bodyPr/>
                  <a:lstStyle/>
                  <a:p>
                    <a:fld id="{49E8F03B-7CED-4699-8AA1-ADCDD6DCE8B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5724-4B57-8967-9F197BB52617}"/>
                </c:ext>
              </c:extLst>
            </c:dLbl>
            <c:dLbl>
              <c:idx val="18"/>
              <c:tx>
                <c:rich>
                  <a:bodyPr/>
                  <a:lstStyle/>
                  <a:p>
                    <a:fld id="{E34781BC-A05B-48D7-9A5E-F33A9257C12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5724-4B57-8967-9F197BB52617}"/>
                </c:ext>
              </c:extLst>
            </c:dLbl>
            <c:dLbl>
              <c:idx val="19"/>
              <c:tx>
                <c:rich>
                  <a:bodyPr/>
                  <a:lstStyle/>
                  <a:p>
                    <a:fld id="{13D87663-CCBD-4F57-9C8E-1BF257E470C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5724-4B57-8967-9F197BB52617}"/>
                </c:ext>
              </c:extLst>
            </c:dLbl>
            <c:dLbl>
              <c:idx val="20"/>
              <c:tx>
                <c:rich>
                  <a:bodyPr/>
                  <a:lstStyle/>
                  <a:p>
                    <a:fld id="{1B6F8755-9C4F-4243-A0E2-1B0C78C5B14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5724-4B57-8967-9F197BB52617}"/>
                </c:ext>
              </c:extLst>
            </c:dLbl>
            <c:dLbl>
              <c:idx val="21"/>
              <c:tx>
                <c:rich>
                  <a:bodyPr/>
                  <a:lstStyle/>
                  <a:p>
                    <a:fld id="{EBDBFA72-39A3-41DA-BDFB-8402E38DA44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5724-4B57-8967-9F197BB52617}"/>
                </c:ext>
              </c:extLst>
            </c:dLbl>
            <c:dLbl>
              <c:idx val="22"/>
              <c:tx>
                <c:rich>
                  <a:bodyPr/>
                  <a:lstStyle/>
                  <a:p>
                    <a:fld id="{67AB576B-55F8-41CE-849D-5C790C4CE49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5724-4B57-8967-9F197BB52617}"/>
                </c:ext>
              </c:extLst>
            </c:dLbl>
            <c:dLbl>
              <c:idx val="23"/>
              <c:tx>
                <c:rich>
                  <a:bodyPr/>
                  <a:lstStyle/>
                  <a:p>
                    <a:fld id="{58F9AB74-AAD7-4B8F-9B03-9457C300FE4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5724-4B57-8967-9F197BB52617}"/>
                </c:ext>
              </c:extLst>
            </c:dLbl>
            <c:dLbl>
              <c:idx val="24"/>
              <c:tx>
                <c:rich>
                  <a:bodyPr/>
                  <a:lstStyle/>
                  <a:p>
                    <a:fld id="{A4C13D56-CCA6-4ACF-AB78-F57C14F9033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724-4B57-8967-9F197BB52617}"/>
                </c:ext>
              </c:extLst>
            </c:dLbl>
            <c:dLbl>
              <c:idx val="25"/>
              <c:tx>
                <c:rich>
                  <a:bodyPr/>
                  <a:lstStyle/>
                  <a:p>
                    <a:fld id="{9B12D320-5F74-45CB-9174-FBBF27B8D73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5724-4B57-8967-9F197BB52617}"/>
                </c:ext>
              </c:extLst>
            </c:dLbl>
            <c:dLbl>
              <c:idx val="26"/>
              <c:tx>
                <c:rich>
                  <a:bodyPr/>
                  <a:lstStyle/>
                  <a:p>
                    <a:fld id="{11769C65-ED15-4F94-AF8B-B50346F4D23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5724-4B57-8967-9F197BB52617}"/>
                </c:ext>
              </c:extLst>
            </c:dLbl>
            <c:dLbl>
              <c:idx val="27"/>
              <c:tx>
                <c:rich>
                  <a:bodyPr/>
                  <a:lstStyle/>
                  <a:p>
                    <a:fld id="{1B8800D3-C324-4257-BCC7-AAC33D8306B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5724-4B57-8967-9F197BB52617}"/>
                </c:ext>
              </c:extLst>
            </c:dLbl>
            <c:dLbl>
              <c:idx val="28"/>
              <c:tx>
                <c:rich>
                  <a:bodyPr/>
                  <a:lstStyle/>
                  <a:p>
                    <a:fld id="{434E1389-4AB4-4A1E-A8C5-E4E3C917598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5724-4B57-8967-9F197BB52617}"/>
                </c:ext>
              </c:extLst>
            </c:dLbl>
            <c:dLbl>
              <c:idx val="29"/>
              <c:tx>
                <c:rich>
                  <a:bodyPr/>
                  <a:lstStyle/>
                  <a:p>
                    <a:fld id="{CC9D44BA-090F-4919-A4E5-2243B3F20A9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5724-4B57-8967-9F197BB52617}"/>
                </c:ext>
              </c:extLst>
            </c:dLbl>
            <c:dLbl>
              <c:idx val="30"/>
              <c:tx>
                <c:rich>
                  <a:bodyPr/>
                  <a:lstStyle/>
                  <a:p>
                    <a:fld id="{E99BD351-8F4F-4337-B0C0-CBAA81377D7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5724-4B57-8967-9F197BB52617}"/>
                </c:ext>
              </c:extLst>
            </c:dLbl>
            <c:dLbl>
              <c:idx val="31"/>
              <c:tx>
                <c:rich>
                  <a:bodyPr/>
                  <a:lstStyle/>
                  <a:p>
                    <a:fld id="{C08B4458-E8B4-4E8E-8620-439A447CEE3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5724-4B57-8967-9F197BB52617}"/>
                </c:ext>
              </c:extLst>
            </c:dLbl>
            <c:dLbl>
              <c:idx val="32"/>
              <c:tx>
                <c:rich>
                  <a:bodyPr/>
                  <a:lstStyle/>
                  <a:p>
                    <a:fld id="{075B06FC-AAC1-4F87-99E7-88CEE21FC3D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5724-4B57-8967-9F197BB52617}"/>
                </c:ext>
              </c:extLst>
            </c:dLbl>
            <c:dLbl>
              <c:idx val="33"/>
              <c:tx>
                <c:rich>
                  <a:bodyPr/>
                  <a:lstStyle/>
                  <a:p>
                    <a:fld id="{FD2379C4-C344-4E34-A3AE-F79161AA892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5724-4B57-8967-9F197BB52617}"/>
                </c:ext>
              </c:extLst>
            </c:dLbl>
            <c:dLbl>
              <c:idx val="34"/>
              <c:tx>
                <c:rich>
                  <a:bodyPr/>
                  <a:lstStyle/>
                  <a:p>
                    <a:fld id="{F9CE93E0-24DA-4EAA-8A63-C8FBE448F1A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5724-4B57-8967-9F197BB52617}"/>
                </c:ext>
              </c:extLst>
            </c:dLbl>
            <c:dLbl>
              <c:idx val="35"/>
              <c:tx>
                <c:rich>
                  <a:bodyPr/>
                  <a:lstStyle/>
                  <a:p>
                    <a:fld id="{38E90A09-CF61-420A-B785-0593E1A3E4D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5724-4B57-8967-9F197BB52617}"/>
                </c:ext>
              </c:extLst>
            </c:dLbl>
            <c:dLbl>
              <c:idx val="36"/>
              <c:tx>
                <c:rich>
                  <a:bodyPr/>
                  <a:lstStyle/>
                  <a:p>
                    <a:fld id="{F1078B05-0072-46FD-919A-E6598D69EC5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5724-4B57-8967-9F197BB52617}"/>
                </c:ext>
              </c:extLst>
            </c:dLbl>
            <c:dLbl>
              <c:idx val="37"/>
              <c:tx>
                <c:rich>
                  <a:bodyPr/>
                  <a:lstStyle/>
                  <a:p>
                    <a:fld id="{49E34DF7-E348-48EF-A8D7-920D8DF247A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5724-4B57-8967-9F197BB52617}"/>
                </c:ext>
              </c:extLst>
            </c:dLbl>
            <c:dLbl>
              <c:idx val="38"/>
              <c:tx>
                <c:rich>
                  <a:bodyPr/>
                  <a:lstStyle/>
                  <a:p>
                    <a:fld id="{B4832666-4619-4BEE-94FD-E3ABC45A9E9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5724-4B57-8967-9F197BB52617}"/>
                </c:ext>
              </c:extLst>
            </c:dLbl>
            <c:dLbl>
              <c:idx val="39"/>
              <c:tx>
                <c:rich>
                  <a:bodyPr/>
                  <a:lstStyle/>
                  <a:p>
                    <a:fld id="{C113AD28-9143-4AC5-88B1-30B9C2CDD0C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5724-4B57-8967-9F197BB52617}"/>
                </c:ext>
              </c:extLst>
            </c:dLbl>
            <c:dLbl>
              <c:idx val="40"/>
              <c:tx>
                <c:rich>
                  <a:bodyPr/>
                  <a:lstStyle/>
                  <a:p>
                    <a:fld id="{7271BC57-985B-4368-BB42-EB2C3358DAE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5724-4B57-8967-9F197BB52617}"/>
                </c:ext>
              </c:extLst>
            </c:dLbl>
            <c:dLbl>
              <c:idx val="41"/>
              <c:tx>
                <c:rich>
                  <a:bodyPr/>
                  <a:lstStyle/>
                  <a:p>
                    <a:fld id="{3058013C-F092-4816-9942-BFBCD7A8671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5724-4B57-8967-9F197BB52617}"/>
                </c:ext>
              </c:extLst>
            </c:dLbl>
            <c:dLbl>
              <c:idx val="42"/>
              <c:tx>
                <c:rich>
                  <a:bodyPr/>
                  <a:lstStyle/>
                  <a:p>
                    <a:fld id="{E38E6CA9-BB41-40E8-A5E7-69E5C9666CB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5724-4B57-8967-9F197BB52617}"/>
                </c:ext>
              </c:extLst>
            </c:dLbl>
            <c:dLbl>
              <c:idx val="43"/>
              <c:tx>
                <c:rich>
                  <a:bodyPr/>
                  <a:lstStyle/>
                  <a:p>
                    <a:fld id="{C0914E5E-508B-4974-90A3-B3CA03793DC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5724-4B57-8967-9F197BB52617}"/>
                </c:ext>
              </c:extLst>
            </c:dLbl>
            <c:dLbl>
              <c:idx val="44"/>
              <c:tx>
                <c:rich>
                  <a:bodyPr/>
                  <a:lstStyle/>
                  <a:p>
                    <a:fld id="{31B8714D-F191-4A89-B076-08D8C62D0F4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5724-4B57-8967-9F197BB52617}"/>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graf'!$H$32:$H$76</c:f>
              <c:numCache>
                <c:formatCode>General</c:formatCode>
                <c:ptCount val="4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pt idx="32">
                  <c:v>70</c:v>
                </c:pt>
                <c:pt idx="33">
                  <c:v>70</c:v>
                </c:pt>
                <c:pt idx="34">
                  <c:v>70</c:v>
                </c:pt>
                <c:pt idx="35">
                  <c:v>70</c:v>
                </c:pt>
                <c:pt idx="36">
                  <c:v>70</c:v>
                </c:pt>
                <c:pt idx="37">
                  <c:v>70</c:v>
                </c:pt>
                <c:pt idx="38">
                  <c:v>70</c:v>
                </c:pt>
                <c:pt idx="39">
                  <c:v>70</c:v>
                </c:pt>
                <c:pt idx="40">
                  <c:v>70</c:v>
                </c:pt>
                <c:pt idx="41">
                  <c:v>70</c:v>
                </c:pt>
                <c:pt idx="42">
                  <c:v>70</c:v>
                </c:pt>
                <c:pt idx="43">
                  <c:v>70</c:v>
                </c:pt>
                <c:pt idx="44">
                  <c:v>70</c:v>
                </c:pt>
              </c:numCache>
            </c:numRef>
          </c:val>
          <c:smooth val="0"/>
          <c:extLst>
            <c:ext xmlns:c15="http://schemas.microsoft.com/office/drawing/2012/chart" uri="{02D57815-91ED-43cb-92C2-25804820EDAC}">
              <c15:datalabelsRange>
                <c15:f>'Prerađivačka_6 graf'!$B$32:$B$76</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2-5724-4B57-8967-9F197BB52617}"/>
            </c:ext>
          </c:extLst>
        </c:ser>
        <c:ser>
          <c:idx val="0"/>
          <c:order val="2"/>
          <c:tx>
            <c:strRef>
              <c:f>'Prerađivačka_6 graf'!$I$7</c:f>
              <c:strCache>
                <c:ptCount val="1"/>
                <c:pt idx="0">
                  <c:v>y</c:v>
                </c:pt>
              </c:strCache>
            </c:strRef>
          </c:tx>
          <c:spPr>
            <a:ln w="12700" cap="rnd">
              <a:solidFill>
                <a:srgbClr val="7F3F98"/>
              </a:solidFill>
              <a:prstDash val="sysDash"/>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graf'!$I$32:$I$76</c:f>
              <c:numCache>
                <c:formatCode>0.0</c:formatCode>
                <c:ptCount val="45"/>
                <c:pt idx="0">
                  <c:v>77.790721578839154</c:v>
                </c:pt>
                <c:pt idx="1">
                  <c:v>84.286986911532907</c:v>
                </c:pt>
                <c:pt idx="2">
                  <c:v>90.865483450969634</c:v>
                </c:pt>
                <c:pt idx="3">
                  <c:v>89.138628109367502</c:v>
                </c:pt>
                <c:pt idx="4">
                  <c:v>97.608442403892269</c:v>
                </c:pt>
                <c:pt idx="5">
                  <c:v>94.07250051394503</c:v>
                </c:pt>
                <c:pt idx="6">
                  <c:v>100.23984101966697</c:v>
                </c:pt>
                <c:pt idx="7">
                  <c:v>90.947714657712581</c:v>
                </c:pt>
                <c:pt idx="8">
                  <c:v>101.5555403275543</c:v>
                </c:pt>
                <c:pt idx="9">
                  <c:v>108.54519290070581</c:v>
                </c:pt>
                <c:pt idx="10">
                  <c:v>103.28239566915643</c:v>
                </c:pt>
                <c:pt idx="11">
                  <c:v>97.526211197149308</c:v>
                </c:pt>
                <c:pt idx="12">
                  <c:v>83.546906050846275</c:v>
                </c:pt>
                <c:pt idx="13">
                  <c:v>91.358870691427384</c:v>
                </c:pt>
                <c:pt idx="14">
                  <c:v>93.167957239772477</c:v>
                </c:pt>
                <c:pt idx="15">
                  <c:v>71.212225039402441</c:v>
                </c:pt>
                <c:pt idx="16">
                  <c:v>88.480778455423817</c:v>
                </c:pt>
                <c:pt idx="17">
                  <c:v>98.67744809155073</c:v>
                </c:pt>
                <c:pt idx="18">
                  <c:v>99.746453779209205</c:v>
                </c:pt>
                <c:pt idx="19">
                  <c:v>94.401425340916873</c:v>
                </c:pt>
                <c:pt idx="20">
                  <c:v>106.16048790516</c:v>
                </c:pt>
                <c:pt idx="21">
                  <c:v>107.9695744535051</c:v>
                </c:pt>
                <c:pt idx="22">
                  <c:v>99.581991365723283</c:v>
                </c:pt>
                <c:pt idx="23">
                  <c:v>102.87123963544163</c:v>
                </c:pt>
                <c:pt idx="24">
                  <c:v>83.06451612903227</c:v>
                </c:pt>
                <c:pt idx="25">
                  <c:v>92.164544564152791</c:v>
                </c:pt>
                <c:pt idx="26">
                  <c:v>100.00000000000001</c:v>
                </c:pt>
                <c:pt idx="27">
                  <c:v>100.70070070070068</c:v>
                </c:pt>
                <c:pt idx="28">
                  <c:v>96.582733812949641</c:v>
                </c:pt>
                <c:pt idx="29">
                  <c:v>104.74806201550386</c:v>
                </c:pt>
                <c:pt idx="30">
                  <c:v>101.44927536231884</c:v>
                </c:pt>
                <c:pt idx="31">
                  <c:v>95.853899308983216</c:v>
                </c:pt>
                <c:pt idx="32">
                  <c:v>104.32595573440645</c:v>
                </c:pt>
                <c:pt idx="33">
                  <c:v>107.88734324676213</c:v>
                </c:pt>
                <c:pt idx="34">
                  <c:v>106.07825669841704</c:v>
                </c:pt>
                <c:pt idx="35">
                  <c:v>105.42040704447335</c:v>
                </c:pt>
                <c:pt idx="36">
                  <c:v>82.8</c:v>
                </c:pt>
                <c:pt idx="37">
                  <c:v>94</c:v>
                </c:pt>
                <c:pt idx="38">
                  <c:v>109.9</c:v>
                </c:pt>
                <c:pt idx="39">
                  <c:v>100.7</c:v>
                </c:pt>
                <c:pt idx="40">
                  <c:v>107.5</c:v>
                </c:pt>
                <c:pt idx="41">
                  <c:v>107.9</c:v>
                </c:pt>
                <c:pt idx="42">
                  <c:v>97.7</c:v>
                </c:pt>
                <c:pt idx="43">
                  <c:v>97.3</c:v>
                </c:pt>
                <c:pt idx="44">
                  <c:v>103.7</c:v>
                </c:pt>
              </c:numCache>
            </c:numRef>
          </c:val>
          <c:smooth val="0"/>
          <c:extLst>
            <c:ext xmlns:c16="http://schemas.microsoft.com/office/drawing/2014/chart" uri="{C3380CC4-5D6E-409C-BE32-E72D297353CC}">
              <c16:uniqueId val="{00000033-5724-4B57-8967-9F197BB52617}"/>
            </c:ext>
          </c:extLst>
        </c:ser>
        <c:ser>
          <c:idx val="1"/>
          <c:order val="3"/>
          <c:tx>
            <c:strRef>
              <c:f>'Prerađivačka_6 graf'!$J$7</c:f>
              <c:strCache>
                <c:ptCount val="1"/>
                <c:pt idx="0">
                  <c:v>sa</c:v>
                </c:pt>
              </c:strCache>
            </c:strRef>
          </c:tx>
          <c:spPr>
            <a:ln w="22225" cap="rnd">
              <a:solidFill>
                <a:srgbClr val="25AAE1"/>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graf'!$J$32:$J$76</c:f>
              <c:numCache>
                <c:formatCode>0.0</c:formatCode>
                <c:ptCount val="45"/>
                <c:pt idx="0">
                  <c:v>92.997742622613984</c:v>
                </c:pt>
                <c:pt idx="1">
                  <c:v>93.733178705763834</c:v>
                </c:pt>
                <c:pt idx="2">
                  <c:v>91.56607169925266</c:v>
                </c:pt>
                <c:pt idx="3">
                  <c:v>92.264994492128849</c:v>
                </c:pt>
                <c:pt idx="4">
                  <c:v>94.591337477489859</c:v>
                </c:pt>
                <c:pt idx="5">
                  <c:v>90.983615266761291</c:v>
                </c:pt>
                <c:pt idx="6">
                  <c:v>97.989443596184444</c:v>
                </c:pt>
                <c:pt idx="7">
                  <c:v>94.369975918063275</c:v>
                </c:pt>
                <c:pt idx="8">
                  <c:v>97.552973859527128</c:v>
                </c:pt>
                <c:pt idx="9">
                  <c:v>96.934181408851941</c:v>
                </c:pt>
                <c:pt idx="10">
                  <c:v>98.26637867937032</c:v>
                </c:pt>
                <c:pt idx="11">
                  <c:v>97.807581927548455</c:v>
                </c:pt>
                <c:pt idx="12">
                  <c:v>99.318438775006584</c:v>
                </c:pt>
                <c:pt idx="13">
                  <c:v>96.430194722708734</c:v>
                </c:pt>
                <c:pt idx="14">
                  <c:v>94.329437048082696</c:v>
                </c:pt>
                <c:pt idx="15">
                  <c:v>71.81369203079251</c:v>
                </c:pt>
                <c:pt idx="16">
                  <c:v>86.976424783072417</c:v>
                </c:pt>
                <c:pt idx="17">
                  <c:v>94.775873030747334</c:v>
                </c:pt>
                <c:pt idx="18">
                  <c:v>96.812143184660272</c:v>
                </c:pt>
                <c:pt idx="19">
                  <c:v>99.4661556211868</c:v>
                </c:pt>
                <c:pt idx="20">
                  <c:v>99.618885028408357</c:v>
                </c:pt>
                <c:pt idx="21">
                  <c:v>98.43537517501872</c:v>
                </c:pt>
                <c:pt idx="22">
                  <c:v>97.167682752711343</c:v>
                </c:pt>
                <c:pt idx="23">
                  <c:v>99.475387755453028</c:v>
                </c:pt>
                <c:pt idx="24">
                  <c:v>100.27211416993497</c:v>
                </c:pt>
                <c:pt idx="25">
                  <c:v>100.69659466037875</c:v>
                </c:pt>
                <c:pt idx="26">
                  <c:v>98.639029411751366</c:v>
                </c:pt>
                <c:pt idx="27">
                  <c:v>102.99770807858832</c:v>
                </c:pt>
                <c:pt idx="28">
                  <c:v>92.584219009916808</c:v>
                </c:pt>
                <c:pt idx="29">
                  <c:v>99.109627485331629</c:v>
                </c:pt>
                <c:pt idx="30">
                  <c:v>100.88965322578527</c:v>
                </c:pt>
                <c:pt idx="31">
                  <c:v>100.69930969802003</c:v>
                </c:pt>
                <c:pt idx="32">
                  <c:v>97.741247577162994</c:v>
                </c:pt>
                <c:pt idx="33">
                  <c:v>100.03905989051475</c:v>
                </c:pt>
                <c:pt idx="34">
                  <c:v>101.24812503151419</c:v>
                </c:pt>
                <c:pt idx="35">
                  <c:v>101.10484615363559</c:v>
                </c:pt>
                <c:pt idx="36">
                  <c:v>97.978209270096528</c:v>
                </c:pt>
                <c:pt idx="37">
                  <c:v>104.09574092957108</c:v>
                </c:pt>
                <c:pt idx="38">
                  <c:v>107.59699465787656</c:v>
                </c:pt>
                <c:pt idx="39">
                  <c:v>103.1900519666126</c:v>
                </c:pt>
                <c:pt idx="40">
                  <c:v>104.31372000959166</c:v>
                </c:pt>
                <c:pt idx="41">
                  <c:v>101.67603466276076</c:v>
                </c:pt>
                <c:pt idx="42">
                  <c:v>98.678380386615132</c:v>
                </c:pt>
                <c:pt idx="43">
                  <c:v>99.231302618750618</c:v>
                </c:pt>
                <c:pt idx="44">
                  <c:v>99.260950397976984</c:v>
                </c:pt>
              </c:numCache>
            </c:numRef>
          </c:val>
          <c:smooth val="0"/>
          <c:extLst>
            <c:ext xmlns:c16="http://schemas.microsoft.com/office/drawing/2014/chart" uri="{C3380CC4-5D6E-409C-BE32-E72D297353CC}">
              <c16:uniqueId val="{00000034-5724-4B57-8967-9F197BB52617}"/>
            </c:ext>
          </c:extLst>
        </c:ser>
        <c:ser>
          <c:idx val="2"/>
          <c:order val="4"/>
          <c:tx>
            <c:strRef>
              <c:f>'Prerađivačka_6 graf'!$K$7</c:f>
              <c:strCache>
                <c:ptCount val="1"/>
                <c:pt idx="0">
                  <c:v>t</c:v>
                </c:pt>
              </c:strCache>
            </c:strRef>
          </c:tx>
          <c:spPr>
            <a:ln w="25400" cap="rnd">
              <a:solidFill>
                <a:srgbClr val="FF0000"/>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graf'!$K$32:$K$76</c:f>
              <c:numCache>
                <c:formatCode>0.0</c:formatCode>
                <c:ptCount val="45"/>
                <c:pt idx="0">
                  <c:v>92.971177098227514</c:v>
                </c:pt>
                <c:pt idx="1">
                  <c:v>92.599647955296021</c:v>
                </c:pt>
                <c:pt idx="2">
                  <c:v>92.656803237165903</c:v>
                </c:pt>
                <c:pt idx="3">
                  <c:v>93.12009534409583</c:v>
                </c:pt>
                <c:pt idx="4">
                  <c:v>93.788157790426837</c:v>
                </c:pt>
                <c:pt idx="5">
                  <c:v>94.551272353230502</c:v>
                </c:pt>
                <c:pt idx="6">
                  <c:v>95.314372712455992</c:v>
                </c:pt>
                <c:pt idx="7">
                  <c:v>96.102976075290726</c:v>
                </c:pt>
                <c:pt idx="8">
                  <c:v>96.868868360369675</c:v>
                </c:pt>
                <c:pt idx="9">
                  <c:v>97.507177497196551</c:v>
                </c:pt>
                <c:pt idx="10">
                  <c:v>97.904846456658802</c:v>
                </c:pt>
                <c:pt idx="11">
                  <c:v>97.897273247905204</c:v>
                </c:pt>
                <c:pt idx="12">
                  <c:v>97.380322020780156</c:v>
                </c:pt>
                <c:pt idx="13">
                  <c:v>96.462565295950256</c:v>
                </c:pt>
                <c:pt idx="14">
                  <c:v>95.481206665364653</c:v>
                </c:pt>
                <c:pt idx="15">
                  <c:v>94.926120062586833</c:v>
                </c:pt>
                <c:pt idx="16">
                  <c:v>95.046929635429251</c:v>
                </c:pt>
                <c:pt idx="17">
                  <c:v>95.7910550361334</c:v>
                </c:pt>
                <c:pt idx="18">
                  <c:v>96.822661817034756</c:v>
                </c:pt>
                <c:pt idx="19">
                  <c:v>97.780143137333525</c:v>
                </c:pt>
                <c:pt idx="20">
                  <c:v>98.465270053689324</c:v>
                </c:pt>
                <c:pt idx="21">
                  <c:v>98.870473035672305</c:v>
                </c:pt>
                <c:pt idx="22">
                  <c:v>99.118349843530225</c:v>
                </c:pt>
                <c:pt idx="23">
                  <c:v>99.316833110653491</c:v>
                </c:pt>
                <c:pt idx="24">
                  <c:v>99.500989482094639</c:v>
                </c:pt>
                <c:pt idx="25">
                  <c:v>99.670486941791708</c:v>
                </c:pt>
                <c:pt idx="26">
                  <c:v>99.820358382259727</c:v>
                </c:pt>
                <c:pt idx="27">
                  <c:v>99.8526944135034</c:v>
                </c:pt>
                <c:pt idx="28">
                  <c:v>99.7626997955402</c:v>
                </c:pt>
                <c:pt idx="29">
                  <c:v>99.665254878296139</c:v>
                </c:pt>
                <c:pt idx="30">
                  <c:v>99.643154452047327</c:v>
                </c:pt>
                <c:pt idx="31">
                  <c:v>99.65739425204535</c:v>
                </c:pt>
                <c:pt idx="32">
                  <c:v>99.772792641257993</c:v>
                </c:pt>
                <c:pt idx="33">
                  <c:v>100.10379245227345</c:v>
                </c:pt>
                <c:pt idx="34">
                  <c:v>100.69566961989209</c:v>
                </c:pt>
                <c:pt idx="35">
                  <c:v>101.5042803425151</c:v>
                </c:pt>
                <c:pt idx="36">
                  <c:v>102.46783045494134</c:v>
                </c:pt>
                <c:pt idx="37">
                  <c:v>103.28517594121178</c:v>
                </c:pt>
                <c:pt idx="38">
                  <c:v>103.62019813266633</c:v>
                </c:pt>
                <c:pt idx="39">
                  <c:v>103.35482343168141</c:v>
                </c:pt>
                <c:pt idx="40">
                  <c:v>102.60078843654676</c:v>
                </c:pt>
                <c:pt idx="41">
                  <c:v>101.53794345772253</c:v>
                </c:pt>
                <c:pt idx="42">
                  <c:v>100.51420959794797</c:v>
                </c:pt>
                <c:pt idx="43">
                  <c:v>99.780667707602802</c:v>
                </c:pt>
                <c:pt idx="44">
                  <c:v>99.327058005630604</c:v>
                </c:pt>
              </c:numCache>
            </c:numRef>
          </c:val>
          <c:smooth val="0"/>
          <c:extLst>
            <c:ext xmlns:c16="http://schemas.microsoft.com/office/drawing/2014/chart" uri="{C3380CC4-5D6E-409C-BE32-E72D297353CC}">
              <c16:uniqueId val="{00000035-5724-4B57-8967-9F197BB52617}"/>
            </c:ext>
          </c:extLst>
        </c:ser>
        <c:dLbls>
          <c:showLegendKey val="0"/>
          <c:showVal val="0"/>
          <c:showCatName val="0"/>
          <c:showSerName val="0"/>
          <c:showPercent val="0"/>
          <c:showBubbleSize val="0"/>
        </c:dLbls>
        <c:marker val="1"/>
        <c:smooth val="0"/>
        <c:axId val="2092180112"/>
        <c:axId val="2092170320"/>
      </c:lineChart>
      <c:dateAx>
        <c:axId val="20921801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0320"/>
        <c:crosses val="autoZero"/>
        <c:auto val="1"/>
        <c:lblOffset val="0"/>
        <c:baseTimeUnit val="months"/>
        <c:majorUnit val="12"/>
        <c:majorTimeUnit val="months"/>
      </c:dateAx>
      <c:valAx>
        <c:axId val="2092170320"/>
        <c:scaling>
          <c:orientation val="minMax"/>
          <c:max val="110"/>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1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graf'!$Q$7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5.904122859158027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4C-44ED-BE2A-4AE2DBAB3A0D}"/>
                </c:ext>
              </c:extLst>
            </c:dLbl>
            <c:dLbl>
              <c:idx val="12"/>
              <c:layout>
                <c:manualLayout>
                  <c:x val="5.895121887492479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4C-44ED-BE2A-4AE2DBAB3A0D}"/>
                </c:ext>
              </c:extLst>
            </c:dLbl>
            <c:dLbl>
              <c:idx val="24"/>
              <c:layout>
                <c:manualLayout>
                  <c:x val="6.220490043341056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4C-44ED-BE2A-4AE2DBAB3A0D}"/>
                </c:ext>
              </c:extLst>
            </c:dLbl>
            <c:dLbl>
              <c:idx val="36"/>
              <c:layout>
                <c:manualLayout>
                  <c:x val="1.900591365540546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4C-44ED-BE2A-4AE2DBAB3A0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graf'!$Q$32:$Q$76</c:f>
              <c:numCache>
                <c:formatCode>General</c:formatCode>
                <c:ptCount val="45"/>
                <c:pt idx="0">
                  <c:v>0</c:v>
                </c:pt>
                <c:pt idx="12">
                  <c:v>0</c:v>
                </c:pt>
                <c:pt idx="24">
                  <c:v>0</c:v>
                </c:pt>
                <c:pt idx="36">
                  <c:v>0</c:v>
                </c:pt>
              </c:numCache>
            </c:numRef>
          </c:val>
          <c:smooth val="0"/>
          <c:extLst>
            <c:ext xmlns:c16="http://schemas.microsoft.com/office/drawing/2014/chart" uri="{C3380CC4-5D6E-409C-BE32-E72D297353CC}">
              <c16:uniqueId val="{00000004-B74C-44ED-BE2A-4AE2DBAB3A0D}"/>
            </c:ext>
          </c:extLst>
        </c:ser>
        <c:ser>
          <c:idx val="4"/>
          <c:order val="1"/>
          <c:tx>
            <c:strRef>
              <c:f>'Prerađivačka_6 graf'!$R$7</c:f>
              <c:strCache>
                <c:ptCount val="1"/>
                <c:pt idx="0">
                  <c:v>Series5</c:v>
                </c:pt>
              </c:strCache>
            </c:strRef>
          </c:tx>
          <c:spPr>
            <a:ln w="25400" cap="rnd">
              <a:noFill/>
              <a:round/>
            </a:ln>
            <a:effectLst/>
          </c:spPr>
          <c:marker>
            <c:symbol val="none"/>
          </c:marker>
          <c:dLbls>
            <c:dLbl>
              <c:idx val="0"/>
              <c:tx>
                <c:rich>
                  <a:bodyPr/>
                  <a:lstStyle/>
                  <a:p>
                    <a:fld id="{69967132-E518-43D4-93B2-C123F706B46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B74C-44ED-BE2A-4AE2DBAB3A0D}"/>
                </c:ext>
              </c:extLst>
            </c:dLbl>
            <c:dLbl>
              <c:idx val="1"/>
              <c:tx>
                <c:rich>
                  <a:bodyPr/>
                  <a:lstStyle/>
                  <a:p>
                    <a:fld id="{3D7689B4-6A63-4AC0-95F1-4B1C6F299D4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B74C-44ED-BE2A-4AE2DBAB3A0D}"/>
                </c:ext>
              </c:extLst>
            </c:dLbl>
            <c:dLbl>
              <c:idx val="2"/>
              <c:tx>
                <c:rich>
                  <a:bodyPr/>
                  <a:lstStyle/>
                  <a:p>
                    <a:fld id="{BB34EB1F-553B-4EB1-A709-CD09AA2FAA2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B74C-44ED-BE2A-4AE2DBAB3A0D}"/>
                </c:ext>
              </c:extLst>
            </c:dLbl>
            <c:dLbl>
              <c:idx val="3"/>
              <c:tx>
                <c:rich>
                  <a:bodyPr/>
                  <a:lstStyle/>
                  <a:p>
                    <a:fld id="{C298BA8B-A5B5-4E21-BC4E-423EF3BA906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B74C-44ED-BE2A-4AE2DBAB3A0D}"/>
                </c:ext>
              </c:extLst>
            </c:dLbl>
            <c:dLbl>
              <c:idx val="4"/>
              <c:tx>
                <c:rich>
                  <a:bodyPr/>
                  <a:lstStyle/>
                  <a:p>
                    <a:fld id="{93291D78-DA15-4F6B-9EB3-BEE520A7851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B74C-44ED-BE2A-4AE2DBAB3A0D}"/>
                </c:ext>
              </c:extLst>
            </c:dLbl>
            <c:dLbl>
              <c:idx val="5"/>
              <c:tx>
                <c:rich>
                  <a:bodyPr/>
                  <a:lstStyle/>
                  <a:p>
                    <a:fld id="{09461C32-B17C-4BBB-AE40-060331E212F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B74C-44ED-BE2A-4AE2DBAB3A0D}"/>
                </c:ext>
              </c:extLst>
            </c:dLbl>
            <c:dLbl>
              <c:idx val="6"/>
              <c:tx>
                <c:rich>
                  <a:bodyPr/>
                  <a:lstStyle/>
                  <a:p>
                    <a:fld id="{B1AAF434-F8DE-4423-B6C5-2CC294D37D2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B74C-44ED-BE2A-4AE2DBAB3A0D}"/>
                </c:ext>
              </c:extLst>
            </c:dLbl>
            <c:dLbl>
              <c:idx val="7"/>
              <c:tx>
                <c:rich>
                  <a:bodyPr/>
                  <a:lstStyle/>
                  <a:p>
                    <a:fld id="{C8550F65-1C0A-46B7-96F0-34381BC91C9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B74C-44ED-BE2A-4AE2DBAB3A0D}"/>
                </c:ext>
              </c:extLst>
            </c:dLbl>
            <c:dLbl>
              <c:idx val="8"/>
              <c:tx>
                <c:rich>
                  <a:bodyPr/>
                  <a:lstStyle/>
                  <a:p>
                    <a:fld id="{A6906EB7-D0D9-4E0E-8920-B5FCFD21CB6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B74C-44ED-BE2A-4AE2DBAB3A0D}"/>
                </c:ext>
              </c:extLst>
            </c:dLbl>
            <c:dLbl>
              <c:idx val="9"/>
              <c:tx>
                <c:rich>
                  <a:bodyPr/>
                  <a:lstStyle/>
                  <a:p>
                    <a:fld id="{0656BE61-605E-4003-B9D5-5E87C4A1DDF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B74C-44ED-BE2A-4AE2DBAB3A0D}"/>
                </c:ext>
              </c:extLst>
            </c:dLbl>
            <c:dLbl>
              <c:idx val="10"/>
              <c:tx>
                <c:rich>
                  <a:bodyPr/>
                  <a:lstStyle/>
                  <a:p>
                    <a:fld id="{2A869F07-4AC4-4E95-9B6A-196B12E04D8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B74C-44ED-BE2A-4AE2DBAB3A0D}"/>
                </c:ext>
              </c:extLst>
            </c:dLbl>
            <c:dLbl>
              <c:idx val="11"/>
              <c:tx>
                <c:rich>
                  <a:bodyPr/>
                  <a:lstStyle/>
                  <a:p>
                    <a:fld id="{6B05FC4B-E920-4793-864A-2E3A2F83BBB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B74C-44ED-BE2A-4AE2DBAB3A0D}"/>
                </c:ext>
              </c:extLst>
            </c:dLbl>
            <c:dLbl>
              <c:idx val="12"/>
              <c:tx>
                <c:rich>
                  <a:bodyPr/>
                  <a:lstStyle/>
                  <a:p>
                    <a:fld id="{D82E6371-5A47-406D-A684-78E806C58F2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B74C-44ED-BE2A-4AE2DBAB3A0D}"/>
                </c:ext>
              </c:extLst>
            </c:dLbl>
            <c:dLbl>
              <c:idx val="13"/>
              <c:tx>
                <c:rich>
                  <a:bodyPr/>
                  <a:lstStyle/>
                  <a:p>
                    <a:fld id="{3954E687-D022-4F16-94CF-C3864E7CE32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B74C-44ED-BE2A-4AE2DBAB3A0D}"/>
                </c:ext>
              </c:extLst>
            </c:dLbl>
            <c:dLbl>
              <c:idx val="14"/>
              <c:tx>
                <c:rich>
                  <a:bodyPr/>
                  <a:lstStyle/>
                  <a:p>
                    <a:fld id="{C69354AB-7D31-4260-A94E-2A82977DFD1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B74C-44ED-BE2A-4AE2DBAB3A0D}"/>
                </c:ext>
              </c:extLst>
            </c:dLbl>
            <c:dLbl>
              <c:idx val="15"/>
              <c:tx>
                <c:rich>
                  <a:bodyPr/>
                  <a:lstStyle/>
                  <a:p>
                    <a:fld id="{CD27B925-87AE-4DEA-9F92-6B32D49B51D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B74C-44ED-BE2A-4AE2DBAB3A0D}"/>
                </c:ext>
              </c:extLst>
            </c:dLbl>
            <c:dLbl>
              <c:idx val="16"/>
              <c:tx>
                <c:rich>
                  <a:bodyPr/>
                  <a:lstStyle/>
                  <a:p>
                    <a:fld id="{B55287F5-DE32-4193-825C-F32C9CDCD2B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B74C-44ED-BE2A-4AE2DBAB3A0D}"/>
                </c:ext>
              </c:extLst>
            </c:dLbl>
            <c:dLbl>
              <c:idx val="17"/>
              <c:tx>
                <c:rich>
                  <a:bodyPr/>
                  <a:lstStyle/>
                  <a:p>
                    <a:fld id="{954CFC42-0A31-4AC8-AC67-EE01B5EB003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B74C-44ED-BE2A-4AE2DBAB3A0D}"/>
                </c:ext>
              </c:extLst>
            </c:dLbl>
            <c:dLbl>
              <c:idx val="18"/>
              <c:tx>
                <c:rich>
                  <a:bodyPr/>
                  <a:lstStyle/>
                  <a:p>
                    <a:fld id="{F7FF53E5-FC1C-4441-B3B5-12F815CB408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B74C-44ED-BE2A-4AE2DBAB3A0D}"/>
                </c:ext>
              </c:extLst>
            </c:dLbl>
            <c:dLbl>
              <c:idx val="19"/>
              <c:tx>
                <c:rich>
                  <a:bodyPr/>
                  <a:lstStyle/>
                  <a:p>
                    <a:fld id="{8D3E00B8-B5E6-472F-A4B6-259CC187A06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B74C-44ED-BE2A-4AE2DBAB3A0D}"/>
                </c:ext>
              </c:extLst>
            </c:dLbl>
            <c:dLbl>
              <c:idx val="20"/>
              <c:tx>
                <c:rich>
                  <a:bodyPr/>
                  <a:lstStyle/>
                  <a:p>
                    <a:fld id="{A6B9FB8F-AA54-44A8-B717-740943C6DD0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B74C-44ED-BE2A-4AE2DBAB3A0D}"/>
                </c:ext>
              </c:extLst>
            </c:dLbl>
            <c:dLbl>
              <c:idx val="21"/>
              <c:tx>
                <c:rich>
                  <a:bodyPr/>
                  <a:lstStyle/>
                  <a:p>
                    <a:fld id="{28D4CC52-2E5B-4A57-8170-AB37025D6F4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B74C-44ED-BE2A-4AE2DBAB3A0D}"/>
                </c:ext>
              </c:extLst>
            </c:dLbl>
            <c:dLbl>
              <c:idx val="22"/>
              <c:tx>
                <c:rich>
                  <a:bodyPr/>
                  <a:lstStyle/>
                  <a:p>
                    <a:fld id="{0312A878-09F1-44A0-8985-119F69868C7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B74C-44ED-BE2A-4AE2DBAB3A0D}"/>
                </c:ext>
              </c:extLst>
            </c:dLbl>
            <c:dLbl>
              <c:idx val="23"/>
              <c:tx>
                <c:rich>
                  <a:bodyPr/>
                  <a:lstStyle/>
                  <a:p>
                    <a:fld id="{B890CE4E-6169-4323-8D3E-A695736CF58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B74C-44ED-BE2A-4AE2DBAB3A0D}"/>
                </c:ext>
              </c:extLst>
            </c:dLbl>
            <c:dLbl>
              <c:idx val="24"/>
              <c:tx>
                <c:rich>
                  <a:bodyPr/>
                  <a:lstStyle/>
                  <a:p>
                    <a:fld id="{F150CD31-C8C0-450F-AAEA-B70C7A69D47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B74C-44ED-BE2A-4AE2DBAB3A0D}"/>
                </c:ext>
              </c:extLst>
            </c:dLbl>
            <c:dLbl>
              <c:idx val="25"/>
              <c:tx>
                <c:rich>
                  <a:bodyPr/>
                  <a:lstStyle/>
                  <a:p>
                    <a:fld id="{E80022E4-A8E8-4AB6-B277-2ADC91DABB9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B74C-44ED-BE2A-4AE2DBAB3A0D}"/>
                </c:ext>
              </c:extLst>
            </c:dLbl>
            <c:dLbl>
              <c:idx val="26"/>
              <c:tx>
                <c:rich>
                  <a:bodyPr/>
                  <a:lstStyle/>
                  <a:p>
                    <a:fld id="{81FA4317-829D-4543-8820-CF49C28B998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B74C-44ED-BE2A-4AE2DBAB3A0D}"/>
                </c:ext>
              </c:extLst>
            </c:dLbl>
            <c:dLbl>
              <c:idx val="27"/>
              <c:tx>
                <c:rich>
                  <a:bodyPr/>
                  <a:lstStyle/>
                  <a:p>
                    <a:fld id="{F983BE5A-3B99-49CF-BBAE-ADEC5EC60F2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B74C-44ED-BE2A-4AE2DBAB3A0D}"/>
                </c:ext>
              </c:extLst>
            </c:dLbl>
            <c:dLbl>
              <c:idx val="28"/>
              <c:tx>
                <c:rich>
                  <a:bodyPr/>
                  <a:lstStyle/>
                  <a:p>
                    <a:fld id="{216447A8-00D2-42EB-AA7C-E252FEE78C4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B74C-44ED-BE2A-4AE2DBAB3A0D}"/>
                </c:ext>
              </c:extLst>
            </c:dLbl>
            <c:dLbl>
              <c:idx val="29"/>
              <c:tx>
                <c:rich>
                  <a:bodyPr/>
                  <a:lstStyle/>
                  <a:p>
                    <a:fld id="{4723C35A-377E-405B-A525-8FC61F0E263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B74C-44ED-BE2A-4AE2DBAB3A0D}"/>
                </c:ext>
              </c:extLst>
            </c:dLbl>
            <c:dLbl>
              <c:idx val="30"/>
              <c:tx>
                <c:rich>
                  <a:bodyPr/>
                  <a:lstStyle/>
                  <a:p>
                    <a:fld id="{77271D63-A035-41DE-A508-24B3DD8769A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B74C-44ED-BE2A-4AE2DBAB3A0D}"/>
                </c:ext>
              </c:extLst>
            </c:dLbl>
            <c:dLbl>
              <c:idx val="31"/>
              <c:tx>
                <c:rich>
                  <a:bodyPr/>
                  <a:lstStyle/>
                  <a:p>
                    <a:fld id="{68E195D4-E21A-4E37-981E-32166A075DB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B74C-44ED-BE2A-4AE2DBAB3A0D}"/>
                </c:ext>
              </c:extLst>
            </c:dLbl>
            <c:dLbl>
              <c:idx val="32"/>
              <c:tx>
                <c:rich>
                  <a:bodyPr/>
                  <a:lstStyle/>
                  <a:p>
                    <a:fld id="{203A4725-01C0-49A5-B820-1558ACCFB83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B74C-44ED-BE2A-4AE2DBAB3A0D}"/>
                </c:ext>
              </c:extLst>
            </c:dLbl>
            <c:dLbl>
              <c:idx val="33"/>
              <c:tx>
                <c:rich>
                  <a:bodyPr/>
                  <a:lstStyle/>
                  <a:p>
                    <a:fld id="{675C1F9C-FFE4-4CF2-8F04-AE6CD080A21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B74C-44ED-BE2A-4AE2DBAB3A0D}"/>
                </c:ext>
              </c:extLst>
            </c:dLbl>
            <c:dLbl>
              <c:idx val="34"/>
              <c:tx>
                <c:rich>
                  <a:bodyPr/>
                  <a:lstStyle/>
                  <a:p>
                    <a:fld id="{C21880EA-86E2-4F14-ACE9-ED4233F65D3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B74C-44ED-BE2A-4AE2DBAB3A0D}"/>
                </c:ext>
              </c:extLst>
            </c:dLbl>
            <c:dLbl>
              <c:idx val="35"/>
              <c:tx>
                <c:rich>
                  <a:bodyPr/>
                  <a:lstStyle/>
                  <a:p>
                    <a:fld id="{39076437-5BDC-4895-BD60-86F6112E4E6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B74C-44ED-BE2A-4AE2DBAB3A0D}"/>
                </c:ext>
              </c:extLst>
            </c:dLbl>
            <c:dLbl>
              <c:idx val="36"/>
              <c:tx>
                <c:rich>
                  <a:bodyPr/>
                  <a:lstStyle/>
                  <a:p>
                    <a:fld id="{05C5E130-DBEA-4C1C-9061-141F0CCBD99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B74C-44ED-BE2A-4AE2DBAB3A0D}"/>
                </c:ext>
              </c:extLst>
            </c:dLbl>
            <c:dLbl>
              <c:idx val="37"/>
              <c:tx>
                <c:rich>
                  <a:bodyPr/>
                  <a:lstStyle/>
                  <a:p>
                    <a:fld id="{C7DF2656-BCD9-4C11-AAF4-8FCECE9B825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B74C-44ED-BE2A-4AE2DBAB3A0D}"/>
                </c:ext>
              </c:extLst>
            </c:dLbl>
            <c:dLbl>
              <c:idx val="38"/>
              <c:tx>
                <c:rich>
                  <a:bodyPr/>
                  <a:lstStyle/>
                  <a:p>
                    <a:fld id="{E5D10885-C84B-4222-99C9-AC66E381D1D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B74C-44ED-BE2A-4AE2DBAB3A0D}"/>
                </c:ext>
              </c:extLst>
            </c:dLbl>
            <c:dLbl>
              <c:idx val="39"/>
              <c:tx>
                <c:rich>
                  <a:bodyPr/>
                  <a:lstStyle/>
                  <a:p>
                    <a:fld id="{269117C1-9FEA-4CDD-8A00-4F357BCAC19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B74C-44ED-BE2A-4AE2DBAB3A0D}"/>
                </c:ext>
              </c:extLst>
            </c:dLbl>
            <c:dLbl>
              <c:idx val="40"/>
              <c:tx>
                <c:rich>
                  <a:bodyPr/>
                  <a:lstStyle/>
                  <a:p>
                    <a:fld id="{32A67A04-D5B8-4651-9078-79FD357D5AE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B74C-44ED-BE2A-4AE2DBAB3A0D}"/>
                </c:ext>
              </c:extLst>
            </c:dLbl>
            <c:dLbl>
              <c:idx val="41"/>
              <c:tx>
                <c:rich>
                  <a:bodyPr/>
                  <a:lstStyle/>
                  <a:p>
                    <a:fld id="{52173F14-47A0-481F-96B0-491FEFEEF59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B74C-44ED-BE2A-4AE2DBAB3A0D}"/>
                </c:ext>
              </c:extLst>
            </c:dLbl>
            <c:dLbl>
              <c:idx val="42"/>
              <c:tx>
                <c:rich>
                  <a:bodyPr/>
                  <a:lstStyle/>
                  <a:p>
                    <a:fld id="{20DC3B10-BC80-46F1-9031-24C828E1DCE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B74C-44ED-BE2A-4AE2DBAB3A0D}"/>
                </c:ext>
              </c:extLst>
            </c:dLbl>
            <c:dLbl>
              <c:idx val="43"/>
              <c:tx>
                <c:rich>
                  <a:bodyPr/>
                  <a:lstStyle/>
                  <a:p>
                    <a:fld id="{9F181C78-B2CF-470D-B0D5-567E66326B3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B74C-44ED-BE2A-4AE2DBAB3A0D}"/>
                </c:ext>
              </c:extLst>
            </c:dLbl>
            <c:dLbl>
              <c:idx val="44"/>
              <c:tx>
                <c:rich>
                  <a:bodyPr/>
                  <a:lstStyle/>
                  <a:p>
                    <a:fld id="{064A1056-E07C-4E6E-AB82-4D582761D0E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B74C-44ED-BE2A-4AE2DBAB3A0D}"/>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graf'!$R$32:$R$76</c:f>
              <c:numCache>
                <c:formatCode>General</c:formatCode>
                <c:ptCount val="4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numCache>
            </c:numRef>
          </c:val>
          <c:smooth val="0"/>
          <c:extLst>
            <c:ext xmlns:c15="http://schemas.microsoft.com/office/drawing/2012/chart" uri="{02D57815-91ED-43cb-92C2-25804820EDAC}">
              <c15:datalabelsRange>
                <c15:f>'Prerađivačka_6 graf'!$B$32:$B$76</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2-B74C-44ED-BE2A-4AE2DBAB3A0D}"/>
            </c:ext>
          </c:extLst>
        </c:ser>
        <c:ser>
          <c:idx val="0"/>
          <c:order val="2"/>
          <c:tx>
            <c:strRef>
              <c:f>'Prerađivačka_6 graf'!$S$7</c:f>
              <c:strCache>
                <c:ptCount val="1"/>
                <c:pt idx="0">
                  <c:v>y</c:v>
                </c:pt>
              </c:strCache>
            </c:strRef>
          </c:tx>
          <c:spPr>
            <a:ln w="12700" cap="rnd">
              <a:solidFill>
                <a:srgbClr val="92278F"/>
              </a:solidFill>
              <a:prstDash val="sysDash"/>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graf'!$S$32:$S$76</c:f>
              <c:numCache>
                <c:formatCode>0.0</c:formatCode>
                <c:ptCount val="45"/>
                <c:pt idx="0">
                  <c:v>92.066259807999998</c:v>
                </c:pt>
                <c:pt idx="1">
                  <c:v>83.455167325999994</c:v>
                </c:pt>
                <c:pt idx="2">
                  <c:v>8.9330024810000008</c:v>
                </c:pt>
                <c:pt idx="3">
                  <c:v>30.903359936000001</c:v>
                </c:pt>
                <c:pt idx="4">
                  <c:v>85.708537320999994</c:v>
                </c:pt>
                <c:pt idx="5">
                  <c:v>67.359667360000003</c:v>
                </c:pt>
                <c:pt idx="6">
                  <c:v>111.54181476799999</c:v>
                </c:pt>
                <c:pt idx="7">
                  <c:v>107.356984776</c:v>
                </c:pt>
                <c:pt idx="8">
                  <c:v>111.54181476799999</c:v>
                </c:pt>
                <c:pt idx="9">
                  <c:v>107.92032727500001</c:v>
                </c:pt>
                <c:pt idx="10">
                  <c:v>108.00080477500001</c:v>
                </c:pt>
                <c:pt idx="11">
                  <c:v>97.377774797000001</c:v>
                </c:pt>
                <c:pt idx="12">
                  <c:v>88.847159814999998</c:v>
                </c:pt>
                <c:pt idx="13">
                  <c:v>82.328482328000007</c:v>
                </c:pt>
                <c:pt idx="14">
                  <c:v>91.985782307999997</c:v>
                </c:pt>
                <c:pt idx="15">
                  <c:v>57.943799878999997</c:v>
                </c:pt>
                <c:pt idx="16">
                  <c:v>73.717389846000003</c:v>
                </c:pt>
                <c:pt idx="17">
                  <c:v>97.136342298000002</c:v>
                </c:pt>
                <c:pt idx="18">
                  <c:v>99.550667293000004</c:v>
                </c:pt>
                <c:pt idx="19">
                  <c:v>93.353899806000001</c:v>
                </c:pt>
                <c:pt idx="20">
                  <c:v>102.93072228600001</c:v>
                </c:pt>
                <c:pt idx="21">
                  <c:v>103.89645228400001</c:v>
                </c:pt>
                <c:pt idx="22">
                  <c:v>92.951512305999998</c:v>
                </c:pt>
                <c:pt idx="23">
                  <c:v>100.274964791</c:v>
                </c:pt>
                <c:pt idx="24">
                  <c:v>101.891252955</c:v>
                </c:pt>
                <c:pt idx="25">
                  <c:v>102.69360269400001</c:v>
                </c:pt>
                <c:pt idx="26">
                  <c:v>37.199341021000002</c:v>
                </c:pt>
                <c:pt idx="27">
                  <c:v>100.08417508399999</c:v>
                </c:pt>
                <c:pt idx="28">
                  <c:v>85.087719297999996</c:v>
                </c:pt>
                <c:pt idx="29">
                  <c:v>103.983050847</c:v>
                </c:pt>
                <c:pt idx="30">
                  <c:v>112.55771006499999</c:v>
                </c:pt>
                <c:pt idx="31">
                  <c:v>115.040650407</c:v>
                </c:pt>
                <c:pt idx="32">
                  <c:v>109.981515712</c:v>
                </c:pt>
                <c:pt idx="33">
                  <c:v>114.59995976099999</c:v>
                </c:pt>
                <c:pt idx="34">
                  <c:v>111.21990476800001</c:v>
                </c:pt>
                <c:pt idx="35">
                  <c:v>105.50600228</c:v>
                </c:pt>
                <c:pt idx="36">
                  <c:v>86.2</c:v>
                </c:pt>
                <c:pt idx="37">
                  <c:v>91.5</c:v>
                </c:pt>
                <c:pt idx="38">
                  <c:v>112.9</c:v>
                </c:pt>
                <c:pt idx="39">
                  <c:v>118.9</c:v>
                </c:pt>
                <c:pt idx="40">
                  <c:v>126.1</c:v>
                </c:pt>
                <c:pt idx="41">
                  <c:v>122.7</c:v>
                </c:pt>
                <c:pt idx="42">
                  <c:v>121.9</c:v>
                </c:pt>
                <c:pt idx="43">
                  <c:v>113.2</c:v>
                </c:pt>
                <c:pt idx="44">
                  <c:v>119</c:v>
                </c:pt>
              </c:numCache>
            </c:numRef>
          </c:val>
          <c:smooth val="0"/>
          <c:extLst>
            <c:ext xmlns:c16="http://schemas.microsoft.com/office/drawing/2014/chart" uri="{C3380CC4-5D6E-409C-BE32-E72D297353CC}">
              <c16:uniqueId val="{00000033-B74C-44ED-BE2A-4AE2DBAB3A0D}"/>
            </c:ext>
          </c:extLst>
        </c:ser>
        <c:ser>
          <c:idx val="1"/>
          <c:order val="3"/>
          <c:tx>
            <c:strRef>
              <c:f>'Prerađivačka_6 graf'!$T$7</c:f>
              <c:strCache>
                <c:ptCount val="1"/>
                <c:pt idx="0">
                  <c:v>sa</c:v>
                </c:pt>
              </c:strCache>
            </c:strRef>
          </c:tx>
          <c:spPr>
            <a:ln w="22225" cap="rnd">
              <a:solidFill>
                <a:srgbClr val="25AAE1"/>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graf'!$T$32:$T$76</c:f>
              <c:numCache>
                <c:formatCode>0.0</c:formatCode>
                <c:ptCount val="45"/>
                <c:pt idx="0">
                  <c:v>101.15864280300001</c:v>
                </c:pt>
                <c:pt idx="1">
                  <c:v>102.40227424299999</c:v>
                </c:pt>
                <c:pt idx="2">
                  <c:v>9.7781441939999993</c:v>
                </c:pt>
                <c:pt idx="3">
                  <c:v>33.464816257999999</c:v>
                </c:pt>
                <c:pt idx="4">
                  <c:v>83.843144729000002</c:v>
                </c:pt>
                <c:pt idx="5">
                  <c:v>65.112427418999999</c:v>
                </c:pt>
                <c:pt idx="6">
                  <c:v>102.34321819500001</c:v>
                </c:pt>
                <c:pt idx="7">
                  <c:v>100.633066179</c:v>
                </c:pt>
                <c:pt idx="8">
                  <c:v>102.50694385</c:v>
                </c:pt>
                <c:pt idx="9">
                  <c:v>100.227381604</c:v>
                </c:pt>
                <c:pt idx="10">
                  <c:v>100.339860124</c:v>
                </c:pt>
                <c:pt idx="11">
                  <c:v>100.72096504300001</c:v>
                </c:pt>
                <c:pt idx="12">
                  <c:v>97.004767404999996</c:v>
                </c:pt>
                <c:pt idx="13">
                  <c:v>100.48529037</c:v>
                </c:pt>
                <c:pt idx="14">
                  <c:v>99.829656923000002</c:v>
                </c:pt>
                <c:pt idx="15">
                  <c:v>61.737007030999997</c:v>
                </c:pt>
                <c:pt idx="16">
                  <c:v>72.258817836999995</c:v>
                </c:pt>
                <c:pt idx="17">
                  <c:v>93.823204842999999</c:v>
                </c:pt>
                <c:pt idx="18">
                  <c:v>91.399817411000001</c:v>
                </c:pt>
                <c:pt idx="19">
                  <c:v>88.169272269000004</c:v>
                </c:pt>
                <c:pt idx="20">
                  <c:v>95.415782868999997</c:v>
                </c:pt>
                <c:pt idx="21">
                  <c:v>96.925434779</c:v>
                </c:pt>
                <c:pt idx="22">
                  <c:v>87.055989678000003</c:v>
                </c:pt>
                <c:pt idx="23">
                  <c:v>103.70677147799999</c:v>
                </c:pt>
                <c:pt idx="24">
                  <c:v>111.085579635</c:v>
                </c:pt>
                <c:pt idx="25">
                  <c:v>124.84600096299999</c:v>
                </c:pt>
                <c:pt idx="26">
                  <c:v>39.952931302000003</c:v>
                </c:pt>
                <c:pt idx="27">
                  <c:v>104.83166377800001</c:v>
                </c:pt>
                <c:pt idx="28">
                  <c:v>83.251051450000006</c:v>
                </c:pt>
                <c:pt idx="29">
                  <c:v>100.1052911</c:v>
                </c:pt>
                <c:pt idx="30">
                  <c:v>103.209466432</c:v>
                </c:pt>
                <c:pt idx="31">
                  <c:v>110.12753956900001</c:v>
                </c:pt>
                <c:pt idx="32">
                  <c:v>103.087323384</c:v>
                </c:pt>
                <c:pt idx="33">
                  <c:v>107.14573880899999</c:v>
                </c:pt>
                <c:pt idx="34">
                  <c:v>104.933794034</c:v>
                </c:pt>
                <c:pt idx="35">
                  <c:v>108.865188448</c:v>
                </c:pt>
                <c:pt idx="36">
                  <c:v>93.870824979000005</c:v>
                </c:pt>
                <c:pt idx="37">
                  <c:v>110.906980061</c:v>
                </c:pt>
                <c:pt idx="38">
                  <c:v>120.431259736</c:v>
                </c:pt>
                <c:pt idx="39">
                  <c:v>122.672296707</c:v>
                </c:pt>
                <c:pt idx="40">
                  <c:v>122.994668535</c:v>
                </c:pt>
                <c:pt idx="41">
                  <c:v>118.041007339</c:v>
                </c:pt>
                <c:pt idx="42">
                  <c:v>112.07401550500001</c:v>
                </c:pt>
                <c:pt idx="43">
                  <c:v>109.162239339</c:v>
                </c:pt>
                <c:pt idx="44">
                  <c:v>112.58755326000001</c:v>
                </c:pt>
              </c:numCache>
            </c:numRef>
          </c:val>
          <c:smooth val="0"/>
          <c:extLst>
            <c:ext xmlns:c16="http://schemas.microsoft.com/office/drawing/2014/chart" uri="{C3380CC4-5D6E-409C-BE32-E72D297353CC}">
              <c16:uniqueId val="{00000034-B74C-44ED-BE2A-4AE2DBAB3A0D}"/>
            </c:ext>
          </c:extLst>
        </c:ser>
        <c:ser>
          <c:idx val="2"/>
          <c:order val="4"/>
          <c:tx>
            <c:strRef>
              <c:f>'Prerađivačka_6 graf'!$U$7</c:f>
              <c:strCache>
                <c:ptCount val="1"/>
                <c:pt idx="0">
                  <c:v>t</c:v>
                </c:pt>
              </c:strCache>
            </c:strRef>
          </c:tx>
          <c:spPr>
            <a:ln w="25400" cap="rnd">
              <a:solidFill>
                <a:srgbClr val="FF0000"/>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graf'!$U$32:$U$76</c:f>
              <c:numCache>
                <c:formatCode>0.0</c:formatCode>
                <c:ptCount val="45"/>
                <c:pt idx="0">
                  <c:v>100.15151017399999</c:v>
                </c:pt>
                <c:pt idx="1">
                  <c:v>100.099321683</c:v>
                </c:pt>
                <c:pt idx="2">
                  <c:v>100.078485239</c:v>
                </c:pt>
                <c:pt idx="3">
                  <c:v>100.019352549</c:v>
                </c:pt>
                <c:pt idx="4">
                  <c:v>100.099552444</c:v>
                </c:pt>
                <c:pt idx="5">
                  <c:v>100.38966369000001</c:v>
                </c:pt>
                <c:pt idx="6">
                  <c:v>100.79250820999999</c:v>
                </c:pt>
                <c:pt idx="7">
                  <c:v>101.14688649</c:v>
                </c:pt>
                <c:pt idx="8">
                  <c:v>101.16468911</c:v>
                </c:pt>
                <c:pt idx="9">
                  <c:v>100.8645317</c:v>
                </c:pt>
                <c:pt idx="10">
                  <c:v>100.393454996</c:v>
                </c:pt>
                <c:pt idx="11">
                  <c:v>99.752030046000002</c:v>
                </c:pt>
                <c:pt idx="12">
                  <c:v>99.132322119999998</c:v>
                </c:pt>
                <c:pt idx="13">
                  <c:v>98.976083595999995</c:v>
                </c:pt>
                <c:pt idx="14">
                  <c:v>99.329727906000002</c:v>
                </c:pt>
                <c:pt idx="15">
                  <c:v>100.117810397</c:v>
                </c:pt>
                <c:pt idx="16">
                  <c:v>101.00739548999999</c:v>
                </c:pt>
                <c:pt idx="17">
                  <c:v>101.775693757</c:v>
                </c:pt>
                <c:pt idx="18">
                  <c:v>102.189847527</c:v>
                </c:pt>
                <c:pt idx="19">
                  <c:v>102.512479794</c:v>
                </c:pt>
                <c:pt idx="20">
                  <c:v>103.185711321</c:v>
                </c:pt>
                <c:pt idx="21">
                  <c:v>104.267168857</c:v>
                </c:pt>
                <c:pt idx="22">
                  <c:v>105.731238105</c:v>
                </c:pt>
                <c:pt idx="23">
                  <c:v>107.226696969</c:v>
                </c:pt>
                <c:pt idx="24">
                  <c:v>108.032895391</c:v>
                </c:pt>
                <c:pt idx="25">
                  <c:v>107.524458845</c:v>
                </c:pt>
                <c:pt idx="26">
                  <c:v>106.057623205</c:v>
                </c:pt>
                <c:pt idx="27">
                  <c:v>104.456502347</c:v>
                </c:pt>
                <c:pt idx="28">
                  <c:v>103.369422132</c:v>
                </c:pt>
                <c:pt idx="29">
                  <c:v>103.152752991</c:v>
                </c:pt>
                <c:pt idx="30">
                  <c:v>103.705708304</c:v>
                </c:pt>
                <c:pt idx="31">
                  <c:v>104.65827163500001</c:v>
                </c:pt>
                <c:pt idx="32">
                  <c:v>105.41349895</c:v>
                </c:pt>
                <c:pt idx="33">
                  <c:v>106.007812483</c:v>
                </c:pt>
                <c:pt idx="34">
                  <c:v>106.816441621</c:v>
                </c:pt>
                <c:pt idx="35">
                  <c:v>108.40526486500001</c:v>
                </c:pt>
                <c:pt idx="36">
                  <c:v>111.18731155099999</c:v>
                </c:pt>
                <c:pt idx="37">
                  <c:v>114.761790408</c:v>
                </c:pt>
                <c:pt idx="38">
                  <c:v>117.926846474</c:v>
                </c:pt>
                <c:pt idx="39">
                  <c:v>119.535226597</c:v>
                </c:pt>
                <c:pt idx="40">
                  <c:v>119.340928156</c:v>
                </c:pt>
                <c:pt idx="41">
                  <c:v>117.605852379</c:v>
                </c:pt>
                <c:pt idx="42">
                  <c:v>115.319470901</c:v>
                </c:pt>
                <c:pt idx="43">
                  <c:v>113.34729452800001</c:v>
                </c:pt>
                <c:pt idx="44">
                  <c:v>112.381935117</c:v>
                </c:pt>
              </c:numCache>
            </c:numRef>
          </c:val>
          <c:smooth val="0"/>
          <c:extLst>
            <c:ext xmlns:c16="http://schemas.microsoft.com/office/drawing/2014/chart" uri="{C3380CC4-5D6E-409C-BE32-E72D297353CC}">
              <c16:uniqueId val="{00000035-B74C-44ED-BE2A-4AE2DBAB3A0D}"/>
            </c:ext>
          </c:extLst>
        </c:ser>
        <c:dLbls>
          <c:showLegendKey val="0"/>
          <c:showVal val="0"/>
          <c:showCatName val="0"/>
          <c:showSerName val="0"/>
          <c:showPercent val="0"/>
          <c:showBubbleSize val="0"/>
        </c:dLbls>
        <c:marker val="1"/>
        <c:smooth val="0"/>
        <c:axId val="2092134960"/>
        <c:axId val="2092135504"/>
      </c:lineChart>
      <c:dateAx>
        <c:axId val="209213496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35504"/>
        <c:crosses val="autoZero"/>
        <c:auto val="1"/>
        <c:lblOffset val="0"/>
        <c:baseTimeUnit val="months"/>
        <c:majorUnit val="12"/>
        <c:majorTimeUnit val="months"/>
      </c:dateAx>
      <c:valAx>
        <c:axId val="2092135504"/>
        <c:scaling>
          <c:orientation val="minMax"/>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3496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graf'!$BF$7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5.455786063294046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DA-4C08-B875-3C7A9AE25080}"/>
                </c:ext>
              </c:extLst>
            </c:dLbl>
            <c:dLbl>
              <c:idx val="12"/>
              <c:layout>
                <c:manualLayout>
                  <c:x val="6.332297053310273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DA-4C08-B875-3C7A9AE25080}"/>
                </c:ext>
              </c:extLst>
            </c:dLbl>
            <c:dLbl>
              <c:idx val="24"/>
              <c:layout>
                <c:manualLayout>
                  <c:x val="6.186769269336856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DA-4C08-B875-3C7A9AE25080}"/>
                </c:ext>
              </c:extLst>
            </c:dLbl>
            <c:dLbl>
              <c:idx val="36"/>
              <c:layout>
                <c:manualLayout>
                  <c:x val="2.343426289544839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ADA-4C08-B875-3C7A9AE2508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graf'!$BF$32:$BF$76</c:f>
              <c:numCache>
                <c:formatCode>General</c:formatCode>
                <c:ptCount val="45"/>
                <c:pt idx="0">
                  <c:v>60</c:v>
                </c:pt>
                <c:pt idx="12">
                  <c:v>60</c:v>
                </c:pt>
                <c:pt idx="24">
                  <c:v>60</c:v>
                </c:pt>
                <c:pt idx="36">
                  <c:v>60</c:v>
                </c:pt>
              </c:numCache>
            </c:numRef>
          </c:val>
          <c:smooth val="0"/>
          <c:extLst>
            <c:ext xmlns:c16="http://schemas.microsoft.com/office/drawing/2014/chart" uri="{C3380CC4-5D6E-409C-BE32-E72D297353CC}">
              <c16:uniqueId val="{00000004-FADA-4C08-B875-3C7A9AE25080}"/>
            </c:ext>
          </c:extLst>
        </c:ser>
        <c:ser>
          <c:idx val="4"/>
          <c:order val="1"/>
          <c:tx>
            <c:strRef>
              <c:f>'Prerađivačka_6 graf'!$BG$7</c:f>
              <c:strCache>
                <c:ptCount val="1"/>
                <c:pt idx="0">
                  <c:v>Series5</c:v>
                </c:pt>
              </c:strCache>
            </c:strRef>
          </c:tx>
          <c:spPr>
            <a:ln w="25400" cap="rnd">
              <a:noFill/>
              <a:round/>
            </a:ln>
            <a:effectLst/>
          </c:spPr>
          <c:marker>
            <c:symbol val="none"/>
          </c:marker>
          <c:dLbls>
            <c:dLbl>
              <c:idx val="0"/>
              <c:tx>
                <c:rich>
                  <a:bodyPr/>
                  <a:lstStyle/>
                  <a:p>
                    <a:fld id="{6BC45CB0-C81E-4405-AC01-C8577477FBD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FADA-4C08-B875-3C7A9AE25080}"/>
                </c:ext>
              </c:extLst>
            </c:dLbl>
            <c:dLbl>
              <c:idx val="1"/>
              <c:tx>
                <c:rich>
                  <a:bodyPr/>
                  <a:lstStyle/>
                  <a:p>
                    <a:fld id="{0D0732B6-E5C7-49D2-AD45-A5B7B005F55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FADA-4C08-B875-3C7A9AE25080}"/>
                </c:ext>
              </c:extLst>
            </c:dLbl>
            <c:dLbl>
              <c:idx val="2"/>
              <c:tx>
                <c:rich>
                  <a:bodyPr/>
                  <a:lstStyle/>
                  <a:p>
                    <a:fld id="{F60DF761-C294-4594-B5BA-B2F2EB9BFE3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FADA-4C08-B875-3C7A9AE25080}"/>
                </c:ext>
              </c:extLst>
            </c:dLbl>
            <c:dLbl>
              <c:idx val="3"/>
              <c:tx>
                <c:rich>
                  <a:bodyPr/>
                  <a:lstStyle/>
                  <a:p>
                    <a:fld id="{8D11C992-FA1E-43D6-99AD-BC7050A2939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FADA-4C08-B875-3C7A9AE25080}"/>
                </c:ext>
              </c:extLst>
            </c:dLbl>
            <c:dLbl>
              <c:idx val="4"/>
              <c:tx>
                <c:rich>
                  <a:bodyPr/>
                  <a:lstStyle/>
                  <a:p>
                    <a:fld id="{75F59F0C-CC5F-4C60-A290-0E7F44D8D6E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FADA-4C08-B875-3C7A9AE25080}"/>
                </c:ext>
              </c:extLst>
            </c:dLbl>
            <c:dLbl>
              <c:idx val="5"/>
              <c:tx>
                <c:rich>
                  <a:bodyPr/>
                  <a:lstStyle/>
                  <a:p>
                    <a:fld id="{ACE5D5C6-463B-494B-A855-71C8ED192D0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FADA-4C08-B875-3C7A9AE25080}"/>
                </c:ext>
              </c:extLst>
            </c:dLbl>
            <c:dLbl>
              <c:idx val="6"/>
              <c:tx>
                <c:rich>
                  <a:bodyPr/>
                  <a:lstStyle/>
                  <a:p>
                    <a:fld id="{8CEC351B-B1AB-4FCE-BD73-024503608F1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FADA-4C08-B875-3C7A9AE25080}"/>
                </c:ext>
              </c:extLst>
            </c:dLbl>
            <c:dLbl>
              <c:idx val="7"/>
              <c:tx>
                <c:rich>
                  <a:bodyPr/>
                  <a:lstStyle/>
                  <a:p>
                    <a:fld id="{6B998925-F3EF-4B12-B357-4B6496EB1CA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FADA-4C08-B875-3C7A9AE25080}"/>
                </c:ext>
              </c:extLst>
            </c:dLbl>
            <c:dLbl>
              <c:idx val="8"/>
              <c:tx>
                <c:rich>
                  <a:bodyPr/>
                  <a:lstStyle/>
                  <a:p>
                    <a:fld id="{34640651-5640-4BCF-A9DA-9A865972E0C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FADA-4C08-B875-3C7A9AE25080}"/>
                </c:ext>
              </c:extLst>
            </c:dLbl>
            <c:dLbl>
              <c:idx val="9"/>
              <c:tx>
                <c:rich>
                  <a:bodyPr/>
                  <a:lstStyle/>
                  <a:p>
                    <a:fld id="{101B27E6-8370-4BB2-9716-6A7C89EA388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FADA-4C08-B875-3C7A9AE25080}"/>
                </c:ext>
              </c:extLst>
            </c:dLbl>
            <c:dLbl>
              <c:idx val="10"/>
              <c:tx>
                <c:rich>
                  <a:bodyPr/>
                  <a:lstStyle/>
                  <a:p>
                    <a:fld id="{57E28A07-3212-460E-93CB-4981C106C5C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FADA-4C08-B875-3C7A9AE25080}"/>
                </c:ext>
              </c:extLst>
            </c:dLbl>
            <c:dLbl>
              <c:idx val="11"/>
              <c:tx>
                <c:rich>
                  <a:bodyPr/>
                  <a:lstStyle/>
                  <a:p>
                    <a:fld id="{6E84DC42-F568-4475-A619-0D0EA5A61D7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FADA-4C08-B875-3C7A9AE25080}"/>
                </c:ext>
              </c:extLst>
            </c:dLbl>
            <c:dLbl>
              <c:idx val="12"/>
              <c:tx>
                <c:rich>
                  <a:bodyPr/>
                  <a:lstStyle/>
                  <a:p>
                    <a:fld id="{5F9D6F45-732E-4719-95FB-9FCD1CFBA8F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FADA-4C08-B875-3C7A9AE25080}"/>
                </c:ext>
              </c:extLst>
            </c:dLbl>
            <c:dLbl>
              <c:idx val="13"/>
              <c:tx>
                <c:rich>
                  <a:bodyPr/>
                  <a:lstStyle/>
                  <a:p>
                    <a:fld id="{B9B8019A-C752-4458-B75A-66E6248CF0C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FADA-4C08-B875-3C7A9AE25080}"/>
                </c:ext>
              </c:extLst>
            </c:dLbl>
            <c:dLbl>
              <c:idx val="14"/>
              <c:tx>
                <c:rich>
                  <a:bodyPr/>
                  <a:lstStyle/>
                  <a:p>
                    <a:fld id="{5EBE7851-F378-429A-92B9-A56E510FFC7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FADA-4C08-B875-3C7A9AE25080}"/>
                </c:ext>
              </c:extLst>
            </c:dLbl>
            <c:dLbl>
              <c:idx val="15"/>
              <c:tx>
                <c:rich>
                  <a:bodyPr/>
                  <a:lstStyle/>
                  <a:p>
                    <a:fld id="{29E57059-38F3-41B2-9F98-47548A55A87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FADA-4C08-B875-3C7A9AE25080}"/>
                </c:ext>
              </c:extLst>
            </c:dLbl>
            <c:dLbl>
              <c:idx val="16"/>
              <c:tx>
                <c:rich>
                  <a:bodyPr/>
                  <a:lstStyle/>
                  <a:p>
                    <a:fld id="{C3518384-66B6-4A0F-B2B9-5CBBFD959AC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FADA-4C08-B875-3C7A9AE25080}"/>
                </c:ext>
              </c:extLst>
            </c:dLbl>
            <c:dLbl>
              <c:idx val="17"/>
              <c:tx>
                <c:rich>
                  <a:bodyPr/>
                  <a:lstStyle/>
                  <a:p>
                    <a:fld id="{8773C3D8-8D76-4CFB-AC36-167E3478906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FADA-4C08-B875-3C7A9AE25080}"/>
                </c:ext>
              </c:extLst>
            </c:dLbl>
            <c:dLbl>
              <c:idx val="18"/>
              <c:tx>
                <c:rich>
                  <a:bodyPr/>
                  <a:lstStyle/>
                  <a:p>
                    <a:fld id="{F3C0E031-9C55-41CF-9CF8-E89EFB9CF28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FADA-4C08-B875-3C7A9AE25080}"/>
                </c:ext>
              </c:extLst>
            </c:dLbl>
            <c:dLbl>
              <c:idx val="19"/>
              <c:tx>
                <c:rich>
                  <a:bodyPr/>
                  <a:lstStyle/>
                  <a:p>
                    <a:fld id="{F22E28C7-074A-4C95-BF17-DE538B7C42F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FADA-4C08-B875-3C7A9AE25080}"/>
                </c:ext>
              </c:extLst>
            </c:dLbl>
            <c:dLbl>
              <c:idx val="20"/>
              <c:tx>
                <c:rich>
                  <a:bodyPr/>
                  <a:lstStyle/>
                  <a:p>
                    <a:fld id="{2766A95C-2A34-4C7D-A112-4B5402A7FCA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FADA-4C08-B875-3C7A9AE25080}"/>
                </c:ext>
              </c:extLst>
            </c:dLbl>
            <c:dLbl>
              <c:idx val="21"/>
              <c:tx>
                <c:rich>
                  <a:bodyPr/>
                  <a:lstStyle/>
                  <a:p>
                    <a:fld id="{E90525A4-5F66-4DE1-B7CF-B339BE71BA0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FADA-4C08-B875-3C7A9AE25080}"/>
                </c:ext>
              </c:extLst>
            </c:dLbl>
            <c:dLbl>
              <c:idx val="22"/>
              <c:tx>
                <c:rich>
                  <a:bodyPr/>
                  <a:lstStyle/>
                  <a:p>
                    <a:fld id="{730F7300-68D8-4583-AEA1-8BADFE209C0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FADA-4C08-B875-3C7A9AE25080}"/>
                </c:ext>
              </c:extLst>
            </c:dLbl>
            <c:dLbl>
              <c:idx val="23"/>
              <c:tx>
                <c:rich>
                  <a:bodyPr/>
                  <a:lstStyle/>
                  <a:p>
                    <a:fld id="{F9604B0F-7BA7-409B-841D-96A02AEE096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FADA-4C08-B875-3C7A9AE25080}"/>
                </c:ext>
              </c:extLst>
            </c:dLbl>
            <c:dLbl>
              <c:idx val="24"/>
              <c:tx>
                <c:rich>
                  <a:bodyPr/>
                  <a:lstStyle/>
                  <a:p>
                    <a:fld id="{B7424E15-83BB-468A-9BFB-94565A8C46C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FADA-4C08-B875-3C7A9AE25080}"/>
                </c:ext>
              </c:extLst>
            </c:dLbl>
            <c:dLbl>
              <c:idx val="25"/>
              <c:tx>
                <c:rich>
                  <a:bodyPr/>
                  <a:lstStyle/>
                  <a:p>
                    <a:fld id="{7673B9F8-18B6-40E7-A220-9EFF314DB71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FADA-4C08-B875-3C7A9AE25080}"/>
                </c:ext>
              </c:extLst>
            </c:dLbl>
            <c:dLbl>
              <c:idx val="26"/>
              <c:tx>
                <c:rich>
                  <a:bodyPr/>
                  <a:lstStyle/>
                  <a:p>
                    <a:fld id="{FFE74E36-1CAB-4959-9A93-E5EA59098D3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FADA-4C08-B875-3C7A9AE25080}"/>
                </c:ext>
              </c:extLst>
            </c:dLbl>
            <c:dLbl>
              <c:idx val="27"/>
              <c:tx>
                <c:rich>
                  <a:bodyPr/>
                  <a:lstStyle/>
                  <a:p>
                    <a:fld id="{7353413C-CADD-403D-9BE8-614A73361DA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FADA-4C08-B875-3C7A9AE25080}"/>
                </c:ext>
              </c:extLst>
            </c:dLbl>
            <c:dLbl>
              <c:idx val="28"/>
              <c:tx>
                <c:rich>
                  <a:bodyPr/>
                  <a:lstStyle/>
                  <a:p>
                    <a:fld id="{CABE7FF3-4219-40A1-B424-F02F02A0C11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FADA-4C08-B875-3C7A9AE25080}"/>
                </c:ext>
              </c:extLst>
            </c:dLbl>
            <c:dLbl>
              <c:idx val="29"/>
              <c:tx>
                <c:rich>
                  <a:bodyPr/>
                  <a:lstStyle/>
                  <a:p>
                    <a:fld id="{D17B7F20-3393-4692-9FD6-1BAA17659B9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FADA-4C08-B875-3C7A9AE25080}"/>
                </c:ext>
              </c:extLst>
            </c:dLbl>
            <c:dLbl>
              <c:idx val="30"/>
              <c:tx>
                <c:rich>
                  <a:bodyPr/>
                  <a:lstStyle/>
                  <a:p>
                    <a:fld id="{50119F1F-2ECA-4389-AF70-C67ACBA9F94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FADA-4C08-B875-3C7A9AE25080}"/>
                </c:ext>
              </c:extLst>
            </c:dLbl>
            <c:dLbl>
              <c:idx val="31"/>
              <c:tx>
                <c:rich>
                  <a:bodyPr/>
                  <a:lstStyle/>
                  <a:p>
                    <a:fld id="{A60A8423-786C-417F-A1D7-153E8F9269F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FADA-4C08-B875-3C7A9AE25080}"/>
                </c:ext>
              </c:extLst>
            </c:dLbl>
            <c:dLbl>
              <c:idx val="32"/>
              <c:tx>
                <c:rich>
                  <a:bodyPr/>
                  <a:lstStyle/>
                  <a:p>
                    <a:fld id="{74E57316-A922-4F49-A04B-34931761542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FADA-4C08-B875-3C7A9AE25080}"/>
                </c:ext>
              </c:extLst>
            </c:dLbl>
            <c:dLbl>
              <c:idx val="33"/>
              <c:tx>
                <c:rich>
                  <a:bodyPr/>
                  <a:lstStyle/>
                  <a:p>
                    <a:fld id="{FBEAEE74-B48B-4DB7-9BED-DE7B070BC34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FADA-4C08-B875-3C7A9AE25080}"/>
                </c:ext>
              </c:extLst>
            </c:dLbl>
            <c:dLbl>
              <c:idx val="34"/>
              <c:tx>
                <c:rich>
                  <a:bodyPr/>
                  <a:lstStyle/>
                  <a:p>
                    <a:fld id="{12F767AF-6787-47CC-B2A7-CD8A1AB90EF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FADA-4C08-B875-3C7A9AE25080}"/>
                </c:ext>
              </c:extLst>
            </c:dLbl>
            <c:dLbl>
              <c:idx val="35"/>
              <c:tx>
                <c:rich>
                  <a:bodyPr/>
                  <a:lstStyle/>
                  <a:p>
                    <a:fld id="{2A997DFF-4121-4B8D-8AB7-285429F2903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FADA-4C08-B875-3C7A9AE25080}"/>
                </c:ext>
              </c:extLst>
            </c:dLbl>
            <c:dLbl>
              <c:idx val="36"/>
              <c:tx>
                <c:rich>
                  <a:bodyPr/>
                  <a:lstStyle/>
                  <a:p>
                    <a:fld id="{B0B200C5-70E6-4A44-94C3-7C323015DC3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FADA-4C08-B875-3C7A9AE25080}"/>
                </c:ext>
              </c:extLst>
            </c:dLbl>
            <c:dLbl>
              <c:idx val="37"/>
              <c:tx>
                <c:rich>
                  <a:bodyPr/>
                  <a:lstStyle/>
                  <a:p>
                    <a:fld id="{F9BE42FE-7812-46A9-AFF4-7280E716DB8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FADA-4C08-B875-3C7A9AE25080}"/>
                </c:ext>
              </c:extLst>
            </c:dLbl>
            <c:dLbl>
              <c:idx val="38"/>
              <c:tx>
                <c:rich>
                  <a:bodyPr/>
                  <a:lstStyle/>
                  <a:p>
                    <a:fld id="{8A1C108E-3D47-4DAF-BDCA-3B0A4D9CBE7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FADA-4C08-B875-3C7A9AE25080}"/>
                </c:ext>
              </c:extLst>
            </c:dLbl>
            <c:dLbl>
              <c:idx val="39"/>
              <c:tx>
                <c:rich>
                  <a:bodyPr/>
                  <a:lstStyle/>
                  <a:p>
                    <a:fld id="{008B3CEC-35D0-44DF-BF97-E1EBF55AB4B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FADA-4C08-B875-3C7A9AE25080}"/>
                </c:ext>
              </c:extLst>
            </c:dLbl>
            <c:dLbl>
              <c:idx val="40"/>
              <c:tx>
                <c:rich>
                  <a:bodyPr/>
                  <a:lstStyle/>
                  <a:p>
                    <a:fld id="{8CF3E9AA-3459-44F3-B0E2-8957B90B86A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FADA-4C08-B875-3C7A9AE25080}"/>
                </c:ext>
              </c:extLst>
            </c:dLbl>
            <c:dLbl>
              <c:idx val="41"/>
              <c:tx>
                <c:rich>
                  <a:bodyPr/>
                  <a:lstStyle/>
                  <a:p>
                    <a:fld id="{370EA3D4-D651-4147-A7D1-640ABF02E0B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FADA-4C08-B875-3C7A9AE25080}"/>
                </c:ext>
              </c:extLst>
            </c:dLbl>
            <c:dLbl>
              <c:idx val="42"/>
              <c:tx>
                <c:rich>
                  <a:bodyPr/>
                  <a:lstStyle/>
                  <a:p>
                    <a:fld id="{7F8B2DCE-E251-4F27-964B-3DFD50EAEEF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FADA-4C08-B875-3C7A9AE25080}"/>
                </c:ext>
              </c:extLst>
            </c:dLbl>
            <c:dLbl>
              <c:idx val="43"/>
              <c:tx>
                <c:rich>
                  <a:bodyPr/>
                  <a:lstStyle/>
                  <a:p>
                    <a:fld id="{A8509D98-F3B4-44A2-8F30-295387559D0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FADA-4C08-B875-3C7A9AE25080}"/>
                </c:ext>
              </c:extLst>
            </c:dLbl>
            <c:dLbl>
              <c:idx val="44"/>
              <c:tx>
                <c:rich>
                  <a:bodyPr/>
                  <a:lstStyle/>
                  <a:p>
                    <a:fld id="{93B6EE44-B797-4A37-A70D-85F3C40E1E6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FADA-4C08-B875-3C7A9AE25080}"/>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graf'!$BG$32:$BG$76</c:f>
              <c:numCache>
                <c:formatCode>General</c:formatCode>
                <c:ptCount val="45"/>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pt idx="39">
                  <c:v>60</c:v>
                </c:pt>
                <c:pt idx="40">
                  <c:v>60</c:v>
                </c:pt>
                <c:pt idx="41">
                  <c:v>60</c:v>
                </c:pt>
                <c:pt idx="42">
                  <c:v>60</c:v>
                </c:pt>
                <c:pt idx="43">
                  <c:v>60</c:v>
                </c:pt>
                <c:pt idx="44">
                  <c:v>60</c:v>
                </c:pt>
              </c:numCache>
            </c:numRef>
          </c:val>
          <c:smooth val="0"/>
          <c:extLst>
            <c:ext xmlns:c15="http://schemas.microsoft.com/office/drawing/2012/chart" uri="{02D57815-91ED-43cb-92C2-25804820EDAC}">
              <c15:datalabelsRange>
                <c15:f>'Prerađivačka_6 graf'!$B$32:$B$76</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2-FADA-4C08-B875-3C7A9AE25080}"/>
            </c:ext>
          </c:extLst>
        </c:ser>
        <c:ser>
          <c:idx val="0"/>
          <c:order val="2"/>
          <c:tx>
            <c:strRef>
              <c:f>'Prerađivačka_6 graf'!$BH$7</c:f>
              <c:strCache>
                <c:ptCount val="1"/>
                <c:pt idx="0">
                  <c:v>y</c:v>
                </c:pt>
              </c:strCache>
            </c:strRef>
          </c:tx>
          <c:spPr>
            <a:ln w="12700" cap="rnd">
              <a:solidFill>
                <a:srgbClr val="92278F"/>
              </a:solidFill>
              <a:prstDash val="sysDash"/>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graf'!$BH$32:$BH$76</c:f>
              <c:numCache>
                <c:formatCode>0.0</c:formatCode>
                <c:ptCount val="45"/>
                <c:pt idx="0">
                  <c:v>80.900401560997679</c:v>
                </c:pt>
                <c:pt idx="1">
                  <c:v>90.809343362931969</c:v>
                </c:pt>
                <c:pt idx="2">
                  <c:v>103.02584695435779</c:v>
                </c:pt>
                <c:pt idx="3">
                  <c:v>90.809343362931969</c:v>
                </c:pt>
                <c:pt idx="4">
                  <c:v>90.062779254567033</c:v>
                </c:pt>
                <c:pt idx="5">
                  <c:v>91.420168542503248</c:v>
                </c:pt>
                <c:pt idx="6">
                  <c:v>82.461399242124315</c:v>
                </c:pt>
                <c:pt idx="7">
                  <c:v>87.280131214297825</c:v>
                </c:pt>
                <c:pt idx="8">
                  <c:v>90.945082291725583</c:v>
                </c:pt>
                <c:pt idx="9">
                  <c:v>98.546462304168301</c:v>
                </c:pt>
                <c:pt idx="10">
                  <c:v>99.157287483739594</c:v>
                </c:pt>
                <c:pt idx="11">
                  <c:v>127.45885413720943</c:v>
                </c:pt>
                <c:pt idx="12">
                  <c:v>82.393529777727508</c:v>
                </c:pt>
                <c:pt idx="13">
                  <c:v>97.121203551835293</c:v>
                </c:pt>
                <c:pt idx="14">
                  <c:v>89.587693003789383</c:v>
                </c:pt>
                <c:pt idx="15">
                  <c:v>63.118601889033421</c:v>
                </c:pt>
                <c:pt idx="16">
                  <c:v>74.181324585713469</c:v>
                </c:pt>
                <c:pt idx="17">
                  <c:v>96.374639443470386</c:v>
                </c:pt>
                <c:pt idx="18">
                  <c:v>80.425315310220014</c:v>
                </c:pt>
                <c:pt idx="19">
                  <c:v>88.63752050223404</c:v>
                </c:pt>
                <c:pt idx="20">
                  <c:v>99.021548554945994</c:v>
                </c:pt>
                <c:pt idx="21">
                  <c:v>99.021548554945994</c:v>
                </c:pt>
                <c:pt idx="22">
                  <c:v>94.474294440359699</c:v>
                </c:pt>
                <c:pt idx="23">
                  <c:v>100.03959052089814</c:v>
                </c:pt>
                <c:pt idx="24">
                  <c:v>82.374768089053802</c:v>
                </c:pt>
                <c:pt idx="25">
                  <c:v>92.377131394182541</c:v>
                </c:pt>
                <c:pt idx="26">
                  <c:v>108.39222614840989</c:v>
                </c:pt>
                <c:pt idx="27">
                  <c:v>90.199479618386817</c:v>
                </c:pt>
                <c:pt idx="28">
                  <c:v>95.564853556485346</c:v>
                </c:pt>
                <c:pt idx="29">
                  <c:v>107.42526518804245</c:v>
                </c:pt>
                <c:pt idx="30">
                  <c:v>92.228864218616579</c:v>
                </c:pt>
                <c:pt idx="31">
                  <c:v>103.53817504655493</c:v>
                </c:pt>
                <c:pt idx="32">
                  <c:v>110.42471042471043</c:v>
                </c:pt>
                <c:pt idx="33">
                  <c:v>99.157287483739594</c:v>
                </c:pt>
                <c:pt idx="34">
                  <c:v>103.50093320513545</c:v>
                </c:pt>
                <c:pt idx="35">
                  <c:v>113.61348340026017</c:v>
                </c:pt>
                <c:pt idx="36">
                  <c:v>88.7</c:v>
                </c:pt>
                <c:pt idx="37">
                  <c:v>92.1</c:v>
                </c:pt>
                <c:pt idx="38">
                  <c:v>122.7</c:v>
                </c:pt>
                <c:pt idx="39">
                  <c:v>104</c:v>
                </c:pt>
                <c:pt idx="40">
                  <c:v>114.2</c:v>
                </c:pt>
                <c:pt idx="41">
                  <c:v>111</c:v>
                </c:pt>
                <c:pt idx="42">
                  <c:v>100.4</c:v>
                </c:pt>
                <c:pt idx="43">
                  <c:v>111.2</c:v>
                </c:pt>
                <c:pt idx="44">
                  <c:v>114.4</c:v>
                </c:pt>
              </c:numCache>
            </c:numRef>
          </c:val>
          <c:smooth val="0"/>
          <c:extLst>
            <c:ext xmlns:c16="http://schemas.microsoft.com/office/drawing/2014/chart" uri="{C3380CC4-5D6E-409C-BE32-E72D297353CC}">
              <c16:uniqueId val="{00000033-FADA-4C08-B875-3C7A9AE25080}"/>
            </c:ext>
          </c:extLst>
        </c:ser>
        <c:ser>
          <c:idx val="1"/>
          <c:order val="3"/>
          <c:tx>
            <c:strRef>
              <c:f>'Prerađivačka_6 graf'!$BI$7</c:f>
              <c:strCache>
                <c:ptCount val="1"/>
                <c:pt idx="0">
                  <c:v>sa</c:v>
                </c:pt>
              </c:strCache>
            </c:strRef>
          </c:tx>
          <c:spPr>
            <a:ln w="22225" cap="rnd">
              <a:solidFill>
                <a:srgbClr val="25AAE1"/>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graf'!$BI$32:$BI$76</c:f>
              <c:numCache>
                <c:formatCode>0.0</c:formatCode>
                <c:ptCount val="45"/>
                <c:pt idx="0">
                  <c:v>94.801085967271462</c:v>
                </c:pt>
                <c:pt idx="1">
                  <c:v>93.367152492244699</c:v>
                </c:pt>
                <c:pt idx="2">
                  <c:v>96.683731950752019</c:v>
                </c:pt>
                <c:pt idx="3">
                  <c:v>90.888531228390264</c:v>
                </c:pt>
                <c:pt idx="4">
                  <c:v>90.898907630596923</c:v>
                </c:pt>
                <c:pt idx="5">
                  <c:v>88.697932741728309</c:v>
                </c:pt>
                <c:pt idx="6">
                  <c:v>87.354396982917862</c:v>
                </c:pt>
                <c:pt idx="7">
                  <c:v>88.219651129615599</c:v>
                </c:pt>
                <c:pt idx="8">
                  <c:v>88.422994541434122</c:v>
                </c:pt>
                <c:pt idx="9">
                  <c:v>93.883819374765039</c:v>
                </c:pt>
                <c:pt idx="10">
                  <c:v>94.577631957484073</c:v>
                </c:pt>
                <c:pt idx="11">
                  <c:v>118.18416588385004</c:v>
                </c:pt>
                <c:pt idx="12">
                  <c:v>99.02610042107554</c:v>
                </c:pt>
                <c:pt idx="13">
                  <c:v>94.421687707390234</c:v>
                </c:pt>
                <c:pt idx="14">
                  <c:v>82.22254093478746</c:v>
                </c:pt>
                <c:pt idx="15">
                  <c:v>66.041770416641938</c:v>
                </c:pt>
                <c:pt idx="16">
                  <c:v>77.003874511248569</c:v>
                </c:pt>
                <c:pt idx="17">
                  <c:v>89.905621362334344</c:v>
                </c:pt>
                <c:pt idx="18">
                  <c:v>87.339194429082085</c:v>
                </c:pt>
                <c:pt idx="19">
                  <c:v>92.063112619152761</c:v>
                </c:pt>
                <c:pt idx="20">
                  <c:v>87.902334420113874</c:v>
                </c:pt>
                <c:pt idx="21">
                  <c:v>100.39616605305891</c:v>
                </c:pt>
                <c:pt idx="22">
                  <c:v>96.491927583225319</c:v>
                </c:pt>
                <c:pt idx="23">
                  <c:v>88.975598742339187</c:v>
                </c:pt>
                <c:pt idx="24">
                  <c:v>94.682074516915307</c:v>
                </c:pt>
                <c:pt idx="25">
                  <c:v>98.469238089366755</c:v>
                </c:pt>
                <c:pt idx="26">
                  <c:v>97.552436665299695</c:v>
                </c:pt>
                <c:pt idx="27">
                  <c:v>96.506879979874299</c:v>
                </c:pt>
                <c:pt idx="28">
                  <c:v>99.814851729349812</c:v>
                </c:pt>
                <c:pt idx="29">
                  <c:v>97.687728534938685</c:v>
                </c:pt>
                <c:pt idx="30">
                  <c:v>101.00207466606841</c:v>
                </c:pt>
                <c:pt idx="31">
                  <c:v>101.77766475256398</c:v>
                </c:pt>
                <c:pt idx="32">
                  <c:v>104.00918214590007</c:v>
                </c:pt>
                <c:pt idx="33">
                  <c:v>99.748455088888164</c:v>
                </c:pt>
                <c:pt idx="34">
                  <c:v>97.835531506769598</c:v>
                </c:pt>
                <c:pt idx="35">
                  <c:v>104.01167383042484</c:v>
                </c:pt>
                <c:pt idx="36">
                  <c:v>102.76031373777367</c:v>
                </c:pt>
                <c:pt idx="37">
                  <c:v>102.08737635560075</c:v>
                </c:pt>
                <c:pt idx="38">
                  <c:v>109.15135453853802</c:v>
                </c:pt>
                <c:pt idx="39">
                  <c:v>109.53651846763734</c:v>
                </c:pt>
                <c:pt idx="40">
                  <c:v>113.70201534462906</c:v>
                </c:pt>
                <c:pt idx="41">
                  <c:v>107.81364227638161</c:v>
                </c:pt>
                <c:pt idx="42">
                  <c:v>108.77150599358457</c:v>
                </c:pt>
                <c:pt idx="43">
                  <c:v>107.29683198533289</c:v>
                </c:pt>
                <c:pt idx="44">
                  <c:v>107.36165222536502</c:v>
                </c:pt>
              </c:numCache>
            </c:numRef>
          </c:val>
          <c:smooth val="0"/>
          <c:extLst>
            <c:ext xmlns:c16="http://schemas.microsoft.com/office/drawing/2014/chart" uri="{C3380CC4-5D6E-409C-BE32-E72D297353CC}">
              <c16:uniqueId val="{00000034-FADA-4C08-B875-3C7A9AE25080}"/>
            </c:ext>
          </c:extLst>
        </c:ser>
        <c:ser>
          <c:idx val="2"/>
          <c:order val="4"/>
          <c:tx>
            <c:strRef>
              <c:f>'Prerađivačka_6 graf'!$BJ$7</c:f>
              <c:strCache>
                <c:ptCount val="1"/>
                <c:pt idx="0">
                  <c:v>t</c:v>
                </c:pt>
              </c:strCache>
            </c:strRef>
          </c:tx>
          <c:spPr>
            <a:ln w="25400" cap="rnd">
              <a:solidFill>
                <a:srgbClr val="FF0000"/>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graf'!$BJ$32:$BJ$76</c:f>
              <c:numCache>
                <c:formatCode>0.0</c:formatCode>
                <c:ptCount val="45"/>
                <c:pt idx="0">
                  <c:v>93.707062370611453</c:v>
                </c:pt>
                <c:pt idx="1">
                  <c:v>93.657139963475032</c:v>
                </c:pt>
                <c:pt idx="2">
                  <c:v>93.256853209682689</c:v>
                </c:pt>
                <c:pt idx="3">
                  <c:v>92.113928569692121</c:v>
                </c:pt>
                <c:pt idx="4">
                  <c:v>90.512901134344176</c:v>
                </c:pt>
                <c:pt idx="5">
                  <c:v>89.119776016158781</c:v>
                </c:pt>
                <c:pt idx="6">
                  <c:v>88.424409861871013</c:v>
                </c:pt>
                <c:pt idx="7">
                  <c:v>88.866879167833062</c:v>
                </c:pt>
                <c:pt idx="8">
                  <c:v>90.521077293122858</c:v>
                </c:pt>
                <c:pt idx="9">
                  <c:v>92.765745658960952</c:v>
                </c:pt>
                <c:pt idx="10">
                  <c:v>94.58812411476012</c:v>
                </c:pt>
                <c:pt idx="11">
                  <c:v>95.070672337912654</c:v>
                </c:pt>
                <c:pt idx="12">
                  <c:v>93.717288105799369</c:v>
                </c:pt>
                <c:pt idx="13">
                  <c:v>90.831837843954787</c:v>
                </c:pt>
                <c:pt idx="14">
                  <c:v>87.541225631057998</c:v>
                </c:pt>
                <c:pt idx="15">
                  <c:v>84.985799600295834</c:v>
                </c:pt>
                <c:pt idx="16">
                  <c:v>83.880308812240003</c:v>
                </c:pt>
                <c:pt idx="17">
                  <c:v>84.479693321547984</c:v>
                </c:pt>
                <c:pt idx="18">
                  <c:v>86.387251925791873</c:v>
                </c:pt>
                <c:pt idx="19">
                  <c:v>88.687343045371378</c:v>
                </c:pt>
                <c:pt idx="20">
                  <c:v>90.647560692571076</c:v>
                </c:pt>
                <c:pt idx="21">
                  <c:v>92.122144903049545</c:v>
                </c:pt>
                <c:pt idx="22">
                  <c:v>93.306596470264267</c:v>
                </c:pt>
                <c:pt idx="23">
                  <c:v>94.367910890903431</c:v>
                </c:pt>
                <c:pt idx="24">
                  <c:v>95.418547987442608</c:v>
                </c:pt>
                <c:pt idx="25">
                  <c:v>96.358497116346754</c:v>
                </c:pt>
                <c:pt idx="26">
                  <c:v>97.131082550100587</c:v>
                </c:pt>
                <c:pt idx="27">
                  <c:v>97.892102410589672</c:v>
                </c:pt>
                <c:pt idx="28">
                  <c:v>98.873474267310698</c:v>
                </c:pt>
                <c:pt idx="29">
                  <c:v>99.768628775183259</c:v>
                </c:pt>
                <c:pt idx="30">
                  <c:v>100.42458265921906</c:v>
                </c:pt>
                <c:pt idx="31">
                  <c:v>100.94967718211923</c:v>
                </c:pt>
                <c:pt idx="32">
                  <c:v>101.13899902446542</c:v>
                </c:pt>
                <c:pt idx="33">
                  <c:v>101.06773584641098</c:v>
                </c:pt>
                <c:pt idx="34">
                  <c:v>101.07415130267007</c:v>
                </c:pt>
                <c:pt idx="35">
                  <c:v>101.70700912740743</c:v>
                </c:pt>
                <c:pt idx="36">
                  <c:v>103.15116897658824</c:v>
                </c:pt>
                <c:pt idx="37">
                  <c:v>105.27451841186301</c:v>
                </c:pt>
                <c:pt idx="38">
                  <c:v>107.47223621922359</c:v>
                </c:pt>
                <c:pt idx="39">
                  <c:v>109.11063597454006</c:v>
                </c:pt>
                <c:pt idx="40">
                  <c:v>109.90194287825862</c:v>
                </c:pt>
                <c:pt idx="41">
                  <c:v>109.82608483145015</c:v>
                </c:pt>
                <c:pt idx="42">
                  <c:v>109.11658316052618</c:v>
                </c:pt>
                <c:pt idx="43">
                  <c:v>108.15139165403377</c:v>
                </c:pt>
                <c:pt idx="44">
                  <c:v>107.23729487924437</c:v>
                </c:pt>
              </c:numCache>
            </c:numRef>
          </c:val>
          <c:smooth val="0"/>
          <c:extLst>
            <c:ext xmlns:c16="http://schemas.microsoft.com/office/drawing/2014/chart" uri="{C3380CC4-5D6E-409C-BE32-E72D297353CC}">
              <c16:uniqueId val="{00000035-FADA-4C08-B875-3C7A9AE25080}"/>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30"/>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graf'!$AA$7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6.339820917041992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CBE-4765-A180-4CA84C14C665}"/>
                </c:ext>
              </c:extLst>
            </c:dLbl>
            <c:dLbl>
              <c:idx val="12"/>
              <c:layout>
                <c:manualLayout>
                  <c:x val="6.336389677862094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BE-4765-A180-4CA84C14C665}"/>
                </c:ext>
              </c:extLst>
            </c:dLbl>
            <c:dLbl>
              <c:idx val="24"/>
              <c:layout>
                <c:manualLayout>
                  <c:x val="6.198620225941901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CBE-4765-A180-4CA84C14C665}"/>
                </c:ext>
              </c:extLst>
            </c:dLbl>
            <c:dLbl>
              <c:idx val="36"/>
              <c:layout>
                <c:manualLayout>
                  <c:x val="1.900591365540546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CBE-4765-A180-4CA84C14C66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graf'!$AA$32:$AA$76</c:f>
              <c:numCache>
                <c:formatCode>General</c:formatCode>
                <c:ptCount val="45"/>
                <c:pt idx="0">
                  <c:v>60</c:v>
                </c:pt>
                <c:pt idx="12">
                  <c:v>60</c:v>
                </c:pt>
                <c:pt idx="24">
                  <c:v>60</c:v>
                </c:pt>
                <c:pt idx="36">
                  <c:v>60</c:v>
                </c:pt>
              </c:numCache>
            </c:numRef>
          </c:val>
          <c:smooth val="0"/>
          <c:extLst>
            <c:ext xmlns:c16="http://schemas.microsoft.com/office/drawing/2014/chart" uri="{C3380CC4-5D6E-409C-BE32-E72D297353CC}">
              <c16:uniqueId val="{00000004-4CBE-4765-A180-4CA84C14C665}"/>
            </c:ext>
          </c:extLst>
        </c:ser>
        <c:ser>
          <c:idx val="4"/>
          <c:order val="1"/>
          <c:tx>
            <c:strRef>
              <c:f>'Prerađivačka_6 graf'!$AB$7</c:f>
              <c:strCache>
                <c:ptCount val="1"/>
                <c:pt idx="0">
                  <c:v>Series5</c:v>
                </c:pt>
              </c:strCache>
            </c:strRef>
          </c:tx>
          <c:spPr>
            <a:ln w="25400" cap="rnd">
              <a:noFill/>
              <a:round/>
            </a:ln>
            <a:effectLst/>
          </c:spPr>
          <c:marker>
            <c:symbol val="none"/>
          </c:marker>
          <c:dLbls>
            <c:dLbl>
              <c:idx val="0"/>
              <c:tx>
                <c:rich>
                  <a:bodyPr/>
                  <a:lstStyle/>
                  <a:p>
                    <a:fld id="{63C557BF-C30C-4CB9-850B-37D389792EF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4CBE-4765-A180-4CA84C14C665}"/>
                </c:ext>
              </c:extLst>
            </c:dLbl>
            <c:dLbl>
              <c:idx val="1"/>
              <c:tx>
                <c:rich>
                  <a:bodyPr/>
                  <a:lstStyle/>
                  <a:p>
                    <a:fld id="{E171C024-05F7-4C99-878C-4ABA1DBC789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4CBE-4765-A180-4CA84C14C665}"/>
                </c:ext>
              </c:extLst>
            </c:dLbl>
            <c:dLbl>
              <c:idx val="2"/>
              <c:tx>
                <c:rich>
                  <a:bodyPr/>
                  <a:lstStyle/>
                  <a:p>
                    <a:fld id="{7D6DBC51-F8CC-42B5-8821-CAEB6A13D5D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4CBE-4765-A180-4CA84C14C665}"/>
                </c:ext>
              </c:extLst>
            </c:dLbl>
            <c:dLbl>
              <c:idx val="3"/>
              <c:tx>
                <c:rich>
                  <a:bodyPr/>
                  <a:lstStyle/>
                  <a:p>
                    <a:fld id="{06587C4F-668C-473A-8D1D-29FE4E323A1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4CBE-4765-A180-4CA84C14C665}"/>
                </c:ext>
              </c:extLst>
            </c:dLbl>
            <c:dLbl>
              <c:idx val="4"/>
              <c:tx>
                <c:rich>
                  <a:bodyPr/>
                  <a:lstStyle/>
                  <a:p>
                    <a:fld id="{4F49B16B-348F-40B8-8C7D-76E6773AC56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4CBE-4765-A180-4CA84C14C665}"/>
                </c:ext>
              </c:extLst>
            </c:dLbl>
            <c:dLbl>
              <c:idx val="5"/>
              <c:tx>
                <c:rich>
                  <a:bodyPr/>
                  <a:lstStyle/>
                  <a:p>
                    <a:fld id="{32582380-BCBE-474B-AEB6-03AA7C2CAB7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4CBE-4765-A180-4CA84C14C665}"/>
                </c:ext>
              </c:extLst>
            </c:dLbl>
            <c:dLbl>
              <c:idx val="6"/>
              <c:tx>
                <c:rich>
                  <a:bodyPr/>
                  <a:lstStyle/>
                  <a:p>
                    <a:fld id="{584CC1BC-1491-4777-AACF-04B4F46B720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4CBE-4765-A180-4CA84C14C665}"/>
                </c:ext>
              </c:extLst>
            </c:dLbl>
            <c:dLbl>
              <c:idx val="7"/>
              <c:tx>
                <c:rich>
                  <a:bodyPr/>
                  <a:lstStyle/>
                  <a:p>
                    <a:fld id="{5D9B4691-AA3E-4163-B54B-CFE0BA2260B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4CBE-4765-A180-4CA84C14C665}"/>
                </c:ext>
              </c:extLst>
            </c:dLbl>
            <c:dLbl>
              <c:idx val="8"/>
              <c:tx>
                <c:rich>
                  <a:bodyPr/>
                  <a:lstStyle/>
                  <a:p>
                    <a:fld id="{64385F70-CBB4-4381-BABE-348DECE7B8C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4CBE-4765-A180-4CA84C14C665}"/>
                </c:ext>
              </c:extLst>
            </c:dLbl>
            <c:dLbl>
              <c:idx val="9"/>
              <c:tx>
                <c:rich>
                  <a:bodyPr/>
                  <a:lstStyle/>
                  <a:p>
                    <a:fld id="{15F2086E-A7E3-4EE9-B047-256AD72C309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4CBE-4765-A180-4CA84C14C665}"/>
                </c:ext>
              </c:extLst>
            </c:dLbl>
            <c:dLbl>
              <c:idx val="10"/>
              <c:tx>
                <c:rich>
                  <a:bodyPr/>
                  <a:lstStyle/>
                  <a:p>
                    <a:fld id="{EAF1D9A7-D59E-41B4-9A47-FF3C22FD09B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4CBE-4765-A180-4CA84C14C665}"/>
                </c:ext>
              </c:extLst>
            </c:dLbl>
            <c:dLbl>
              <c:idx val="11"/>
              <c:tx>
                <c:rich>
                  <a:bodyPr/>
                  <a:lstStyle/>
                  <a:p>
                    <a:fld id="{8E5EAE54-EAD6-415A-A619-DB4EDFD3394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4CBE-4765-A180-4CA84C14C665}"/>
                </c:ext>
              </c:extLst>
            </c:dLbl>
            <c:dLbl>
              <c:idx val="12"/>
              <c:tx>
                <c:rich>
                  <a:bodyPr/>
                  <a:lstStyle/>
                  <a:p>
                    <a:fld id="{3B583975-0921-4BF2-BB9D-F7A0713CCDC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4CBE-4765-A180-4CA84C14C665}"/>
                </c:ext>
              </c:extLst>
            </c:dLbl>
            <c:dLbl>
              <c:idx val="13"/>
              <c:tx>
                <c:rich>
                  <a:bodyPr/>
                  <a:lstStyle/>
                  <a:p>
                    <a:fld id="{B0EA38EA-05BE-444D-B30E-61188360D6D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4CBE-4765-A180-4CA84C14C665}"/>
                </c:ext>
              </c:extLst>
            </c:dLbl>
            <c:dLbl>
              <c:idx val="14"/>
              <c:tx>
                <c:rich>
                  <a:bodyPr/>
                  <a:lstStyle/>
                  <a:p>
                    <a:fld id="{DDD14E40-9394-4C27-B474-D0567628833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4CBE-4765-A180-4CA84C14C665}"/>
                </c:ext>
              </c:extLst>
            </c:dLbl>
            <c:dLbl>
              <c:idx val="15"/>
              <c:tx>
                <c:rich>
                  <a:bodyPr/>
                  <a:lstStyle/>
                  <a:p>
                    <a:fld id="{809F7EF7-FA80-4F4B-8C1C-EB1DFAF7996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4CBE-4765-A180-4CA84C14C665}"/>
                </c:ext>
              </c:extLst>
            </c:dLbl>
            <c:dLbl>
              <c:idx val="16"/>
              <c:tx>
                <c:rich>
                  <a:bodyPr/>
                  <a:lstStyle/>
                  <a:p>
                    <a:fld id="{2E6A03D9-88A4-41AD-8361-74EE6ED6F44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4CBE-4765-A180-4CA84C14C665}"/>
                </c:ext>
              </c:extLst>
            </c:dLbl>
            <c:dLbl>
              <c:idx val="17"/>
              <c:tx>
                <c:rich>
                  <a:bodyPr/>
                  <a:lstStyle/>
                  <a:p>
                    <a:fld id="{65435C40-0904-42DD-8EFB-9F772E617A6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4CBE-4765-A180-4CA84C14C665}"/>
                </c:ext>
              </c:extLst>
            </c:dLbl>
            <c:dLbl>
              <c:idx val="18"/>
              <c:tx>
                <c:rich>
                  <a:bodyPr/>
                  <a:lstStyle/>
                  <a:p>
                    <a:fld id="{4B0BA1E1-27AB-403D-8F59-85A8F6B8149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4CBE-4765-A180-4CA84C14C665}"/>
                </c:ext>
              </c:extLst>
            </c:dLbl>
            <c:dLbl>
              <c:idx val="19"/>
              <c:tx>
                <c:rich>
                  <a:bodyPr/>
                  <a:lstStyle/>
                  <a:p>
                    <a:fld id="{F004F30E-4D74-4418-A84C-46C473E905F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4CBE-4765-A180-4CA84C14C665}"/>
                </c:ext>
              </c:extLst>
            </c:dLbl>
            <c:dLbl>
              <c:idx val="20"/>
              <c:tx>
                <c:rich>
                  <a:bodyPr/>
                  <a:lstStyle/>
                  <a:p>
                    <a:fld id="{CB425D49-3855-4095-B53C-42477CB9CE7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4CBE-4765-A180-4CA84C14C665}"/>
                </c:ext>
              </c:extLst>
            </c:dLbl>
            <c:dLbl>
              <c:idx val="21"/>
              <c:tx>
                <c:rich>
                  <a:bodyPr/>
                  <a:lstStyle/>
                  <a:p>
                    <a:fld id="{0466A04B-BC18-45C7-A39B-E3CA67E0C4E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4CBE-4765-A180-4CA84C14C665}"/>
                </c:ext>
              </c:extLst>
            </c:dLbl>
            <c:dLbl>
              <c:idx val="22"/>
              <c:tx>
                <c:rich>
                  <a:bodyPr/>
                  <a:lstStyle/>
                  <a:p>
                    <a:fld id="{D207BFAC-E9A5-459D-95F2-D1E22291014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4CBE-4765-A180-4CA84C14C665}"/>
                </c:ext>
              </c:extLst>
            </c:dLbl>
            <c:dLbl>
              <c:idx val="23"/>
              <c:tx>
                <c:rich>
                  <a:bodyPr/>
                  <a:lstStyle/>
                  <a:p>
                    <a:fld id="{5990EA5A-D017-47EB-9739-FD5CAB076CA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4CBE-4765-A180-4CA84C14C665}"/>
                </c:ext>
              </c:extLst>
            </c:dLbl>
            <c:dLbl>
              <c:idx val="24"/>
              <c:tx>
                <c:rich>
                  <a:bodyPr/>
                  <a:lstStyle/>
                  <a:p>
                    <a:fld id="{C1B34908-5E37-4B99-A72F-8052A297C56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4CBE-4765-A180-4CA84C14C665}"/>
                </c:ext>
              </c:extLst>
            </c:dLbl>
            <c:dLbl>
              <c:idx val="25"/>
              <c:tx>
                <c:rich>
                  <a:bodyPr/>
                  <a:lstStyle/>
                  <a:p>
                    <a:fld id="{B534EACB-3608-4F0B-9F2D-455C7FED6CC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4CBE-4765-A180-4CA84C14C665}"/>
                </c:ext>
              </c:extLst>
            </c:dLbl>
            <c:dLbl>
              <c:idx val="26"/>
              <c:tx>
                <c:rich>
                  <a:bodyPr/>
                  <a:lstStyle/>
                  <a:p>
                    <a:fld id="{74146D1D-2BBC-4EA7-AF42-7A03FE7E29B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4CBE-4765-A180-4CA84C14C665}"/>
                </c:ext>
              </c:extLst>
            </c:dLbl>
            <c:dLbl>
              <c:idx val="27"/>
              <c:tx>
                <c:rich>
                  <a:bodyPr/>
                  <a:lstStyle/>
                  <a:p>
                    <a:fld id="{409E2AF6-4FD5-480E-A2FC-68AF5D6C6B7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4CBE-4765-A180-4CA84C14C665}"/>
                </c:ext>
              </c:extLst>
            </c:dLbl>
            <c:dLbl>
              <c:idx val="28"/>
              <c:tx>
                <c:rich>
                  <a:bodyPr/>
                  <a:lstStyle/>
                  <a:p>
                    <a:fld id="{8AE599F2-FB95-4BEE-BD43-9614282BFFD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4CBE-4765-A180-4CA84C14C665}"/>
                </c:ext>
              </c:extLst>
            </c:dLbl>
            <c:dLbl>
              <c:idx val="29"/>
              <c:tx>
                <c:rich>
                  <a:bodyPr/>
                  <a:lstStyle/>
                  <a:p>
                    <a:fld id="{E8F00E75-2035-4895-8AE1-72A3CF55D89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4CBE-4765-A180-4CA84C14C665}"/>
                </c:ext>
              </c:extLst>
            </c:dLbl>
            <c:dLbl>
              <c:idx val="30"/>
              <c:tx>
                <c:rich>
                  <a:bodyPr/>
                  <a:lstStyle/>
                  <a:p>
                    <a:fld id="{0F3908AD-36E4-407D-B2DA-59C7A97970B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4CBE-4765-A180-4CA84C14C665}"/>
                </c:ext>
              </c:extLst>
            </c:dLbl>
            <c:dLbl>
              <c:idx val="31"/>
              <c:tx>
                <c:rich>
                  <a:bodyPr/>
                  <a:lstStyle/>
                  <a:p>
                    <a:fld id="{DD45F673-D3BC-43E5-81AE-53FF5C82922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4CBE-4765-A180-4CA84C14C665}"/>
                </c:ext>
              </c:extLst>
            </c:dLbl>
            <c:dLbl>
              <c:idx val="32"/>
              <c:tx>
                <c:rich>
                  <a:bodyPr/>
                  <a:lstStyle/>
                  <a:p>
                    <a:fld id="{DD80E313-8788-463A-8CA3-05F7660E046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4CBE-4765-A180-4CA84C14C665}"/>
                </c:ext>
              </c:extLst>
            </c:dLbl>
            <c:dLbl>
              <c:idx val="33"/>
              <c:tx>
                <c:rich>
                  <a:bodyPr/>
                  <a:lstStyle/>
                  <a:p>
                    <a:fld id="{5A5B27D6-AB1B-45D3-9E6D-757402A2CEA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4CBE-4765-A180-4CA84C14C665}"/>
                </c:ext>
              </c:extLst>
            </c:dLbl>
            <c:dLbl>
              <c:idx val="34"/>
              <c:tx>
                <c:rich>
                  <a:bodyPr/>
                  <a:lstStyle/>
                  <a:p>
                    <a:fld id="{5669025D-1AD5-4C00-964F-90E16438FC6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4CBE-4765-A180-4CA84C14C665}"/>
                </c:ext>
              </c:extLst>
            </c:dLbl>
            <c:dLbl>
              <c:idx val="35"/>
              <c:tx>
                <c:rich>
                  <a:bodyPr/>
                  <a:lstStyle/>
                  <a:p>
                    <a:fld id="{6F26753B-4E40-40E6-8CAF-68926A9B93B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4CBE-4765-A180-4CA84C14C665}"/>
                </c:ext>
              </c:extLst>
            </c:dLbl>
            <c:dLbl>
              <c:idx val="36"/>
              <c:tx>
                <c:rich>
                  <a:bodyPr/>
                  <a:lstStyle/>
                  <a:p>
                    <a:fld id="{BFFF95CC-C89A-4909-A63B-375E6C44A10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4CBE-4765-A180-4CA84C14C665}"/>
                </c:ext>
              </c:extLst>
            </c:dLbl>
            <c:dLbl>
              <c:idx val="37"/>
              <c:tx>
                <c:rich>
                  <a:bodyPr/>
                  <a:lstStyle/>
                  <a:p>
                    <a:fld id="{6879500A-7A47-4D5D-839E-DA1BFCD53FC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4CBE-4765-A180-4CA84C14C665}"/>
                </c:ext>
              </c:extLst>
            </c:dLbl>
            <c:dLbl>
              <c:idx val="38"/>
              <c:tx>
                <c:rich>
                  <a:bodyPr/>
                  <a:lstStyle/>
                  <a:p>
                    <a:fld id="{2AD88CEF-AE5D-40D0-BDC8-FE33B361694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4CBE-4765-A180-4CA84C14C665}"/>
                </c:ext>
              </c:extLst>
            </c:dLbl>
            <c:dLbl>
              <c:idx val="39"/>
              <c:tx>
                <c:rich>
                  <a:bodyPr/>
                  <a:lstStyle/>
                  <a:p>
                    <a:fld id="{E647F5DE-288A-45AF-9016-5A32DCEACCA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4CBE-4765-A180-4CA84C14C665}"/>
                </c:ext>
              </c:extLst>
            </c:dLbl>
            <c:dLbl>
              <c:idx val="40"/>
              <c:tx>
                <c:rich>
                  <a:bodyPr/>
                  <a:lstStyle/>
                  <a:p>
                    <a:fld id="{5907091D-BBD3-457A-8E90-F40476811B7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4CBE-4765-A180-4CA84C14C665}"/>
                </c:ext>
              </c:extLst>
            </c:dLbl>
            <c:dLbl>
              <c:idx val="41"/>
              <c:tx>
                <c:rich>
                  <a:bodyPr/>
                  <a:lstStyle/>
                  <a:p>
                    <a:fld id="{1D4F890A-D1F9-4FA8-9EAF-2902B011479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4CBE-4765-A180-4CA84C14C665}"/>
                </c:ext>
              </c:extLst>
            </c:dLbl>
            <c:dLbl>
              <c:idx val="42"/>
              <c:tx>
                <c:rich>
                  <a:bodyPr/>
                  <a:lstStyle/>
                  <a:p>
                    <a:fld id="{753A919B-FF03-4994-9FA0-CD6E851288E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4CBE-4765-A180-4CA84C14C665}"/>
                </c:ext>
              </c:extLst>
            </c:dLbl>
            <c:dLbl>
              <c:idx val="43"/>
              <c:tx>
                <c:rich>
                  <a:bodyPr/>
                  <a:lstStyle/>
                  <a:p>
                    <a:fld id="{460F694C-B77E-49F7-9732-CB86A606043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4CBE-4765-A180-4CA84C14C665}"/>
                </c:ext>
              </c:extLst>
            </c:dLbl>
            <c:dLbl>
              <c:idx val="44"/>
              <c:tx>
                <c:rich>
                  <a:bodyPr/>
                  <a:lstStyle/>
                  <a:p>
                    <a:fld id="{C6BC00EA-D1F7-4E74-AEC9-5EE0DA49A1D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4CBE-4765-A180-4CA84C14C66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graf'!$AB$32:$AB$76</c:f>
              <c:numCache>
                <c:formatCode>General</c:formatCode>
                <c:ptCount val="45"/>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pt idx="39">
                  <c:v>60</c:v>
                </c:pt>
                <c:pt idx="40">
                  <c:v>60</c:v>
                </c:pt>
                <c:pt idx="41">
                  <c:v>60</c:v>
                </c:pt>
                <c:pt idx="42">
                  <c:v>60</c:v>
                </c:pt>
                <c:pt idx="43">
                  <c:v>60</c:v>
                </c:pt>
                <c:pt idx="44">
                  <c:v>60</c:v>
                </c:pt>
              </c:numCache>
            </c:numRef>
          </c:val>
          <c:smooth val="0"/>
          <c:extLst>
            <c:ext xmlns:c15="http://schemas.microsoft.com/office/drawing/2012/chart" uri="{02D57815-91ED-43cb-92C2-25804820EDAC}">
              <c15:datalabelsRange>
                <c15:f>'Prerađivačka_6 graf'!$B$32:$B$76</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2-4CBE-4765-A180-4CA84C14C665}"/>
            </c:ext>
          </c:extLst>
        </c:ser>
        <c:ser>
          <c:idx val="0"/>
          <c:order val="2"/>
          <c:tx>
            <c:strRef>
              <c:f>'Prerađivačka_6 graf'!$AC$7</c:f>
              <c:strCache>
                <c:ptCount val="1"/>
                <c:pt idx="0">
                  <c:v>y</c:v>
                </c:pt>
              </c:strCache>
            </c:strRef>
          </c:tx>
          <c:spPr>
            <a:ln w="12700" cap="rnd">
              <a:solidFill>
                <a:srgbClr val="7F3F98"/>
              </a:solidFill>
              <a:prstDash val="sysDash"/>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graf'!$AC$32:$AC$76</c:f>
              <c:numCache>
                <c:formatCode>0.0</c:formatCode>
                <c:ptCount val="45"/>
                <c:pt idx="0">
                  <c:v>75.204765450484004</c:v>
                </c:pt>
                <c:pt idx="1">
                  <c:v>78.108711839166062</c:v>
                </c:pt>
                <c:pt idx="2">
                  <c:v>87.192851824274015</c:v>
                </c:pt>
                <c:pt idx="3">
                  <c:v>91.734921816828006</c:v>
                </c:pt>
                <c:pt idx="4">
                  <c:v>100.96798212956068</c:v>
                </c:pt>
                <c:pt idx="5">
                  <c:v>91.660461653015645</c:v>
                </c:pt>
                <c:pt idx="6">
                  <c:v>99.478778853313486</c:v>
                </c:pt>
                <c:pt idx="7">
                  <c:v>72.970960536113196</c:v>
                </c:pt>
                <c:pt idx="8">
                  <c:v>89.873417721519004</c:v>
                </c:pt>
                <c:pt idx="9">
                  <c:v>107.59493670886077</c:v>
                </c:pt>
                <c:pt idx="10">
                  <c:v>107.59493670886077</c:v>
                </c:pt>
                <c:pt idx="11">
                  <c:v>111.54132539091589</c:v>
                </c:pt>
                <c:pt idx="12">
                  <c:v>80.565897244973954</c:v>
                </c:pt>
                <c:pt idx="13">
                  <c:v>100.07446016381239</c:v>
                </c:pt>
                <c:pt idx="14">
                  <c:v>100.37230081906183</c:v>
                </c:pt>
                <c:pt idx="15">
                  <c:v>104.39314966492927</c:v>
                </c:pt>
                <c:pt idx="16">
                  <c:v>115.71109456440807</c:v>
                </c:pt>
                <c:pt idx="17">
                  <c:v>107.07371556217427</c:v>
                </c:pt>
                <c:pt idx="18">
                  <c:v>95.383469843633662</c:v>
                </c:pt>
                <c:pt idx="19">
                  <c:v>81.23603871928519</c:v>
                </c:pt>
                <c:pt idx="20">
                  <c:v>93.670886075949383</c:v>
                </c:pt>
                <c:pt idx="21">
                  <c:v>93.224125093075216</c:v>
                </c:pt>
                <c:pt idx="22">
                  <c:v>72.226358897989584</c:v>
                </c:pt>
                <c:pt idx="23">
                  <c:v>95.457930007446024</c:v>
                </c:pt>
                <c:pt idx="24">
                  <c:v>75.582479030754897</c:v>
                </c:pt>
                <c:pt idx="25">
                  <c:v>97.078870496592003</c:v>
                </c:pt>
                <c:pt idx="26">
                  <c:v>105.38979788257939</c:v>
                </c:pt>
                <c:pt idx="27">
                  <c:v>101.12130479102957</c:v>
                </c:pt>
                <c:pt idx="28">
                  <c:v>97.536945812807886</c:v>
                </c:pt>
                <c:pt idx="29">
                  <c:v>102.36578707916287</c:v>
                </c:pt>
                <c:pt idx="30">
                  <c:v>82.993799822852083</c:v>
                </c:pt>
                <c:pt idx="31">
                  <c:v>91.067761806981508</c:v>
                </c:pt>
                <c:pt idx="32">
                  <c:v>103.15126050420169</c:v>
                </c:pt>
                <c:pt idx="33">
                  <c:v>97.393894266567401</c:v>
                </c:pt>
                <c:pt idx="34">
                  <c:v>115.04095309009681</c:v>
                </c:pt>
                <c:pt idx="35">
                  <c:v>130.23082650781834</c:v>
                </c:pt>
                <c:pt idx="36">
                  <c:v>80.8</c:v>
                </c:pt>
                <c:pt idx="37">
                  <c:v>102.5</c:v>
                </c:pt>
                <c:pt idx="38">
                  <c:v>109.6</c:v>
                </c:pt>
                <c:pt idx="39">
                  <c:v>99.2</c:v>
                </c:pt>
                <c:pt idx="40">
                  <c:v>120.4</c:v>
                </c:pt>
                <c:pt idx="41">
                  <c:v>112.6</c:v>
                </c:pt>
                <c:pt idx="42">
                  <c:v>93.7</c:v>
                </c:pt>
                <c:pt idx="43">
                  <c:v>88.7</c:v>
                </c:pt>
                <c:pt idx="44">
                  <c:v>98.2</c:v>
                </c:pt>
              </c:numCache>
            </c:numRef>
          </c:val>
          <c:smooth val="0"/>
          <c:extLst>
            <c:ext xmlns:c16="http://schemas.microsoft.com/office/drawing/2014/chart" uri="{C3380CC4-5D6E-409C-BE32-E72D297353CC}">
              <c16:uniqueId val="{00000033-4CBE-4765-A180-4CA84C14C665}"/>
            </c:ext>
          </c:extLst>
        </c:ser>
        <c:ser>
          <c:idx val="1"/>
          <c:order val="3"/>
          <c:tx>
            <c:strRef>
              <c:f>'Prerađivačka_6 graf'!$AD$7</c:f>
              <c:strCache>
                <c:ptCount val="1"/>
                <c:pt idx="0">
                  <c:v>sa</c:v>
                </c:pt>
              </c:strCache>
            </c:strRef>
          </c:tx>
          <c:spPr>
            <a:ln w="22225" cap="rnd">
              <a:solidFill>
                <a:srgbClr val="25AAE1"/>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graf'!$AD$32:$AD$76</c:f>
              <c:numCache>
                <c:formatCode>0.0</c:formatCode>
                <c:ptCount val="45"/>
                <c:pt idx="0">
                  <c:v>91.028842777193304</c:v>
                </c:pt>
                <c:pt idx="1">
                  <c:v>82.423960201920437</c:v>
                </c:pt>
                <c:pt idx="2">
                  <c:v>87.197576839427683</c:v>
                </c:pt>
                <c:pt idx="3">
                  <c:v>93.120433339741339</c:v>
                </c:pt>
                <c:pt idx="4">
                  <c:v>91.814610207896877</c:v>
                </c:pt>
                <c:pt idx="5">
                  <c:v>89.162165690010625</c:v>
                </c:pt>
                <c:pt idx="6">
                  <c:v>99.807031565094249</c:v>
                </c:pt>
                <c:pt idx="7">
                  <c:v>79.816431981647327</c:v>
                </c:pt>
                <c:pt idx="8">
                  <c:v>93.720002286118913</c:v>
                </c:pt>
                <c:pt idx="9">
                  <c:v>104.34852228511063</c:v>
                </c:pt>
                <c:pt idx="10">
                  <c:v>99.897617670267636</c:v>
                </c:pt>
                <c:pt idx="11">
                  <c:v>104.70230491992483</c:v>
                </c:pt>
                <c:pt idx="12">
                  <c:v>98.711469581101696</c:v>
                </c:pt>
                <c:pt idx="13">
                  <c:v>99.515489974212159</c:v>
                </c:pt>
                <c:pt idx="14">
                  <c:v>101.2569533316191</c:v>
                </c:pt>
                <c:pt idx="15">
                  <c:v>101.64389092912135</c:v>
                </c:pt>
                <c:pt idx="16">
                  <c:v>105.94557630533699</c:v>
                </c:pt>
                <c:pt idx="17">
                  <c:v>104.5093916918667</c:v>
                </c:pt>
                <c:pt idx="18">
                  <c:v>95.972822253191595</c:v>
                </c:pt>
                <c:pt idx="19">
                  <c:v>91.559365084241364</c:v>
                </c:pt>
                <c:pt idx="20">
                  <c:v>96.355204556930644</c:v>
                </c:pt>
                <c:pt idx="21">
                  <c:v>90.23943314057145</c:v>
                </c:pt>
                <c:pt idx="22">
                  <c:v>69.786087586743037</c:v>
                </c:pt>
                <c:pt idx="23">
                  <c:v>84.689238172615958</c:v>
                </c:pt>
                <c:pt idx="24">
                  <c:v>97.634310616133988</c:v>
                </c:pt>
                <c:pt idx="25">
                  <c:v>99.671662400872975</c:v>
                </c:pt>
                <c:pt idx="26">
                  <c:v>101.4321244995091</c:v>
                </c:pt>
                <c:pt idx="27">
                  <c:v>99.732925277249066</c:v>
                </c:pt>
                <c:pt idx="28">
                  <c:v>83.312218456425242</c:v>
                </c:pt>
                <c:pt idx="29">
                  <c:v>97.618984515287224</c:v>
                </c:pt>
                <c:pt idx="30">
                  <c:v>85.044392487251116</c:v>
                </c:pt>
                <c:pt idx="31">
                  <c:v>107.20361571166058</c:v>
                </c:pt>
                <c:pt idx="32">
                  <c:v>103.22917588057746</c:v>
                </c:pt>
                <c:pt idx="33">
                  <c:v>98.183900647713173</c:v>
                </c:pt>
                <c:pt idx="34">
                  <c:v>109.69584959468862</c:v>
                </c:pt>
                <c:pt idx="35">
                  <c:v>111.81164700591357</c:v>
                </c:pt>
                <c:pt idx="36">
                  <c:v>99.84085575527898</c:v>
                </c:pt>
                <c:pt idx="37">
                  <c:v>105.45709709779774</c:v>
                </c:pt>
                <c:pt idx="38">
                  <c:v>103.52262124401888</c:v>
                </c:pt>
                <c:pt idx="39">
                  <c:v>98.729622444866436</c:v>
                </c:pt>
                <c:pt idx="40">
                  <c:v>107.22965188283835</c:v>
                </c:pt>
                <c:pt idx="41">
                  <c:v>104.15647478884536</c:v>
                </c:pt>
                <c:pt idx="42">
                  <c:v>100.25560531608018</c:v>
                </c:pt>
                <c:pt idx="43">
                  <c:v>100.59895396330442</c:v>
                </c:pt>
                <c:pt idx="44">
                  <c:v>101.26255564271887</c:v>
                </c:pt>
              </c:numCache>
            </c:numRef>
          </c:val>
          <c:smooth val="0"/>
          <c:extLst>
            <c:ext xmlns:c16="http://schemas.microsoft.com/office/drawing/2014/chart" uri="{C3380CC4-5D6E-409C-BE32-E72D297353CC}">
              <c16:uniqueId val="{00000034-4CBE-4765-A180-4CA84C14C665}"/>
            </c:ext>
          </c:extLst>
        </c:ser>
        <c:ser>
          <c:idx val="2"/>
          <c:order val="4"/>
          <c:tx>
            <c:strRef>
              <c:f>'Prerađivačka_6 graf'!$AE$7</c:f>
              <c:strCache>
                <c:ptCount val="1"/>
                <c:pt idx="0">
                  <c:v>t</c:v>
                </c:pt>
              </c:strCache>
            </c:strRef>
          </c:tx>
          <c:spPr>
            <a:ln w="25400" cap="rnd">
              <a:solidFill>
                <a:srgbClr val="FF0000"/>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graf'!$AE$32:$AE$76</c:f>
              <c:numCache>
                <c:formatCode>0.0</c:formatCode>
                <c:ptCount val="45"/>
                <c:pt idx="0">
                  <c:v>90.148021228022969</c:v>
                </c:pt>
                <c:pt idx="1">
                  <c:v>89.323854381589001</c:v>
                </c:pt>
                <c:pt idx="2">
                  <c:v>89.193993794086182</c:v>
                </c:pt>
                <c:pt idx="3">
                  <c:v>89.821202783925898</c:v>
                </c:pt>
                <c:pt idx="4">
                  <c:v>91.079305103910883</c:v>
                </c:pt>
                <c:pt idx="5">
                  <c:v>92.725954647408258</c:v>
                </c:pt>
                <c:pt idx="6">
                  <c:v>94.565475284272623</c:v>
                </c:pt>
                <c:pt idx="7">
                  <c:v>96.423357187055686</c:v>
                </c:pt>
                <c:pt idx="8">
                  <c:v>98.187241265230512</c:v>
                </c:pt>
                <c:pt idx="9">
                  <c:v>99.744453682015731</c:v>
                </c:pt>
                <c:pt idx="10">
                  <c:v>100.71677828135367</c:v>
                </c:pt>
                <c:pt idx="11">
                  <c:v>101.04680111709007</c:v>
                </c:pt>
                <c:pt idx="12">
                  <c:v>101.27206345061192</c:v>
                </c:pt>
                <c:pt idx="13">
                  <c:v>101.74900734181232</c:v>
                </c:pt>
                <c:pt idx="14">
                  <c:v>102.1458399865532</c:v>
                </c:pt>
                <c:pt idx="15">
                  <c:v>102.3924846240088</c:v>
                </c:pt>
                <c:pt idx="16">
                  <c:v>102.09604757148064</c:v>
                </c:pt>
                <c:pt idx="17">
                  <c:v>100.83768547191033</c:v>
                </c:pt>
                <c:pt idx="18">
                  <c:v>98.470282227623017</c:v>
                </c:pt>
                <c:pt idx="19">
                  <c:v>95.315665806605907</c:v>
                </c:pt>
                <c:pt idx="20">
                  <c:v>92.404315073524529</c:v>
                </c:pt>
                <c:pt idx="21">
                  <c:v>90.717093107243443</c:v>
                </c:pt>
                <c:pt idx="22">
                  <c:v>90.837095702279399</c:v>
                </c:pt>
                <c:pt idx="23">
                  <c:v>92.499228919515389</c:v>
                </c:pt>
                <c:pt idx="24">
                  <c:v>94.851984071975195</c:v>
                </c:pt>
                <c:pt idx="25">
                  <c:v>96.917963833563434</c:v>
                </c:pt>
                <c:pt idx="26">
                  <c:v>98.286959191669695</c:v>
                </c:pt>
                <c:pt idx="27">
                  <c:v>98.910106401228418</c:v>
                </c:pt>
                <c:pt idx="28">
                  <c:v>98.826955543423267</c:v>
                </c:pt>
                <c:pt idx="29">
                  <c:v>98.705713021046648</c:v>
                </c:pt>
                <c:pt idx="30">
                  <c:v>99.494061509502671</c:v>
                </c:pt>
                <c:pt idx="31">
                  <c:v>101.32592214731962</c:v>
                </c:pt>
                <c:pt idx="32">
                  <c:v>103.49956683372137</c:v>
                </c:pt>
                <c:pt idx="33">
                  <c:v>105.40066931103497</c:v>
                </c:pt>
                <c:pt idx="34">
                  <c:v>106.3023598263121</c:v>
                </c:pt>
                <c:pt idx="35">
                  <c:v>106.14010666640544</c:v>
                </c:pt>
                <c:pt idx="36">
                  <c:v>105.39026424619611</c:v>
                </c:pt>
                <c:pt idx="37">
                  <c:v>104.47981744469804</c:v>
                </c:pt>
                <c:pt idx="38">
                  <c:v>103.69659911699151</c:v>
                </c:pt>
                <c:pt idx="39">
                  <c:v>103.0376360103661</c:v>
                </c:pt>
                <c:pt idx="40">
                  <c:v>102.70212279247045</c:v>
                </c:pt>
                <c:pt idx="41">
                  <c:v>102.49253676378844</c:v>
                </c:pt>
                <c:pt idx="42">
                  <c:v>102.09607284637224</c:v>
                </c:pt>
                <c:pt idx="43">
                  <c:v>101.65304988047568</c:v>
                </c:pt>
                <c:pt idx="44">
                  <c:v>101.58180657799619</c:v>
                </c:pt>
              </c:numCache>
            </c:numRef>
          </c:val>
          <c:smooth val="0"/>
          <c:extLst>
            <c:ext xmlns:c16="http://schemas.microsoft.com/office/drawing/2014/chart" uri="{C3380CC4-5D6E-409C-BE32-E72D297353CC}">
              <c16:uniqueId val="{00000035-4CBE-4765-A180-4CA84C14C665}"/>
            </c:ext>
          </c:extLst>
        </c:ser>
        <c:dLbls>
          <c:showLegendKey val="0"/>
          <c:showVal val="0"/>
          <c:showCatName val="0"/>
          <c:showSerName val="0"/>
          <c:showPercent val="0"/>
          <c:showBubbleSize val="0"/>
        </c:dLbls>
        <c:marker val="1"/>
        <c:smooth val="0"/>
        <c:axId val="2092140944"/>
        <c:axId val="2092131696"/>
      </c:lineChart>
      <c:dateAx>
        <c:axId val="2092140944"/>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31696"/>
        <c:crosses val="autoZero"/>
        <c:auto val="1"/>
        <c:lblOffset val="0"/>
        <c:baseTimeUnit val="months"/>
        <c:majorUnit val="12"/>
        <c:majorTimeUnit val="months"/>
      </c:dateAx>
      <c:valAx>
        <c:axId val="2092131696"/>
        <c:scaling>
          <c:orientation val="minMax"/>
          <c:max val="130"/>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40944"/>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graf'!$AV$7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5.445649239237406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E3-4C26-B7A2-CFE88AE784EF}"/>
                </c:ext>
              </c:extLst>
            </c:dLbl>
            <c:dLbl>
              <c:idx val="12"/>
              <c:layout>
                <c:manualLayout>
                  <c:x val="5.891506989850117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E3-4C26-B7A2-CFE88AE784EF}"/>
                </c:ext>
              </c:extLst>
            </c:dLbl>
            <c:dLbl>
              <c:idx val="24"/>
              <c:layout>
                <c:manualLayout>
                  <c:x val="5.756683551367210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5E3-4C26-B7A2-CFE88AE784EF}"/>
                </c:ext>
              </c:extLst>
            </c:dLbl>
            <c:dLbl>
              <c:idx val="36"/>
              <c:layout>
                <c:manualLayout>
                  <c:x val="2.343026850956723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5E3-4C26-B7A2-CFE88AE784EF}"/>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graf'!$AV$32:$AV$76</c:f>
              <c:numCache>
                <c:formatCode>General</c:formatCode>
                <c:ptCount val="45"/>
                <c:pt idx="0">
                  <c:v>55</c:v>
                </c:pt>
                <c:pt idx="12">
                  <c:v>55</c:v>
                </c:pt>
                <c:pt idx="24">
                  <c:v>55</c:v>
                </c:pt>
                <c:pt idx="36">
                  <c:v>55</c:v>
                </c:pt>
              </c:numCache>
            </c:numRef>
          </c:val>
          <c:smooth val="0"/>
          <c:extLst>
            <c:ext xmlns:c16="http://schemas.microsoft.com/office/drawing/2014/chart" uri="{C3380CC4-5D6E-409C-BE32-E72D297353CC}">
              <c16:uniqueId val="{00000004-B5E3-4C26-B7A2-CFE88AE784EF}"/>
            </c:ext>
          </c:extLst>
        </c:ser>
        <c:ser>
          <c:idx val="4"/>
          <c:order val="1"/>
          <c:tx>
            <c:strRef>
              <c:f>'Prerađivačka_6 graf'!$AW$7</c:f>
              <c:strCache>
                <c:ptCount val="1"/>
                <c:pt idx="0">
                  <c:v>Series5</c:v>
                </c:pt>
              </c:strCache>
            </c:strRef>
          </c:tx>
          <c:spPr>
            <a:ln w="25400" cap="rnd">
              <a:noFill/>
              <a:round/>
            </a:ln>
            <a:effectLst/>
          </c:spPr>
          <c:marker>
            <c:symbol val="none"/>
          </c:marker>
          <c:dLbls>
            <c:dLbl>
              <c:idx val="0"/>
              <c:tx>
                <c:rich>
                  <a:bodyPr/>
                  <a:lstStyle/>
                  <a:p>
                    <a:fld id="{D78AFCDA-352E-4D66-97AB-F1855D0FDAA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B5E3-4C26-B7A2-CFE88AE784EF}"/>
                </c:ext>
              </c:extLst>
            </c:dLbl>
            <c:dLbl>
              <c:idx val="1"/>
              <c:tx>
                <c:rich>
                  <a:bodyPr/>
                  <a:lstStyle/>
                  <a:p>
                    <a:fld id="{36C1A1D8-B8D0-47F3-9C8C-EAD003ABAE3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B5E3-4C26-B7A2-CFE88AE784EF}"/>
                </c:ext>
              </c:extLst>
            </c:dLbl>
            <c:dLbl>
              <c:idx val="2"/>
              <c:tx>
                <c:rich>
                  <a:bodyPr/>
                  <a:lstStyle/>
                  <a:p>
                    <a:fld id="{14B83A6B-E2DF-4A15-BADB-4FF4FF1F4F6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B5E3-4C26-B7A2-CFE88AE784EF}"/>
                </c:ext>
              </c:extLst>
            </c:dLbl>
            <c:dLbl>
              <c:idx val="3"/>
              <c:tx>
                <c:rich>
                  <a:bodyPr/>
                  <a:lstStyle/>
                  <a:p>
                    <a:fld id="{B7A01D32-7D6D-4D56-892B-511EA4EA051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B5E3-4C26-B7A2-CFE88AE784EF}"/>
                </c:ext>
              </c:extLst>
            </c:dLbl>
            <c:dLbl>
              <c:idx val="4"/>
              <c:tx>
                <c:rich>
                  <a:bodyPr/>
                  <a:lstStyle/>
                  <a:p>
                    <a:fld id="{F3F9AE37-5062-4BB8-A083-F30A15744B9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B5E3-4C26-B7A2-CFE88AE784EF}"/>
                </c:ext>
              </c:extLst>
            </c:dLbl>
            <c:dLbl>
              <c:idx val="5"/>
              <c:tx>
                <c:rich>
                  <a:bodyPr/>
                  <a:lstStyle/>
                  <a:p>
                    <a:fld id="{0E0CC133-7761-486E-BD1E-1125CCE8213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B5E3-4C26-B7A2-CFE88AE784EF}"/>
                </c:ext>
              </c:extLst>
            </c:dLbl>
            <c:dLbl>
              <c:idx val="6"/>
              <c:tx>
                <c:rich>
                  <a:bodyPr/>
                  <a:lstStyle/>
                  <a:p>
                    <a:fld id="{C86A0BF0-366E-4F63-B7CF-3D3C2189A3E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B5E3-4C26-B7A2-CFE88AE784EF}"/>
                </c:ext>
              </c:extLst>
            </c:dLbl>
            <c:dLbl>
              <c:idx val="7"/>
              <c:tx>
                <c:rich>
                  <a:bodyPr/>
                  <a:lstStyle/>
                  <a:p>
                    <a:fld id="{6C159C08-FEE5-4304-AF66-6CE861C794D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B5E3-4C26-B7A2-CFE88AE784EF}"/>
                </c:ext>
              </c:extLst>
            </c:dLbl>
            <c:dLbl>
              <c:idx val="8"/>
              <c:tx>
                <c:rich>
                  <a:bodyPr/>
                  <a:lstStyle/>
                  <a:p>
                    <a:fld id="{95B271B1-BF1C-4894-9BCD-00D00B04F73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B5E3-4C26-B7A2-CFE88AE784EF}"/>
                </c:ext>
              </c:extLst>
            </c:dLbl>
            <c:dLbl>
              <c:idx val="9"/>
              <c:tx>
                <c:rich>
                  <a:bodyPr/>
                  <a:lstStyle/>
                  <a:p>
                    <a:fld id="{34DC535D-4A40-405F-8984-ECB167C0646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B5E3-4C26-B7A2-CFE88AE784EF}"/>
                </c:ext>
              </c:extLst>
            </c:dLbl>
            <c:dLbl>
              <c:idx val="10"/>
              <c:tx>
                <c:rich>
                  <a:bodyPr/>
                  <a:lstStyle/>
                  <a:p>
                    <a:fld id="{690E9E42-61A5-4AAC-BE62-B85C3460972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B5E3-4C26-B7A2-CFE88AE784EF}"/>
                </c:ext>
              </c:extLst>
            </c:dLbl>
            <c:dLbl>
              <c:idx val="11"/>
              <c:tx>
                <c:rich>
                  <a:bodyPr/>
                  <a:lstStyle/>
                  <a:p>
                    <a:fld id="{B2305840-9BA3-42CE-8AA6-05326F38E07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B5E3-4C26-B7A2-CFE88AE784EF}"/>
                </c:ext>
              </c:extLst>
            </c:dLbl>
            <c:dLbl>
              <c:idx val="12"/>
              <c:tx>
                <c:rich>
                  <a:bodyPr/>
                  <a:lstStyle/>
                  <a:p>
                    <a:fld id="{B87A5672-37AE-4EC3-AEDF-FC8FC4F673B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B5E3-4C26-B7A2-CFE88AE784EF}"/>
                </c:ext>
              </c:extLst>
            </c:dLbl>
            <c:dLbl>
              <c:idx val="13"/>
              <c:tx>
                <c:rich>
                  <a:bodyPr/>
                  <a:lstStyle/>
                  <a:p>
                    <a:fld id="{34B82DAC-24BE-4A49-855D-DCBFA280A71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B5E3-4C26-B7A2-CFE88AE784EF}"/>
                </c:ext>
              </c:extLst>
            </c:dLbl>
            <c:dLbl>
              <c:idx val="14"/>
              <c:tx>
                <c:rich>
                  <a:bodyPr/>
                  <a:lstStyle/>
                  <a:p>
                    <a:fld id="{49AAD711-6607-47ED-833A-A1636C3E843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B5E3-4C26-B7A2-CFE88AE784EF}"/>
                </c:ext>
              </c:extLst>
            </c:dLbl>
            <c:dLbl>
              <c:idx val="15"/>
              <c:tx>
                <c:rich>
                  <a:bodyPr/>
                  <a:lstStyle/>
                  <a:p>
                    <a:fld id="{F143D48F-CC02-4166-9A52-ADC1EEA97E2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B5E3-4C26-B7A2-CFE88AE784EF}"/>
                </c:ext>
              </c:extLst>
            </c:dLbl>
            <c:dLbl>
              <c:idx val="16"/>
              <c:tx>
                <c:rich>
                  <a:bodyPr/>
                  <a:lstStyle/>
                  <a:p>
                    <a:fld id="{FCE3DB18-2F8F-4F3A-A150-A04E290393D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B5E3-4C26-B7A2-CFE88AE784EF}"/>
                </c:ext>
              </c:extLst>
            </c:dLbl>
            <c:dLbl>
              <c:idx val="17"/>
              <c:tx>
                <c:rich>
                  <a:bodyPr/>
                  <a:lstStyle/>
                  <a:p>
                    <a:fld id="{D37CE54E-2973-4B51-A71C-B9A7EE614AF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B5E3-4C26-B7A2-CFE88AE784EF}"/>
                </c:ext>
              </c:extLst>
            </c:dLbl>
            <c:dLbl>
              <c:idx val="18"/>
              <c:tx>
                <c:rich>
                  <a:bodyPr/>
                  <a:lstStyle/>
                  <a:p>
                    <a:fld id="{0B231A7F-1AC8-4339-814B-83F2F0EB838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B5E3-4C26-B7A2-CFE88AE784EF}"/>
                </c:ext>
              </c:extLst>
            </c:dLbl>
            <c:dLbl>
              <c:idx val="19"/>
              <c:tx>
                <c:rich>
                  <a:bodyPr/>
                  <a:lstStyle/>
                  <a:p>
                    <a:fld id="{B02EC57B-C0AA-4290-8070-C129792E955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B5E3-4C26-B7A2-CFE88AE784EF}"/>
                </c:ext>
              </c:extLst>
            </c:dLbl>
            <c:dLbl>
              <c:idx val="20"/>
              <c:tx>
                <c:rich>
                  <a:bodyPr/>
                  <a:lstStyle/>
                  <a:p>
                    <a:fld id="{21DD3C59-A7D9-4955-8279-9B1EDE46BA2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B5E3-4C26-B7A2-CFE88AE784EF}"/>
                </c:ext>
              </c:extLst>
            </c:dLbl>
            <c:dLbl>
              <c:idx val="21"/>
              <c:tx>
                <c:rich>
                  <a:bodyPr/>
                  <a:lstStyle/>
                  <a:p>
                    <a:fld id="{AFAFAC98-CF4E-4335-99DE-10928023E55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B5E3-4C26-B7A2-CFE88AE784EF}"/>
                </c:ext>
              </c:extLst>
            </c:dLbl>
            <c:dLbl>
              <c:idx val="22"/>
              <c:tx>
                <c:rich>
                  <a:bodyPr/>
                  <a:lstStyle/>
                  <a:p>
                    <a:fld id="{FF678B79-D72C-4D11-8762-785510473FF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B5E3-4C26-B7A2-CFE88AE784EF}"/>
                </c:ext>
              </c:extLst>
            </c:dLbl>
            <c:dLbl>
              <c:idx val="23"/>
              <c:tx>
                <c:rich>
                  <a:bodyPr/>
                  <a:lstStyle/>
                  <a:p>
                    <a:fld id="{9E64FE61-F55C-4C29-9C94-C3D4FD0DB3D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B5E3-4C26-B7A2-CFE88AE784EF}"/>
                </c:ext>
              </c:extLst>
            </c:dLbl>
            <c:dLbl>
              <c:idx val="24"/>
              <c:tx>
                <c:rich>
                  <a:bodyPr/>
                  <a:lstStyle/>
                  <a:p>
                    <a:fld id="{E6EC9A5C-F587-4AF9-AE23-CD299BCE317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B5E3-4C26-B7A2-CFE88AE784EF}"/>
                </c:ext>
              </c:extLst>
            </c:dLbl>
            <c:dLbl>
              <c:idx val="25"/>
              <c:tx>
                <c:rich>
                  <a:bodyPr/>
                  <a:lstStyle/>
                  <a:p>
                    <a:fld id="{CAA823FC-549C-45CF-9738-E2BF274AD2A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B5E3-4C26-B7A2-CFE88AE784EF}"/>
                </c:ext>
              </c:extLst>
            </c:dLbl>
            <c:dLbl>
              <c:idx val="26"/>
              <c:tx>
                <c:rich>
                  <a:bodyPr/>
                  <a:lstStyle/>
                  <a:p>
                    <a:fld id="{151F24F8-7061-4C77-8921-0F20FF7ECD7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B5E3-4C26-B7A2-CFE88AE784EF}"/>
                </c:ext>
              </c:extLst>
            </c:dLbl>
            <c:dLbl>
              <c:idx val="27"/>
              <c:tx>
                <c:rich>
                  <a:bodyPr/>
                  <a:lstStyle/>
                  <a:p>
                    <a:fld id="{119AAA6C-A260-475B-B940-1093D184922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B5E3-4C26-B7A2-CFE88AE784EF}"/>
                </c:ext>
              </c:extLst>
            </c:dLbl>
            <c:dLbl>
              <c:idx val="28"/>
              <c:tx>
                <c:rich>
                  <a:bodyPr/>
                  <a:lstStyle/>
                  <a:p>
                    <a:fld id="{C24F4D5F-AA2C-47BE-AC71-CB0D3AB4F42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B5E3-4C26-B7A2-CFE88AE784EF}"/>
                </c:ext>
              </c:extLst>
            </c:dLbl>
            <c:dLbl>
              <c:idx val="29"/>
              <c:tx>
                <c:rich>
                  <a:bodyPr/>
                  <a:lstStyle/>
                  <a:p>
                    <a:fld id="{D0CB61DA-6AFB-4A6A-9868-0528F7FEECE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B5E3-4C26-B7A2-CFE88AE784EF}"/>
                </c:ext>
              </c:extLst>
            </c:dLbl>
            <c:dLbl>
              <c:idx val="30"/>
              <c:tx>
                <c:rich>
                  <a:bodyPr/>
                  <a:lstStyle/>
                  <a:p>
                    <a:fld id="{2C911AA7-4B18-42BC-AFAA-A9B84E8AD61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B5E3-4C26-B7A2-CFE88AE784EF}"/>
                </c:ext>
              </c:extLst>
            </c:dLbl>
            <c:dLbl>
              <c:idx val="31"/>
              <c:tx>
                <c:rich>
                  <a:bodyPr/>
                  <a:lstStyle/>
                  <a:p>
                    <a:fld id="{F6771431-2A78-4DBC-9ABE-CF72F738D56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B5E3-4C26-B7A2-CFE88AE784EF}"/>
                </c:ext>
              </c:extLst>
            </c:dLbl>
            <c:dLbl>
              <c:idx val="32"/>
              <c:tx>
                <c:rich>
                  <a:bodyPr/>
                  <a:lstStyle/>
                  <a:p>
                    <a:fld id="{B167E81A-5A87-4092-A8DA-749878F96C0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B5E3-4C26-B7A2-CFE88AE784EF}"/>
                </c:ext>
              </c:extLst>
            </c:dLbl>
            <c:dLbl>
              <c:idx val="33"/>
              <c:tx>
                <c:rich>
                  <a:bodyPr/>
                  <a:lstStyle/>
                  <a:p>
                    <a:fld id="{01DF59A7-9688-452E-BAF7-1FAA5832B44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B5E3-4C26-B7A2-CFE88AE784EF}"/>
                </c:ext>
              </c:extLst>
            </c:dLbl>
            <c:dLbl>
              <c:idx val="34"/>
              <c:tx>
                <c:rich>
                  <a:bodyPr/>
                  <a:lstStyle/>
                  <a:p>
                    <a:fld id="{E0F6042E-5226-48AB-9D17-CF163E02169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B5E3-4C26-B7A2-CFE88AE784EF}"/>
                </c:ext>
              </c:extLst>
            </c:dLbl>
            <c:dLbl>
              <c:idx val="35"/>
              <c:tx>
                <c:rich>
                  <a:bodyPr/>
                  <a:lstStyle/>
                  <a:p>
                    <a:fld id="{CDD26817-E04D-49F0-B125-0F460915E92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B5E3-4C26-B7A2-CFE88AE784EF}"/>
                </c:ext>
              </c:extLst>
            </c:dLbl>
            <c:dLbl>
              <c:idx val="36"/>
              <c:tx>
                <c:rich>
                  <a:bodyPr/>
                  <a:lstStyle/>
                  <a:p>
                    <a:fld id="{A10C5C93-E737-4C8F-B841-1559C7DDD9F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B5E3-4C26-B7A2-CFE88AE784EF}"/>
                </c:ext>
              </c:extLst>
            </c:dLbl>
            <c:dLbl>
              <c:idx val="37"/>
              <c:tx>
                <c:rich>
                  <a:bodyPr/>
                  <a:lstStyle/>
                  <a:p>
                    <a:fld id="{97A869B3-8521-4E35-8B01-474F5C33B5B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B5E3-4C26-B7A2-CFE88AE784EF}"/>
                </c:ext>
              </c:extLst>
            </c:dLbl>
            <c:dLbl>
              <c:idx val="38"/>
              <c:tx>
                <c:rich>
                  <a:bodyPr/>
                  <a:lstStyle/>
                  <a:p>
                    <a:fld id="{9084CACD-D977-437A-8383-FF55C04B57A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B5E3-4C26-B7A2-CFE88AE784EF}"/>
                </c:ext>
              </c:extLst>
            </c:dLbl>
            <c:dLbl>
              <c:idx val="39"/>
              <c:tx>
                <c:rich>
                  <a:bodyPr/>
                  <a:lstStyle/>
                  <a:p>
                    <a:fld id="{E565DB03-3F6F-4DF2-99F3-654B647D723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B5E3-4C26-B7A2-CFE88AE784EF}"/>
                </c:ext>
              </c:extLst>
            </c:dLbl>
            <c:dLbl>
              <c:idx val="40"/>
              <c:tx>
                <c:rich>
                  <a:bodyPr/>
                  <a:lstStyle/>
                  <a:p>
                    <a:fld id="{18D70D50-7318-4692-BE39-D314A4FBC84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B5E3-4C26-B7A2-CFE88AE784EF}"/>
                </c:ext>
              </c:extLst>
            </c:dLbl>
            <c:dLbl>
              <c:idx val="41"/>
              <c:tx>
                <c:rich>
                  <a:bodyPr/>
                  <a:lstStyle/>
                  <a:p>
                    <a:fld id="{CB930F55-EEF7-4D6E-8F36-F54D61836F4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B5E3-4C26-B7A2-CFE88AE784EF}"/>
                </c:ext>
              </c:extLst>
            </c:dLbl>
            <c:dLbl>
              <c:idx val="42"/>
              <c:tx>
                <c:rich>
                  <a:bodyPr/>
                  <a:lstStyle/>
                  <a:p>
                    <a:fld id="{64ABCC50-B7D8-4655-953D-1109D56CAC6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B5E3-4C26-B7A2-CFE88AE784EF}"/>
                </c:ext>
              </c:extLst>
            </c:dLbl>
            <c:dLbl>
              <c:idx val="43"/>
              <c:tx>
                <c:rich>
                  <a:bodyPr/>
                  <a:lstStyle/>
                  <a:p>
                    <a:fld id="{609DBA64-E13C-4499-A45A-2ECD8BEE545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B5E3-4C26-B7A2-CFE88AE784EF}"/>
                </c:ext>
              </c:extLst>
            </c:dLbl>
            <c:dLbl>
              <c:idx val="44"/>
              <c:tx>
                <c:rich>
                  <a:bodyPr/>
                  <a:lstStyle/>
                  <a:p>
                    <a:fld id="{4746A687-C11D-462F-9233-4F57F932942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B5E3-4C26-B7A2-CFE88AE784EF}"/>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graf'!$AW$32:$AW$76</c:f>
              <c:numCache>
                <c:formatCode>General</c:formatCode>
                <c:ptCount val="45"/>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pt idx="32">
                  <c:v>55</c:v>
                </c:pt>
                <c:pt idx="33">
                  <c:v>55</c:v>
                </c:pt>
                <c:pt idx="34">
                  <c:v>55</c:v>
                </c:pt>
                <c:pt idx="35">
                  <c:v>55</c:v>
                </c:pt>
                <c:pt idx="36">
                  <c:v>55</c:v>
                </c:pt>
                <c:pt idx="37">
                  <c:v>55</c:v>
                </c:pt>
                <c:pt idx="38">
                  <c:v>55</c:v>
                </c:pt>
                <c:pt idx="39">
                  <c:v>55</c:v>
                </c:pt>
                <c:pt idx="40">
                  <c:v>55</c:v>
                </c:pt>
                <c:pt idx="41">
                  <c:v>55</c:v>
                </c:pt>
                <c:pt idx="42">
                  <c:v>55</c:v>
                </c:pt>
                <c:pt idx="43">
                  <c:v>55</c:v>
                </c:pt>
                <c:pt idx="44">
                  <c:v>55</c:v>
                </c:pt>
              </c:numCache>
            </c:numRef>
          </c:val>
          <c:smooth val="0"/>
          <c:extLst>
            <c:ext xmlns:c15="http://schemas.microsoft.com/office/drawing/2012/chart" uri="{02D57815-91ED-43cb-92C2-25804820EDAC}">
              <c15:datalabelsRange>
                <c15:f>'Prerađivačka_6 graf'!$B$32:$B$76</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2-B5E3-4C26-B7A2-CFE88AE784EF}"/>
            </c:ext>
          </c:extLst>
        </c:ser>
        <c:ser>
          <c:idx val="0"/>
          <c:order val="2"/>
          <c:tx>
            <c:strRef>
              <c:f>'Prerađivačka_6 graf'!$AX$7</c:f>
              <c:strCache>
                <c:ptCount val="1"/>
                <c:pt idx="0">
                  <c:v>y</c:v>
                </c:pt>
              </c:strCache>
            </c:strRef>
          </c:tx>
          <c:spPr>
            <a:ln w="12700" cap="rnd">
              <a:solidFill>
                <a:srgbClr val="92278F"/>
              </a:solidFill>
              <a:prstDash val="sysDash"/>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graf'!$AX$32:$AX$76</c:f>
              <c:numCache>
                <c:formatCode>0.0</c:formatCode>
                <c:ptCount val="45"/>
                <c:pt idx="0">
                  <c:v>70.58427722328139</c:v>
                </c:pt>
                <c:pt idx="1">
                  <c:v>75.361668722664589</c:v>
                </c:pt>
                <c:pt idx="2">
                  <c:v>98.844902994280602</c:v>
                </c:pt>
                <c:pt idx="3">
                  <c:v>89.626556016597519</c:v>
                </c:pt>
                <c:pt idx="4">
                  <c:v>94.471234720197401</c:v>
                </c:pt>
                <c:pt idx="5">
                  <c:v>93.798362678030742</c:v>
                </c:pt>
                <c:pt idx="6">
                  <c:v>90.568576875630825</c:v>
                </c:pt>
                <c:pt idx="7">
                  <c:v>81.552091510597748</c:v>
                </c:pt>
                <c:pt idx="8">
                  <c:v>92.250756981047445</c:v>
                </c:pt>
                <c:pt idx="9">
                  <c:v>98.172030952113957</c:v>
                </c:pt>
                <c:pt idx="10">
                  <c:v>102.54569922619716</c:v>
                </c:pt>
                <c:pt idx="11">
                  <c:v>95.345968375014024</c:v>
                </c:pt>
                <c:pt idx="12">
                  <c:v>78.255018503981162</c:v>
                </c:pt>
                <c:pt idx="13">
                  <c:v>92.654480206347429</c:v>
                </c:pt>
                <c:pt idx="14">
                  <c:v>80.273634630481112</c:v>
                </c:pt>
                <c:pt idx="15">
                  <c:v>68.094650667264787</c:v>
                </c:pt>
                <c:pt idx="16">
                  <c:v>83.301558820231023</c:v>
                </c:pt>
                <c:pt idx="17">
                  <c:v>101.3345295502972</c:v>
                </c:pt>
                <c:pt idx="18">
                  <c:v>99.181339015363932</c:v>
                </c:pt>
                <c:pt idx="19">
                  <c:v>106.44835707076372</c:v>
                </c:pt>
                <c:pt idx="20">
                  <c:v>109.61085566894697</c:v>
                </c:pt>
                <c:pt idx="21">
                  <c:v>104.83346416956378</c:v>
                </c:pt>
                <c:pt idx="22">
                  <c:v>99.585062240663916</c:v>
                </c:pt>
                <c:pt idx="23">
                  <c:v>134.23797241224628</c:v>
                </c:pt>
                <c:pt idx="24">
                  <c:v>71.926605504587158</c:v>
                </c:pt>
                <c:pt idx="25">
                  <c:v>92.999053926206244</c:v>
                </c:pt>
                <c:pt idx="26">
                  <c:v>108.27205882352941</c:v>
                </c:pt>
                <c:pt idx="27">
                  <c:v>99.289340101522839</c:v>
                </c:pt>
                <c:pt idx="28">
                  <c:v>100.98743267504487</c:v>
                </c:pt>
                <c:pt idx="29">
                  <c:v>100.91996320147194</c:v>
                </c:pt>
                <c:pt idx="30">
                  <c:v>99.113082039911305</c:v>
                </c:pt>
                <c:pt idx="31">
                  <c:v>97.286432160804011</c:v>
                </c:pt>
                <c:pt idx="32">
                  <c:v>102.07509881422925</c:v>
                </c:pt>
                <c:pt idx="33">
                  <c:v>108.33239878883035</c:v>
                </c:pt>
                <c:pt idx="34">
                  <c:v>109.9472916900303</c:v>
                </c:pt>
                <c:pt idx="35">
                  <c:v>107.65952674666369</c:v>
                </c:pt>
                <c:pt idx="36">
                  <c:v>77.5</c:v>
                </c:pt>
                <c:pt idx="37">
                  <c:v>98.6</c:v>
                </c:pt>
                <c:pt idx="38">
                  <c:v>117.8</c:v>
                </c:pt>
                <c:pt idx="39">
                  <c:v>97.8</c:v>
                </c:pt>
                <c:pt idx="40">
                  <c:v>112.5</c:v>
                </c:pt>
                <c:pt idx="41">
                  <c:v>108.2</c:v>
                </c:pt>
                <c:pt idx="42">
                  <c:v>89.4</c:v>
                </c:pt>
                <c:pt idx="43">
                  <c:v>96.8</c:v>
                </c:pt>
                <c:pt idx="44">
                  <c:v>103.3</c:v>
                </c:pt>
              </c:numCache>
            </c:numRef>
          </c:val>
          <c:smooth val="0"/>
          <c:extLst>
            <c:ext xmlns:c16="http://schemas.microsoft.com/office/drawing/2014/chart" uri="{C3380CC4-5D6E-409C-BE32-E72D297353CC}">
              <c16:uniqueId val="{00000033-B5E3-4C26-B7A2-CFE88AE784EF}"/>
            </c:ext>
          </c:extLst>
        </c:ser>
        <c:ser>
          <c:idx val="1"/>
          <c:order val="3"/>
          <c:tx>
            <c:strRef>
              <c:f>'Prerađivačka_6 graf'!$AY$7</c:f>
              <c:strCache>
                <c:ptCount val="1"/>
                <c:pt idx="0">
                  <c:v>sa</c:v>
                </c:pt>
              </c:strCache>
            </c:strRef>
          </c:tx>
          <c:spPr>
            <a:ln w="22225" cap="rnd">
              <a:solidFill>
                <a:srgbClr val="25AAE1"/>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graf'!$AY$32:$AY$76</c:f>
              <c:numCache>
                <c:formatCode>0.0</c:formatCode>
                <c:ptCount val="45"/>
                <c:pt idx="0">
                  <c:v>88.920160450851938</c:v>
                </c:pt>
                <c:pt idx="1">
                  <c:v>82.903052987850543</c:v>
                </c:pt>
                <c:pt idx="2">
                  <c:v>89.770828236753871</c:v>
                </c:pt>
                <c:pt idx="3">
                  <c:v>93.026061802414816</c:v>
                </c:pt>
                <c:pt idx="4">
                  <c:v>91.621361852307217</c:v>
                </c:pt>
                <c:pt idx="5">
                  <c:v>90.179038447823913</c:v>
                </c:pt>
                <c:pt idx="6">
                  <c:v>90.857181750555739</c:v>
                </c:pt>
                <c:pt idx="7">
                  <c:v>84.27918546795857</c:v>
                </c:pt>
                <c:pt idx="8">
                  <c:v>90.182196170100468</c:v>
                </c:pt>
                <c:pt idx="9">
                  <c:v>90.988897374453202</c:v>
                </c:pt>
                <c:pt idx="10">
                  <c:v>95.853489612437755</c:v>
                </c:pt>
                <c:pt idx="11">
                  <c:v>94.851647649898581</c:v>
                </c:pt>
                <c:pt idx="12">
                  <c:v>100.46981816259378</c:v>
                </c:pt>
                <c:pt idx="13">
                  <c:v>96.064628343526323</c:v>
                </c:pt>
                <c:pt idx="14">
                  <c:v>73.2099491652247</c:v>
                </c:pt>
                <c:pt idx="15">
                  <c:v>68.865372383831399</c:v>
                </c:pt>
                <c:pt idx="16">
                  <c:v>82.294120994929202</c:v>
                </c:pt>
                <c:pt idx="17">
                  <c:v>97.103136206852582</c:v>
                </c:pt>
                <c:pt idx="18">
                  <c:v>97.688250074674357</c:v>
                </c:pt>
                <c:pt idx="19">
                  <c:v>112.9701626447019</c:v>
                </c:pt>
                <c:pt idx="20">
                  <c:v>103.38332979821914</c:v>
                </c:pt>
                <c:pt idx="21">
                  <c:v>99.105188176249925</c:v>
                </c:pt>
                <c:pt idx="22">
                  <c:v>97.528160923041952</c:v>
                </c:pt>
                <c:pt idx="23">
                  <c:v>128.84559481639582</c:v>
                </c:pt>
                <c:pt idx="24">
                  <c:v>94.41972837556078</c:v>
                </c:pt>
                <c:pt idx="25">
                  <c:v>99.788434819590847</c:v>
                </c:pt>
                <c:pt idx="26">
                  <c:v>96.521658049092736</c:v>
                </c:pt>
                <c:pt idx="27">
                  <c:v>101.9008082342619</c:v>
                </c:pt>
                <c:pt idx="28">
                  <c:v>98.306067487451216</c:v>
                </c:pt>
                <c:pt idx="29">
                  <c:v>94.044792327050857</c:v>
                </c:pt>
                <c:pt idx="30">
                  <c:v>99.977732912922704</c:v>
                </c:pt>
                <c:pt idx="31">
                  <c:v>101.56224948530991</c:v>
                </c:pt>
                <c:pt idx="32">
                  <c:v>97.078597101076198</c:v>
                </c:pt>
                <c:pt idx="33">
                  <c:v>103.45820302850017</c:v>
                </c:pt>
                <c:pt idx="34">
                  <c:v>104.63270874356863</c:v>
                </c:pt>
                <c:pt idx="35">
                  <c:v>103.29354361735007</c:v>
                </c:pt>
                <c:pt idx="36">
                  <c:v>101.89487133705029</c:v>
                </c:pt>
                <c:pt idx="37">
                  <c:v>107.68115385301724</c:v>
                </c:pt>
                <c:pt idx="38">
                  <c:v>103.65873595666201</c:v>
                </c:pt>
                <c:pt idx="39">
                  <c:v>100.11423340271756</c:v>
                </c:pt>
                <c:pt idx="40">
                  <c:v>108.71331472452371</c:v>
                </c:pt>
                <c:pt idx="41">
                  <c:v>101.35446208568861</c:v>
                </c:pt>
                <c:pt idx="42">
                  <c:v>91.633666197516064</c:v>
                </c:pt>
                <c:pt idx="43">
                  <c:v>98.352184714519922</c:v>
                </c:pt>
                <c:pt idx="44">
                  <c:v>99.237274368034406</c:v>
                </c:pt>
              </c:numCache>
            </c:numRef>
          </c:val>
          <c:smooth val="0"/>
          <c:extLst>
            <c:ext xmlns:c16="http://schemas.microsoft.com/office/drawing/2014/chart" uri="{C3380CC4-5D6E-409C-BE32-E72D297353CC}">
              <c16:uniqueId val="{00000034-B5E3-4C26-B7A2-CFE88AE784EF}"/>
            </c:ext>
          </c:extLst>
        </c:ser>
        <c:ser>
          <c:idx val="2"/>
          <c:order val="4"/>
          <c:tx>
            <c:strRef>
              <c:f>'Prerađivačka_6 graf'!$AZ$7</c:f>
              <c:strCache>
                <c:ptCount val="1"/>
                <c:pt idx="0">
                  <c:v>t</c:v>
                </c:pt>
              </c:strCache>
            </c:strRef>
          </c:tx>
          <c:spPr>
            <a:ln w="25400" cap="rnd">
              <a:solidFill>
                <a:srgbClr val="FF0000"/>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graf'!$AZ$32:$AZ$76</c:f>
              <c:numCache>
                <c:formatCode>0.0</c:formatCode>
                <c:ptCount val="45"/>
                <c:pt idx="0">
                  <c:v>86.351675790550232</c:v>
                </c:pt>
                <c:pt idx="1">
                  <c:v>87.913326786882649</c:v>
                </c:pt>
                <c:pt idx="2">
                  <c:v>89.411895236554045</c:v>
                </c:pt>
                <c:pt idx="3">
                  <c:v>90.458226411014152</c:v>
                </c:pt>
                <c:pt idx="4">
                  <c:v>90.7783540091649</c:v>
                </c:pt>
                <c:pt idx="5">
                  <c:v>90.529471914895709</c:v>
                </c:pt>
                <c:pt idx="6">
                  <c:v>90.063732836893095</c:v>
                </c:pt>
                <c:pt idx="7">
                  <c:v>89.974619445746868</c:v>
                </c:pt>
                <c:pt idx="8">
                  <c:v>90.551697392874033</c:v>
                </c:pt>
                <c:pt idx="9">
                  <c:v>92.00030428220839</c:v>
                </c:pt>
                <c:pt idx="10">
                  <c:v>94.017554073725719</c:v>
                </c:pt>
                <c:pt idx="11">
                  <c:v>95.884035529710332</c:v>
                </c:pt>
                <c:pt idx="12">
                  <c:v>97.330411782377354</c:v>
                </c:pt>
                <c:pt idx="13">
                  <c:v>98.40957733792402</c:v>
                </c:pt>
                <c:pt idx="14">
                  <c:v>99.378549934757089</c:v>
                </c:pt>
                <c:pt idx="15">
                  <c:v>100.69839975638511</c:v>
                </c:pt>
                <c:pt idx="16">
                  <c:v>102.4335598888231</c:v>
                </c:pt>
                <c:pt idx="17">
                  <c:v>104.23194435671854</c:v>
                </c:pt>
                <c:pt idx="18">
                  <c:v>105.55831057437118</c:v>
                </c:pt>
                <c:pt idx="19">
                  <c:v>105.84127172021142</c:v>
                </c:pt>
                <c:pt idx="20">
                  <c:v>104.89118272837068</c:v>
                </c:pt>
                <c:pt idx="21">
                  <c:v>102.99591608336898</c:v>
                </c:pt>
                <c:pt idx="22">
                  <c:v>100.78972467640159</c:v>
                </c:pt>
                <c:pt idx="23">
                  <c:v>99.198258628640176</c:v>
                </c:pt>
                <c:pt idx="24">
                  <c:v>98.459052154712651</c:v>
                </c:pt>
                <c:pt idx="25">
                  <c:v>98.199520641158415</c:v>
                </c:pt>
                <c:pt idx="26">
                  <c:v>98.334724201861519</c:v>
                </c:pt>
                <c:pt idx="27">
                  <c:v>98.465640427310248</c:v>
                </c:pt>
                <c:pt idx="28">
                  <c:v>98.414343223296697</c:v>
                </c:pt>
                <c:pt idx="29">
                  <c:v>98.43548758790827</c:v>
                </c:pt>
                <c:pt idx="30">
                  <c:v>98.81090446480043</c:v>
                </c:pt>
                <c:pt idx="31">
                  <c:v>99.539025653342577</c:v>
                </c:pt>
                <c:pt idx="32">
                  <c:v>100.65947099867537</c:v>
                </c:pt>
                <c:pt idx="33">
                  <c:v>101.97706508172843</c:v>
                </c:pt>
                <c:pt idx="34">
                  <c:v>103.14438809454296</c:v>
                </c:pt>
                <c:pt idx="35">
                  <c:v>103.857487752921</c:v>
                </c:pt>
                <c:pt idx="36">
                  <c:v>104.21469070975537</c:v>
                </c:pt>
                <c:pt idx="37">
                  <c:v>104.26538605723862</c:v>
                </c:pt>
                <c:pt idx="38">
                  <c:v>103.84579274481551</c:v>
                </c:pt>
                <c:pt idx="39">
                  <c:v>103.03506396309047</c:v>
                </c:pt>
                <c:pt idx="40">
                  <c:v>102.08281659064161</c:v>
                </c:pt>
                <c:pt idx="41">
                  <c:v>101.01801474408101</c:v>
                </c:pt>
                <c:pt idx="42">
                  <c:v>100.01972503541649</c:v>
                </c:pt>
                <c:pt idx="43">
                  <c:v>99.32999721674399</c:v>
                </c:pt>
                <c:pt idx="44">
                  <c:v>98.984670998382398</c:v>
                </c:pt>
              </c:numCache>
            </c:numRef>
          </c:val>
          <c:smooth val="0"/>
          <c:extLst>
            <c:ext xmlns:c16="http://schemas.microsoft.com/office/drawing/2014/chart" uri="{C3380CC4-5D6E-409C-BE32-E72D297353CC}">
              <c16:uniqueId val="{00000035-B5E3-4C26-B7A2-CFE88AE784EF}"/>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35"/>
          <c:min val="5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graf'!$L$7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5.913794755223438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2B-43A7-9704-10B226BA1623}"/>
                </c:ext>
              </c:extLst>
            </c:dLbl>
            <c:dLbl>
              <c:idx val="12"/>
              <c:layout>
                <c:manualLayout>
                  <c:x val="5.924350499481793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2B-43A7-9704-10B226BA1623}"/>
                </c:ext>
              </c:extLst>
            </c:dLbl>
            <c:dLbl>
              <c:idx val="24"/>
              <c:layout>
                <c:manualLayout>
                  <c:x val="6.219319102239176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2B-43A7-9704-10B226BA1623}"/>
                </c:ext>
              </c:extLst>
            </c:dLbl>
            <c:dLbl>
              <c:idx val="36"/>
              <c:layout>
                <c:manualLayout>
                  <c:x val="1.900591365540546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2B-43A7-9704-10B226BA162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graf'!$L$32:$L$76</c:f>
              <c:numCache>
                <c:formatCode>General</c:formatCode>
                <c:ptCount val="45"/>
                <c:pt idx="0">
                  <c:v>75</c:v>
                </c:pt>
                <c:pt idx="12">
                  <c:v>75</c:v>
                </c:pt>
                <c:pt idx="24">
                  <c:v>75</c:v>
                </c:pt>
                <c:pt idx="36">
                  <c:v>75</c:v>
                </c:pt>
              </c:numCache>
            </c:numRef>
          </c:val>
          <c:smooth val="0"/>
          <c:extLst>
            <c:ext xmlns:c16="http://schemas.microsoft.com/office/drawing/2014/chart" uri="{C3380CC4-5D6E-409C-BE32-E72D297353CC}">
              <c16:uniqueId val="{00000004-882B-43A7-9704-10B226BA1623}"/>
            </c:ext>
          </c:extLst>
        </c:ser>
        <c:ser>
          <c:idx val="4"/>
          <c:order val="1"/>
          <c:tx>
            <c:strRef>
              <c:f>'Prerađivačka_6 graf'!$M$7</c:f>
              <c:strCache>
                <c:ptCount val="1"/>
                <c:pt idx="0">
                  <c:v>Series5</c:v>
                </c:pt>
              </c:strCache>
            </c:strRef>
          </c:tx>
          <c:spPr>
            <a:ln w="25400" cap="rnd">
              <a:noFill/>
              <a:round/>
            </a:ln>
            <a:effectLst/>
          </c:spPr>
          <c:marker>
            <c:symbol val="none"/>
          </c:marker>
          <c:dLbls>
            <c:dLbl>
              <c:idx val="0"/>
              <c:tx>
                <c:rich>
                  <a:bodyPr/>
                  <a:lstStyle/>
                  <a:p>
                    <a:fld id="{127B53AE-73A8-45AA-A4BF-FC35AC95FAE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882B-43A7-9704-10B226BA1623}"/>
                </c:ext>
              </c:extLst>
            </c:dLbl>
            <c:dLbl>
              <c:idx val="1"/>
              <c:tx>
                <c:rich>
                  <a:bodyPr/>
                  <a:lstStyle/>
                  <a:p>
                    <a:fld id="{E4BCC1D7-0D5E-40A0-90DF-DE34ABE6123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882B-43A7-9704-10B226BA1623}"/>
                </c:ext>
              </c:extLst>
            </c:dLbl>
            <c:dLbl>
              <c:idx val="2"/>
              <c:tx>
                <c:rich>
                  <a:bodyPr/>
                  <a:lstStyle/>
                  <a:p>
                    <a:fld id="{CCCB8FA0-AECA-47A9-A1D7-63E5AE77A56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882B-43A7-9704-10B226BA1623}"/>
                </c:ext>
              </c:extLst>
            </c:dLbl>
            <c:dLbl>
              <c:idx val="3"/>
              <c:tx>
                <c:rich>
                  <a:bodyPr/>
                  <a:lstStyle/>
                  <a:p>
                    <a:fld id="{F3A8EA5A-563B-4BB9-876F-AA8AE7C6FA0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882B-43A7-9704-10B226BA1623}"/>
                </c:ext>
              </c:extLst>
            </c:dLbl>
            <c:dLbl>
              <c:idx val="4"/>
              <c:tx>
                <c:rich>
                  <a:bodyPr/>
                  <a:lstStyle/>
                  <a:p>
                    <a:fld id="{92F80F51-AA62-4797-B071-F3B46484860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882B-43A7-9704-10B226BA1623}"/>
                </c:ext>
              </c:extLst>
            </c:dLbl>
            <c:dLbl>
              <c:idx val="5"/>
              <c:tx>
                <c:rich>
                  <a:bodyPr/>
                  <a:lstStyle/>
                  <a:p>
                    <a:fld id="{9FEFC4D4-FCCC-471C-B671-3D1B284A4C5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882B-43A7-9704-10B226BA1623}"/>
                </c:ext>
              </c:extLst>
            </c:dLbl>
            <c:dLbl>
              <c:idx val="6"/>
              <c:tx>
                <c:rich>
                  <a:bodyPr/>
                  <a:lstStyle/>
                  <a:p>
                    <a:fld id="{CC94DE0B-FAC8-4520-9FDB-A3B926BA2B3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882B-43A7-9704-10B226BA1623}"/>
                </c:ext>
              </c:extLst>
            </c:dLbl>
            <c:dLbl>
              <c:idx val="7"/>
              <c:tx>
                <c:rich>
                  <a:bodyPr/>
                  <a:lstStyle/>
                  <a:p>
                    <a:fld id="{B8993FAA-D286-41A9-9BC5-891438754F6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882B-43A7-9704-10B226BA1623}"/>
                </c:ext>
              </c:extLst>
            </c:dLbl>
            <c:dLbl>
              <c:idx val="8"/>
              <c:tx>
                <c:rich>
                  <a:bodyPr/>
                  <a:lstStyle/>
                  <a:p>
                    <a:fld id="{B8CB4E57-AC1D-4645-A985-EDEF3AA0A0A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882B-43A7-9704-10B226BA1623}"/>
                </c:ext>
              </c:extLst>
            </c:dLbl>
            <c:dLbl>
              <c:idx val="9"/>
              <c:tx>
                <c:rich>
                  <a:bodyPr/>
                  <a:lstStyle/>
                  <a:p>
                    <a:fld id="{458FB22B-7DCE-4011-AB57-6B68D2957A5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882B-43A7-9704-10B226BA1623}"/>
                </c:ext>
              </c:extLst>
            </c:dLbl>
            <c:dLbl>
              <c:idx val="10"/>
              <c:tx>
                <c:rich>
                  <a:bodyPr/>
                  <a:lstStyle/>
                  <a:p>
                    <a:fld id="{567C79A7-3DCB-43A9-8CF5-20BBD3176C8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882B-43A7-9704-10B226BA1623}"/>
                </c:ext>
              </c:extLst>
            </c:dLbl>
            <c:dLbl>
              <c:idx val="11"/>
              <c:tx>
                <c:rich>
                  <a:bodyPr/>
                  <a:lstStyle/>
                  <a:p>
                    <a:fld id="{37C6288F-0E98-4588-AA62-36E989292D6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882B-43A7-9704-10B226BA1623}"/>
                </c:ext>
              </c:extLst>
            </c:dLbl>
            <c:dLbl>
              <c:idx val="12"/>
              <c:tx>
                <c:rich>
                  <a:bodyPr/>
                  <a:lstStyle/>
                  <a:p>
                    <a:fld id="{C182F745-75A3-4903-9B3E-D4C7D31E353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882B-43A7-9704-10B226BA1623}"/>
                </c:ext>
              </c:extLst>
            </c:dLbl>
            <c:dLbl>
              <c:idx val="13"/>
              <c:tx>
                <c:rich>
                  <a:bodyPr/>
                  <a:lstStyle/>
                  <a:p>
                    <a:fld id="{EF806765-D759-4710-B9B9-8D8AD5EBEA1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882B-43A7-9704-10B226BA1623}"/>
                </c:ext>
              </c:extLst>
            </c:dLbl>
            <c:dLbl>
              <c:idx val="14"/>
              <c:tx>
                <c:rich>
                  <a:bodyPr/>
                  <a:lstStyle/>
                  <a:p>
                    <a:fld id="{92A05B99-2303-4D99-8681-27276E9586B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882B-43A7-9704-10B226BA1623}"/>
                </c:ext>
              </c:extLst>
            </c:dLbl>
            <c:dLbl>
              <c:idx val="15"/>
              <c:tx>
                <c:rich>
                  <a:bodyPr/>
                  <a:lstStyle/>
                  <a:p>
                    <a:fld id="{F7797A05-18F7-4D15-8445-A859B8862D5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882B-43A7-9704-10B226BA1623}"/>
                </c:ext>
              </c:extLst>
            </c:dLbl>
            <c:dLbl>
              <c:idx val="16"/>
              <c:tx>
                <c:rich>
                  <a:bodyPr/>
                  <a:lstStyle/>
                  <a:p>
                    <a:fld id="{9E06339F-CC12-4966-8B51-3A54FD76DFC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882B-43A7-9704-10B226BA1623}"/>
                </c:ext>
              </c:extLst>
            </c:dLbl>
            <c:dLbl>
              <c:idx val="17"/>
              <c:tx>
                <c:rich>
                  <a:bodyPr/>
                  <a:lstStyle/>
                  <a:p>
                    <a:fld id="{0B6D86C5-B58A-431B-BEC6-553C98DEE34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882B-43A7-9704-10B226BA1623}"/>
                </c:ext>
              </c:extLst>
            </c:dLbl>
            <c:dLbl>
              <c:idx val="18"/>
              <c:tx>
                <c:rich>
                  <a:bodyPr/>
                  <a:lstStyle/>
                  <a:p>
                    <a:fld id="{5318594F-D4B1-4C33-AD79-2242F109383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882B-43A7-9704-10B226BA1623}"/>
                </c:ext>
              </c:extLst>
            </c:dLbl>
            <c:dLbl>
              <c:idx val="19"/>
              <c:tx>
                <c:rich>
                  <a:bodyPr/>
                  <a:lstStyle/>
                  <a:p>
                    <a:fld id="{227AA8D0-948A-4C0D-BF92-3BC08072DDF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882B-43A7-9704-10B226BA1623}"/>
                </c:ext>
              </c:extLst>
            </c:dLbl>
            <c:dLbl>
              <c:idx val="20"/>
              <c:tx>
                <c:rich>
                  <a:bodyPr/>
                  <a:lstStyle/>
                  <a:p>
                    <a:fld id="{9E381499-1C5B-4A78-8BE5-CC7E9813553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882B-43A7-9704-10B226BA1623}"/>
                </c:ext>
              </c:extLst>
            </c:dLbl>
            <c:dLbl>
              <c:idx val="21"/>
              <c:tx>
                <c:rich>
                  <a:bodyPr/>
                  <a:lstStyle/>
                  <a:p>
                    <a:fld id="{823A828A-4520-4349-B051-A9E5931A28C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882B-43A7-9704-10B226BA1623}"/>
                </c:ext>
              </c:extLst>
            </c:dLbl>
            <c:dLbl>
              <c:idx val="22"/>
              <c:tx>
                <c:rich>
                  <a:bodyPr/>
                  <a:lstStyle/>
                  <a:p>
                    <a:fld id="{DFE31AB0-57E8-406B-A9F2-66B0E51C66E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882B-43A7-9704-10B226BA1623}"/>
                </c:ext>
              </c:extLst>
            </c:dLbl>
            <c:dLbl>
              <c:idx val="23"/>
              <c:tx>
                <c:rich>
                  <a:bodyPr/>
                  <a:lstStyle/>
                  <a:p>
                    <a:fld id="{4C72B096-719E-4BFF-8512-E462E107159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882B-43A7-9704-10B226BA1623}"/>
                </c:ext>
              </c:extLst>
            </c:dLbl>
            <c:dLbl>
              <c:idx val="24"/>
              <c:tx>
                <c:rich>
                  <a:bodyPr/>
                  <a:lstStyle/>
                  <a:p>
                    <a:fld id="{0E975A05-71A8-4125-AEFA-59063A930FA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882B-43A7-9704-10B226BA1623}"/>
                </c:ext>
              </c:extLst>
            </c:dLbl>
            <c:dLbl>
              <c:idx val="25"/>
              <c:tx>
                <c:rich>
                  <a:bodyPr/>
                  <a:lstStyle/>
                  <a:p>
                    <a:fld id="{BF7E0E27-3379-4C1F-B5C4-9C989EEA575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882B-43A7-9704-10B226BA1623}"/>
                </c:ext>
              </c:extLst>
            </c:dLbl>
            <c:dLbl>
              <c:idx val="26"/>
              <c:tx>
                <c:rich>
                  <a:bodyPr/>
                  <a:lstStyle/>
                  <a:p>
                    <a:fld id="{D7C879CD-4867-4259-AD7A-CC5097A5F69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882B-43A7-9704-10B226BA1623}"/>
                </c:ext>
              </c:extLst>
            </c:dLbl>
            <c:dLbl>
              <c:idx val="27"/>
              <c:tx>
                <c:rich>
                  <a:bodyPr/>
                  <a:lstStyle/>
                  <a:p>
                    <a:fld id="{48DF2213-D9B9-4489-9979-81E13152A51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882B-43A7-9704-10B226BA1623}"/>
                </c:ext>
              </c:extLst>
            </c:dLbl>
            <c:dLbl>
              <c:idx val="28"/>
              <c:tx>
                <c:rich>
                  <a:bodyPr/>
                  <a:lstStyle/>
                  <a:p>
                    <a:fld id="{118BDBE7-01B1-4475-A5D6-72DA1D92E53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882B-43A7-9704-10B226BA1623}"/>
                </c:ext>
              </c:extLst>
            </c:dLbl>
            <c:dLbl>
              <c:idx val="29"/>
              <c:tx>
                <c:rich>
                  <a:bodyPr/>
                  <a:lstStyle/>
                  <a:p>
                    <a:fld id="{60E649ED-48E5-4145-B2C5-DB840C067C2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882B-43A7-9704-10B226BA1623}"/>
                </c:ext>
              </c:extLst>
            </c:dLbl>
            <c:dLbl>
              <c:idx val="30"/>
              <c:tx>
                <c:rich>
                  <a:bodyPr/>
                  <a:lstStyle/>
                  <a:p>
                    <a:fld id="{7183229F-ECB6-412B-B88E-6E404C4A5B0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882B-43A7-9704-10B226BA1623}"/>
                </c:ext>
              </c:extLst>
            </c:dLbl>
            <c:dLbl>
              <c:idx val="31"/>
              <c:tx>
                <c:rich>
                  <a:bodyPr/>
                  <a:lstStyle/>
                  <a:p>
                    <a:fld id="{46786B4D-0553-46FD-B5C7-E62861F6C92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882B-43A7-9704-10B226BA1623}"/>
                </c:ext>
              </c:extLst>
            </c:dLbl>
            <c:dLbl>
              <c:idx val="32"/>
              <c:tx>
                <c:rich>
                  <a:bodyPr/>
                  <a:lstStyle/>
                  <a:p>
                    <a:fld id="{ADB4AFE6-6D7E-430D-8E37-F32DBF84D82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882B-43A7-9704-10B226BA1623}"/>
                </c:ext>
              </c:extLst>
            </c:dLbl>
            <c:dLbl>
              <c:idx val="33"/>
              <c:tx>
                <c:rich>
                  <a:bodyPr/>
                  <a:lstStyle/>
                  <a:p>
                    <a:fld id="{D95E16DC-0356-4DBA-9302-1A9FD8A59AC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882B-43A7-9704-10B226BA1623}"/>
                </c:ext>
              </c:extLst>
            </c:dLbl>
            <c:dLbl>
              <c:idx val="34"/>
              <c:tx>
                <c:rich>
                  <a:bodyPr/>
                  <a:lstStyle/>
                  <a:p>
                    <a:fld id="{242E93D1-9428-4534-9B3C-6B7BE956939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882B-43A7-9704-10B226BA1623}"/>
                </c:ext>
              </c:extLst>
            </c:dLbl>
            <c:dLbl>
              <c:idx val="35"/>
              <c:tx>
                <c:rich>
                  <a:bodyPr/>
                  <a:lstStyle/>
                  <a:p>
                    <a:fld id="{0AB7A4E3-08E2-4563-AE9B-AE32CB553EC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882B-43A7-9704-10B226BA1623}"/>
                </c:ext>
              </c:extLst>
            </c:dLbl>
            <c:dLbl>
              <c:idx val="36"/>
              <c:tx>
                <c:rich>
                  <a:bodyPr/>
                  <a:lstStyle/>
                  <a:p>
                    <a:fld id="{D77629CC-ED84-4BA2-ABA0-2635026558D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882B-43A7-9704-10B226BA1623}"/>
                </c:ext>
              </c:extLst>
            </c:dLbl>
            <c:dLbl>
              <c:idx val="37"/>
              <c:tx>
                <c:rich>
                  <a:bodyPr/>
                  <a:lstStyle/>
                  <a:p>
                    <a:fld id="{BC88C508-30D1-4272-A803-073FB70BD78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882B-43A7-9704-10B226BA1623}"/>
                </c:ext>
              </c:extLst>
            </c:dLbl>
            <c:dLbl>
              <c:idx val="38"/>
              <c:tx>
                <c:rich>
                  <a:bodyPr/>
                  <a:lstStyle/>
                  <a:p>
                    <a:fld id="{F704B8B7-7943-4C90-810D-5818D877025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882B-43A7-9704-10B226BA1623}"/>
                </c:ext>
              </c:extLst>
            </c:dLbl>
            <c:dLbl>
              <c:idx val="39"/>
              <c:tx>
                <c:rich>
                  <a:bodyPr/>
                  <a:lstStyle/>
                  <a:p>
                    <a:fld id="{0507B57D-138F-4E29-87F4-B0FA3E2F90C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882B-43A7-9704-10B226BA1623}"/>
                </c:ext>
              </c:extLst>
            </c:dLbl>
            <c:dLbl>
              <c:idx val="40"/>
              <c:tx>
                <c:rich>
                  <a:bodyPr/>
                  <a:lstStyle/>
                  <a:p>
                    <a:fld id="{BB353350-3587-497F-A261-A6C55E881CB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882B-43A7-9704-10B226BA1623}"/>
                </c:ext>
              </c:extLst>
            </c:dLbl>
            <c:dLbl>
              <c:idx val="41"/>
              <c:tx>
                <c:rich>
                  <a:bodyPr/>
                  <a:lstStyle/>
                  <a:p>
                    <a:fld id="{398DBF86-562A-4184-926D-B6E4BC27568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882B-43A7-9704-10B226BA1623}"/>
                </c:ext>
              </c:extLst>
            </c:dLbl>
            <c:dLbl>
              <c:idx val="42"/>
              <c:tx>
                <c:rich>
                  <a:bodyPr/>
                  <a:lstStyle/>
                  <a:p>
                    <a:fld id="{4622547A-4B48-4E0E-806D-92FB531894F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882B-43A7-9704-10B226BA1623}"/>
                </c:ext>
              </c:extLst>
            </c:dLbl>
            <c:dLbl>
              <c:idx val="43"/>
              <c:tx>
                <c:rich>
                  <a:bodyPr/>
                  <a:lstStyle/>
                  <a:p>
                    <a:fld id="{0A51CD36-1F2F-4B54-83C9-F8C6F7506DF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882B-43A7-9704-10B226BA1623}"/>
                </c:ext>
              </c:extLst>
            </c:dLbl>
            <c:dLbl>
              <c:idx val="44"/>
              <c:tx>
                <c:rich>
                  <a:bodyPr/>
                  <a:lstStyle/>
                  <a:p>
                    <a:fld id="{E75AF369-D7F5-4AD9-A5A4-8515ECA27A7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882B-43A7-9704-10B226BA1623}"/>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graf'!$M$32:$M$76</c:f>
              <c:numCache>
                <c:formatCode>General</c:formatCode>
                <c:ptCount val="45"/>
                <c:pt idx="0">
                  <c:v>75</c:v>
                </c:pt>
                <c:pt idx="1">
                  <c:v>75</c:v>
                </c:pt>
                <c:pt idx="2">
                  <c:v>75</c:v>
                </c:pt>
                <c:pt idx="3">
                  <c:v>75</c:v>
                </c:pt>
                <c:pt idx="4">
                  <c:v>75</c:v>
                </c:pt>
                <c:pt idx="5">
                  <c:v>75</c:v>
                </c:pt>
                <c:pt idx="6">
                  <c:v>75</c:v>
                </c:pt>
                <c:pt idx="7">
                  <c:v>75</c:v>
                </c:pt>
                <c:pt idx="8">
                  <c:v>75</c:v>
                </c:pt>
                <c:pt idx="9">
                  <c:v>75</c:v>
                </c:pt>
                <c:pt idx="10">
                  <c:v>75</c:v>
                </c:pt>
                <c:pt idx="11">
                  <c:v>75</c:v>
                </c:pt>
                <c:pt idx="12">
                  <c:v>75</c:v>
                </c:pt>
                <c:pt idx="13">
                  <c:v>75</c:v>
                </c:pt>
                <c:pt idx="14">
                  <c:v>75</c:v>
                </c:pt>
                <c:pt idx="15">
                  <c:v>75</c:v>
                </c:pt>
                <c:pt idx="16">
                  <c:v>75</c:v>
                </c:pt>
                <c:pt idx="17">
                  <c:v>75</c:v>
                </c:pt>
                <c:pt idx="18">
                  <c:v>75</c:v>
                </c:pt>
                <c:pt idx="19">
                  <c:v>75</c:v>
                </c:pt>
                <c:pt idx="20">
                  <c:v>75</c:v>
                </c:pt>
                <c:pt idx="21">
                  <c:v>75</c:v>
                </c:pt>
                <c:pt idx="22">
                  <c:v>75</c:v>
                </c:pt>
                <c:pt idx="23">
                  <c:v>75</c:v>
                </c:pt>
                <c:pt idx="24">
                  <c:v>75</c:v>
                </c:pt>
                <c:pt idx="25">
                  <c:v>75</c:v>
                </c:pt>
                <c:pt idx="26">
                  <c:v>75</c:v>
                </c:pt>
                <c:pt idx="27">
                  <c:v>75</c:v>
                </c:pt>
                <c:pt idx="28">
                  <c:v>75</c:v>
                </c:pt>
                <c:pt idx="29">
                  <c:v>75</c:v>
                </c:pt>
                <c:pt idx="30">
                  <c:v>75</c:v>
                </c:pt>
                <c:pt idx="31">
                  <c:v>75</c:v>
                </c:pt>
                <c:pt idx="32">
                  <c:v>75</c:v>
                </c:pt>
                <c:pt idx="33">
                  <c:v>75</c:v>
                </c:pt>
                <c:pt idx="34">
                  <c:v>75</c:v>
                </c:pt>
                <c:pt idx="35">
                  <c:v>75</c:v>
                </c:pt>
                <c:pt idx="36">
                  <c:v>75</c:v>
                </c:pt>
                <c:pt idx="37">
                  <c:v>75</c:v>
                </c:pt>
                <c:pt idx="38">
                  <c:v>75</c:v>
                </c:pt>
                <c:pt idx="39">
                  <c:v>75</c:v>
                </c:pt>
                <c:pt idx="40">
                  <c:v>75</c:v>
                </c:pt>
                <c:pt idx="41">
                  <c:v>75</c:v>
                </c:pt>
                <c:pt idx="42">
                  <c:v>75</c:v>
                </c:pt>
                <c:pt idx="43">
                  <c:v>75</c:v>
                </c:pt>
                <c:pt idx="44">
                  <c:v>75</c:v>
                </c:pt>
              </c:numCache>
            </c:numRef>
          </c:val>
          <c:smooth val="0"/>
          <c:extLst>
            <c:ext xmlns:c15="http://schemas.microsoft.com/office/drawing/2012/chart" uri="{02D57815-91ED-43cb-92C2-25804820EDAC}">
              <c15:datalabelsRange>
                <c15:f>'Prerađivačka_6 graf'!$B$32:$B$76</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2-882B-43A7-9704-10B226BA1623}"/>
            </c:ext>
          </c:extLst>
        </c:ser>
        <c:ser>
          <c:idx val="0"/>
          <c:order val="2"/>
          <c:tx>
            <c:strRef>
              <c:f>'Prerađivačka_6 graf'!$N$7</c:f>
              <c:strCache>
                <c:ptCount val="1"/>
                <c:pt idx="0">
                  <c:v>y</c:v>
                </c:pt>
              </c:strCache>
            </c:strRef>
          </c:tx>
          <c:spPr>
            <a:ln w="12700" cap="rnd">
              <a:solidFill>
                <a:srgbClr val="92278F"/>
              </a:solidFill>
              <a:prstDash val="sysDash"/>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graf'!$N$32:$N$76</c:f>
              <c:numCache>
                <c:formatCode>0.0</c:formatCode>
                <c:ptCount val="45"/>
                <c:pt idx="0">
                  <c:v>79.148936170212764</c:v>
                </c:pt>
                <c:pt idx="1">
                  <c:v>85.82651391162031</c:v>
                </c:pt>
                <c:pt idx="2">
                  <c:v>98.00327332242226</c:v>
                </c:pt>
                <c:pt idx="3">
                  <c:v>96.923076923076934</c:v>
                </c:pt>
                <c:pt idx="4">
                  <c:v>94.860883797054001</c:v>
                </c:pt>
                <c:pt idx="5">
                  <c:v>92.405891980360067</c:v>
                </c:pt>
                <c:pt idx="6">
                  <c:v>94.075286415711943</c:v>
                </c:pt>
                <c:pt idx="7">
                  <c:v>92.504091653027828</c:v>
                </c:pt>
                <c:pt idx="8">
                  <c:v>105.17184942716857</c:v>
                </c:pt>
                <c:pt idx="9">
                  <c:v>119.70540098199673</c:v>
                </c:pt>
                <c:pt idx="10">
                  <c:v>106.7430441898527</c:v>
                </c:pt>
                <c:pt idx="11">
                  <c:v>98.788870703764317</c:v>
                </c:pt>
                <c:pt idx="12">
                  <c:v>84.844517184942731</c:v>
                </c:pt>
                <c:pt idx="13">
                  <c:v>90.441898527004909</c:v>
                </c:pt>
                <c:pt idx="14">
                  <c:v>99.18166939443536</c:v>
                </c:pt>
                <c:pt idx="15">
                  <c:v>87.103109656301143</c:v>
                </c:pt>
                <c:pt idx="16">
                  <c:v>94.860883797054001</c:v>
                </c:pt>
                <c:pt idx="17">
                  <c:v>98.494271685761049</c:v>
                </c:pt>
                <c:pt idx="18">
                  <c:v>96.628477905073666</c:v>
                </c:pt>
                <c:pt idx="19">
                  <c:v>92.602291325695589</c:v>
                </c:pt>
                <c:pt idx="20">
                  <c:v>112.73322422258593</c:v>
                </c:pt>
                <c:pt idx="21">
                  <c:v>122.84779050736499</c:v>
                </c:pt>
                <c:pt idx="22">
                  <c:v>110.57283142389525</c:v>
                </c:pt>
                <c:pt idx="23">
                  <c:v>103.79705400981997</c:v>
                </c:pt>
                <c:pt idx="24">
                  <c:v>83.417085427135675</c:v>
                </c:pt>
                <c:pt idx="25">
                  <c:v>86.801541425818868</c:v>
                </c:pt>
                <c:pt idx="26">
                  <c:v>103.72184133202744</c:v>
                </c:pt>
                <c:pt idx="27">
                  <c:v>100.52465897166842</c:v>
                </c:pt>
                <c:pt idx="28">
                  <c:v>90.934065934065927</c:v>
                </c:pt>
                <c:pt idx="29">
                  <c:v>98.384030418250944</c:v>
                </c:pt>
                <c:pt idx="30">
                  <c:v>95.656670113753876</c:v>
                </c:pt>
                <c:pt idx="31">
                  <c:v>94.172932330827066</c:v>
                </c:pt>
                <c:pt idx="32">
                  <c:v>106.81318681318682</c:v>
                </c:pt>
                <c:pt idx="33">
                  <c:v>120.68739770867431</c:v>
                </c:pt>
                <c:pt idx="34">
                  <c:v>109.49263502454994</c:v>
                </c:pt>
                <c:pt idx="35">
                  <c:v>106.93944353518823</c:v>
                </c:pt>
                <c:pt idx="36">
                  <c:v>83.2</c:v>
                </c:pt>
                <c:pt idx="37">
                  <c:v>90.2</c:v>
                </c:pt>
                <c:pt idx="38">
                  <c:v>106</c:v>
                </c:pt>
                <c:pt idx="39">
                  <c:v>95.9</c:v>
                </c:pt>
                <c:pt idx="40">
                  <c:v>99.4</c:v>
                </c:pt>
                <c:pt idx="41">
                  <c:v>103.1</c:v>
                </c:pt>
                <c:pt idx="42">
                  <c:v>92</c:v>
                </c:pt>
                <c:pt idx="43">
                  <c:v>100.2</c:v>
                </c:pt>
                <c:pt idx="44">
                  <c:v>97.2</c:v>
                </c:pt>
              </c:numCache>
            </c:numRef>
          </c:val>
          <c:smooth val="0"/>
          <c:extLst>
            <c:ext xmlns:c16="http://schemas.microsoft.com/office/drawing/2014/chart" uri="{C3380CC4-5D6E-409C-BE32-E72D297353CC}">
              <c16:uniqueId val="{00000033-882B-43A7-9704-10B226BA1623}"/>
            </c:ext>
          </c:extLst>
        </c:ser>
        <c:ser>
          <c:idx val="1"/>
          <c:order val="3"/>
          <c:tx>
            <c:strRef>
              <c:f>'Prerađivačka_6 graf'!$O$7</c:f>
              <c:strCache>
                <c:ptCount val="1"/>
                <c:pt idx="0">
                  <c:v>sa</c:v>
                </c:pt>
              </c:strCache>
            </c:strRef>
          </c:tx>
          <c:spPr>
            <a:ln w="22225" cap="rnd">
              <a:solidFill>
                <a:srgbClr val="25AAE1"/>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graf'!$O$32:$O$76</c:f>
              <c:numCache>
                <c:formatCode>0.0</c:formatCode>
                <c:ptCount val="45"/>
                <c:pt idx="0">
                  <c:v>97.618860950576803</c:v>
                </c:pt>
                <c:pt idx="1">
                  <c:v>99.933761378986119</c:v>
                </c:pt>
                <c:pt idx="2">
                  <c:v>100.54634125527416</c:v>
                </c:pt>
                <c:pt idx="3">
                  <c:v>102.94563489696952</c:v>
                </c:pt>
                <c:pt idx="4">
                  <c:v>97.891250505563534</c:v>
                </c:pt>
                <c:pt idx="5">
                  <c:v>93.163834912993281</c:v>
                </c:pt>
                <c:pt idx="6">
                  <c:v>98.972647682229308</c:v>
                </c:pt>
                <c:pt idx="7">
                  <c:v>97.024867197684415</c:v>
                </c:pt>
                <c:pt idx="8">
                  <c:v>95.498586769701149</c:v>
                </c:pt>
                <c:pt idx="9">
                  <c:v>95.064797495093657</c:v>
                </c:pt>
                <c:pt idx="10">
                  <c:v>96.092624178865435</c:v>
                </c:pt>
                <c:pt idx="11">
                  <c:v>98.398188841397825</c:v>
                </c:pt>
                <c:pt idx="12">
                  <c:v>104.98201176401659</c:v>
                </c:pt>
                <c:pt idx="13">
                  <c:v>100.43056870265308</c:v>
                </c:pt>
                <c:pt idx="14">
                  <c:v>99.610080319095331</c:v>
                </c:pt>
                <c:pt idx="15">
                  <c:v>89.413077159299021</c:v>
                </c:pt>
                <c:pt idx="16">
                  <c:v>98.586598274204192</c:v>
                </c:pt>
                <c:pt idx="17">
                  <c:v>98.396160308420434</c:v>
                </c:pt>
                <c:pt idx="18">
                  <c:v>99.306194201244793</c:v>
                </c:pt>
                <c:pt idx="19">
                  <c:v>98.831228896895311</c:v>
                </c:pt>
                <c:pt idx="20">
                  <c:v>103.29647653926973</c:v>
                </c:pt>
                <c:pt idx="21">
                  <c:v>99.270966105689311</c:v>
                </c:pt>
                <c:pt idx="22">
                  <c:v>100.19765061446407</c:v>
                </c:pt>
                <c:pt idx="23">
                  <c:v>98.819460234592341</c:v>
                </c:pt>
                <c:pt idx="24">
                  <c:v>105.55287262977019</c:v>
                </c:pt>
                <c:pt idx="25">
                  <c:v>99.168395589523868</c:v>
                </c:pt>
                <c:pt idx="26">
                  <c:v>101.35903315143644</c:v>
                </c:pt>
                <c:pt idx="27">
                  <c:v>103.99332992243112</c:v>
                </c:pt>
                <c:pt idx="28">
                  <c:v>92.601253138339416</c:v>
                </c:pt>
                <c:pt idx="29">
                  <c:v>98.046997007292589</c:v>
                </c:pt>
                <c:pt idx="30">
                  <c:v>99.973228633575545</c:v>
                </c:pt>
                <c:pt idx="31">
                  <c:v>99.798851972938508</c:v>
                </c:pt>
                <c:pt idx="32">
                  <c:v>96.725424919695342</c:v>
                </c:pt>
                <c:pt idx="33">
                  <c:v>100.81954539780273</c:v>
                </c:pt>
                <c:pt idx="34">
                  <c:v>100.163224058963</c:v>
                </c:pt>
                <c:pt idx="35">
                  <c:v>101.49027235396285</c:v>
                </c:pt>
                <c:pt idx="36">
                  <c:v>100.82599342887518</c:v>
                </c:pt>
                <c:pt idx="37">
                  <c:v>103.13363872984753</c:v>
                </c:pt>
                <c:pt idx="38">
                  <c:v>101.18546380575984</c:v>
                </c:pt>
                <c:pt idx="39">
                  <c:v>101.65231154855796</c:v>
                </c:pt>
                <c:pt idx="40">
                  <c:v>102.04468615065592</c:v>
                </c:pt>
                <c:pt idx="41">
                  <c:v>100.63463144684583</c:v>
                </c:pt>
                <c:pt idx="42">
                  <c:v>98.938145138976864</c:v>
                </c:pt>
                <c:pt idx="43">
                  <c:v>103.73819792989113</c:v>
                </c:pt>
                <c:pt idx="44">
                  <c:v>90.003600412103864</c:v>
                </c:pt>
              </c:numCache>
            </c:numRef>
          </c:val>
          <c:smooth val="0"/>
          <c:extLst>
            <c:ext xmlns:c16="http://schemas.microsoft.com/office/drawing/2014/chart" uri="{C3380CC4-5D6E-409C-BE32-E72D297353CC}">
              <c16:uniqueId val="{00000034-882B-43A7-9704-10B226BA1623}"/>
            </c:ext>
          </c:extLst>
        </c:ser>
        <c:ser>
          <c:idx val="2"/>
          <c:order val="4"/>
          <c:tx>
            <c:strRef>
              <c:f>'Prerađivačka_6 graf'!$P$7</c:f>
              <c:strCache>
                <c:ptCount val="1"/>
                <c:pt idx="0">
                  <c:v>t</c:v>
                </c:pt>
              </c:strCache>
            </c:strRef>
          </c:tx>
          <c:spPr>
            <a:ln w="25400" cap="rnd">
              <a:solidFill>
                <a:srgbClr val="FF0000"/>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graf'!$P$32:$P$76</c:f>
              <c:numCache>
                <c:formatCode>0.0</c:formatCode>
                <c:ptCount val="45"/>
                <c:pt idx="0">
                  <c:v>98.613230496996067</c:v>
                </c:pt>
                <c:pt idx="1">
                  <c:v>98.943755544916399</c:v>
                </c:pt>
                <c:pt idx="2">
                  <c:v>99.405709894037287</c:v>
                </c:pt>
                <c:pt idx="3">
                  <c:v>99.671494056658361</c:v>
                </c:pt>
                <c:pt idx="4">
                  <c:v>99.423440570442935</c:v>
                </c:pt>
                <c:pt idx="5">
                  <c:v>98.610097583302846</c:v>
                </c:pt>
                <c:pt idx="6">
                  <c:v>97.575954324852063</c:v>
                </c:pt>
                <c:pt idx="7">
                  <c:v>96.6825967062735</c:v>
                </c:pt>
                <c:pt idx="8">
                  <c:v>96.205766767019611</c:v>
                </c:pt>
                <c:pt idx="9">
                  <c:v>96.2888130766285</c:v>
                </c:pt>
                <c:pt idx="10">
                  <c:v>96.864456289323527</c:v>
                </c:pt>
                <c:pt idx="11">
                  <c:v>97.716713439769379</c:v>
                </c:pt>
                <c:pt idx="12">
                  <c:v>98.578549714950924</c:v>
                </c:pt>
                <c:pt idx="13">
                  <c:v>99.145026824146413</c:v>
                </c:pt>
                <c:pt idx="14">
                  <c:v>99.190112943852768</c:v>
                </c:pt>
                <c:pt idx="15">
                  <c:v>98.968269527521201</c:v>
                </c:pt>
                <c:pt idx="16">
                  <c:v>98.810335711321343</c:v>
                </c:pt>
                <c:pt idx="17">
                  <c:v>98.958601939427666</c:v>
                </c:pt>
                <c:pt idx="18">
                  <c:v>99.337498310728108</c:v>
                </c:pt>
                <c:pt idx="19">
                  <c:v>99.816645157327841</c:v>
                </c:pt>
                <c:pt idx="20">
                  <c:v>100.19011540613607</c:v>
                </c:pt>
                <c:pt idx="21">
                  <c:v>100.37338958195274</c:v>
                </c:pt>
                <c:pt idx="22">
                  <c:v>100.40317088891278</c:v>
                </c:pt>
                <c:pt idx="23">
                  <c:v>100.37405138989067</c:v>
                </c:pt>
                <c:pt idx="24">
                  <c:v>100.26841130229943</c:v>
                </c:pt>
                <c:pt idx="25">
                  <c:v>100.09905587377382</c:v>
                </c:pt>
                <c:pt idx="26">
                  <c:v>99.93598201951913</c:v>
                </c:pt>
                <c:pt idx="27">
                  <c:v>99.688082718064138</c:v>
                </c:pt>
                <c:pt idx="28">
                  <c:v>99.311428318138454</c:v>
                </c:pt>
                <c:pt idx="29">
                  <c:v>98.988401612007848</c:v>
                </c:pt>
                <c:pt idx="30">
                  <c:v>98.848066780773905</c:v>
                </c:pt>
                <c:pt idx="31">
                  <c:v>98.930095138701418</c:v>
                </c:pt>
                <c:pt idx="32">
                  <c:v>99.227034639211837</c:v>
                </c:pt>
                <c:pt idx="33">
                  <c:v>99.748368639444351</c:v>
                </c:pt>
                <c:pt idx="34">
                  <c:v>100.34975552532055</c:v>
                </c:pt>
                <c:pt idx="35">
                  <c:v>100.98476756577251</c:v>
                </c:pt>
                <c:pt idx="36">
                  <c:v>101.5589702188967</c:v>
                </c:pt>
                <c:pt idx="37">
                  <c:v>101.91030150867968</c:v>
                </c:pt>
                <c:pt idx="38">
                  <c:v>101.9238795760801</c:v>
                </c:pt>
                <c:pt idx="39">
                  <c:v>101.6464596164401</c:v>
                </c:pt>
                <c:pt idx="40">
                  <c:v>101.20518511130363</c:v>
                </c:pt>
                <c:pt idx="41">
                  <c:v>100.636460615095</c:v>
                </c:pt>
                <c:pt idx="42">
                  <c:v>100.0877114635171</c:v>
                </c:pt>
                <c:pt idx="43">
                  <c:v>99.680006953148421</c:v>
                </c:pt>
                <c:pt idx="44">
                  <c:v>99.474450275524248</c:v>
                </c:pt>
              </c:numCache>
            </c:numRef>
          </c:val>
          <c:smooth val="0"/>
          <c:extLst>
            <c:ext xmlns:c16="http://schemas.microsoft.com/office/drawing/2014/chart" uri="{C3380CC4-5D6E-409C-BE32-E72D297353CC}">
              <c16:uniqueId val="{00000035-882B-43A7-9704-10B226BA1623}"/>
            </c:ext>
          </c:extLst>
        </c:ser>
        <c:dLbls>
          <c:showLegendKey val="0"/>
          <c:showVal val="0"/>
          <c:showCatName val="0"/>
          <c:showSerName val="0"/>
          <c:showPercent val="0"/>
          <c:showBubbleSize val="0"/>
        </c:dLbls>
        <c:marker val="1"/>
        <c:smooth val="0"/>
        <c:axId val="2092140400"/>
        <c:axId val="2092173040"/>
      </c:lineChart>
      <c:dateAx>
        <c:axId val="20921404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3040"/>
        <c:crosses val="autoZero"/>
        <c:auto val="1"/>
        <c:lblOffset val="0"/>
        <c:baseTimeUnit val="months"/>
        <c:majorUnit val="12"/>
        <c:majorTimeUnit val="months"/>
      </c:dateAx>
      <c:valAx>
        <c:axId val="2092173040"/>
        <c:scaling>
          <c:orientation val="minMax"/>
          <c:max val="125"/>
          <c:min val="7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4040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graf'!$AF$7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5.949423536823945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9EB-4270-A65D-8B7BF95DF63F}"/>
                </c:ext>
              </c:extLst>
            </c:dLbl>
            <c:dLbl>
              <c:idx val="12"/>
              <c:layout>
                <c:manualLayout>
                  <c:x val="5.896827687126134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9EB-4270-A65D-8B7BF95DF63F}"/>
                </c:ext>
              </c:extLst>
            </c:dLbl>
            <c:dLbl>
              <c:idx val="24"/>
              <c:layout>
                <c:manualLayout>
                  <c:x val="5.75257338383387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9EB-4270-A65D-8B7BF95DF63F}"/>
                </c:ext>
              </c:extLst>
            </c:dLbl>
            <c:dLbl>
              <c:idx val="36"/>
              <c:layout>
                <c:manualLayout>
                  <c:x val="1.90443615322097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9EB-4270-A65D-8B7BF95DF63F}"/>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graf'!$AF$32:$AF$76</c:f>
              <c:numCache>
                <c:formatCode>General</c:formatCode>
                <c:ptCount val="45"/>
                <c:pt idx="0">
                  <c:v>40</c:v>
                </c:pt>
                <c:pt idx="12">
                  <c:v>40</c:v>
                </c:pt>
                <c:pt idx="24">
                  <c:v>40</c:v>
                </c:pt>
                <c:pt idx="36">
                  <c:v>40</c:v>
                </c:pt>
              </c:numCache>
            </c:numRef>
          </c:val>
          <c:smooth val="0"/>
          <c:extLst>
            <c:ext xmlns:c16="http://schemas.microsoft.com/office/drawing/2014/chart" uri="{C3380CC4-5D6E-409C-BE32-E72D297353CC}">
              <c16:uniqueId val="{00000004-69EB-4270-A65D-8B7BF95DF63F}"/>
            </c:ext>
          </c:extLst>
        </c:ser>
        <c:ser>
          <c:idx val="4"/>
          <c:order val="1"/>
          <c:tx>
            <c:strRef>
              <c:f>'Prerađivačka_6 graf'!$AG$7</c:f>
              <c:strCache>
                <c:ptCount val="1"/>
                <c:pt idx="0">
                  <c:v>Series5</c:v>
                </c:pt>
              </c:strCache>
            </c:strRef>
          </c:tx>
          <c:spPr>
            <a:ln w="28575" cap="rnd">
              <a:noFill/>
              <a:round/>
            </a:ln>
            <a:effectLst/>
          </c:spPr>
          <c:marker>
            <c:symbol val="none"/>
          </c:marker>
          <c:dLbls>
            <c:dLbl>
              <c:idx val="0"/>
              <c:tx>
                <c:rich>
                  <a:bodyPr/>
                  <a:lstStyle/>
                  <a:p>
                    <a:fld id="{65C64905-751C-4CA9-A2E7-FF31E05E319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69EB-4270-A65D-8B7BF95DF63F}"/>
                </c:ext>
              </c:extLst>
            </c:dLbl>
            <c:dLbl>
              <c:idx val="1"/>
              <c:tx>
                <c:rich>
                  <a:bodyPr/>
                  <a:lstStyle/>
                  <a:p>
                    <a:fld id="{7B886550-30F8-4DCA-BEB7-E11D8C51206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69EB-4270-A65D-8B7BF95DF63F}"/>
                </c:ext>
              </c:extLst>
            </c:dLbl>
            <c:dLbl>
              <c:idx val="2"/>
              <c:tx>
                <c:rich>
                  <a:bodyPr/>
                  <a:lstStyle/>
                  <a:p>
                    <a:fld id="{7D279AF2-266A-4037-B79A-0498B597B19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69EB-4270-A65D-8B7BF95DF63F}"/>
                </c:ext>
              </c:extLst>
            </c:dLbl>
            <c:dLbl>
              <c:idx val="3"/>
              <c:tx>
                <c:rich>
                  <a:bodyPr/>
                  <a:lstStyle/>
                  <a:p>
                    <a:fld id="{B9844DF0-46E6-4E01-9C6B-87F201710C3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69EB-4270-A65D-8B7BF95DF63F}"/>
                </c:ext>
              </c:extLst>
            </c:dLbl>
            <c:dLbl>
              <c:idx val="4"/>
              <c:tx>
                <c:rich>
                  <a:bodyPr/>
                  <a:lstStyle/>
                  <a:p>
                    <a:fld id="{3E22726E-B33D-4039-84A7-BCEE8F54C60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9EB-4270-A65D-8B7BF95DF63F}"/>
                </c:ext>
              </c:extLst>
            </c:dLbl>
            <c:dLbl>
              <c:idx val="5"/>
              <c:tx>
                <c:rich>
                  <a:bodyPr/>
                  <a:lstStyle/>
                  <a:p>
                    <a:fld id="{BCB6135F-906B-4A26-B818-5697F2D9785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69EB-4270-A65D-8B7BF95DF63F}"/>
                </c:ext>
              </c:extLst>
            </c:dLbl>
            <c:dLbl>
              <c:idx val="6"/>
              <c:tx>
                <c:rich>
                  <a:bodyPr/>
                  <a:lstStyle/>
                  <a:p>
                    <a:fld id="{6F35D345-3FA3-4CA1-90A3-E2E38B11C41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69EB-4270-A65D-8B7BF95DF63F}"/>
                </c:ext>
              </c:extLst>
            </c:dLbl>
            <c:dLbl>
              <c:idx val="7"/>
              <c:tx>
                <c:rich>
                  <a:bodyPr/>
                  <a:lstStyle/>
                  <a:p>
                    <a:fld id="{E9DE5B89-E8AB-4499-9225-59250EE1322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9EB-4270-A65D-8B7BF95DF63F}"/>
                </c:ext>
              </c:extLst>
            </c:dLbl>
            <c:dLbl>
              <c:idx val="8"/>
              <c:tx>
                <c:rich>
                  <a:bodyPr/>
                  <a:lstStyle/>
                  <a:p>
                    <a:fld id="{0074E3B9-7EC4-49F7-91AF-8DC89DADDAC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69EB-4270-A65D-8B7BF95DF63F}"/>
                </c:ext>
              </c:extLst>
            </c:dLbl>
            <c:dLbl>
              <c:idx val="9"/>
              <c:tx>
                <c:rich>
                  <a:bodyPr/>
                  <a:lstStyle/>
                  <a:p>
                    <a:fld id="{B7102146-0AD3-4F4A-B72E-1D48017BB92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69EB-4270-A65D-8B7BF95DF63F}"/>
                </c:ext>
              </c:extLst>
            </c:dLbl>
            <c:dLbl>
              <c:idx val="10"/>
              <c:tx>
                <c:rich>
                  <a:bodyPr/>
                  <a:lstStyle/>
                  <a:p>
                    <a:fld id="{926785B3-1417-4F89-9F08-8FA5743E9F3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9EB-4270-A65D-8B7BF95DF63F}"/>
                </c:ext>
              </c:extLst>
            </c:dLbl>
            <c:dLbl>
              <c:idx val="11"/>
              <c:tx>
                <c:rich>
                  <a:bodyPr/>
                  <a:lstStyle/>
                  <a:p>
                    <a:fld id="{1DD1456E-BFAF-45ED-95D1-DE63468982E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69EB-4270-A65D-8B7BF95DF63F}"/>
                </c:ext>
              </c:extLst>
            </c:dLbl>
            <c:dLbl>
              <c:idx val="12"/>
              <c:tx>
                <c:rich>
                  <a:bodyPr/>
                  <a:lstStyle/>
                  <a:p>
                    <a:fld id="{C2B2CB32-FB53-47C9-A141-C442418D2C5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69EB-4270-A65D-8B7BF95DF63F}"/>
                </c:ext>
              </c:extLst>
            </c:dLbl>
            <c:dLbl>
              <c:idx val="13"/>
              <c:tx>
                <c:rich>
                  <a:bodyPr/>
                  <a:lstStyle/>
                  <a:p>
                    <a:fld id="{F8FE5550-86A4-497E-A462-8776B097D0E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9EB-4270-A65D-8B7BF95DF63F}"/>
                </c:ext>
              </c:extLst>
            </c:dLbl>
            <c:dLbl>
              <c:idx val="14"/>
              <c:tx>
                <c:rich>
                  <a:bodyPr/>
                  <a:lstStyle/>
                  <a:p>
                    <a:fld id="{FDFD89D4-0DA1-4667-89F7-E57C13D72B0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69EB-4270-A65D-8B7BF95DF63F}"/>
                </c:ext>
              </c:extLst>
            </c:dLbl>
            <c:dLbl>
              <c:idx val="15"/>
              <c:tx>
                <c:rich>
                  <a:bodyPr/>
                  <a:lstStyle/>
                  <a:p>
                    <a:fld id="{BFD6762C-5B20-4569-82F7-29BDE969AF9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69EB-4270-A65D-8B7BF95DF63F}"/>
                </c:ext>
              </c:extLst>
            </c:dLbl>
            <c:dLbl>
              <c:idx val="16"/>
              <c:tx>
                <c:rich>
                  <a:bodyPr/>
                  <a:lstStyle/>
                  <a:p>
                    <a:fld id="{382380E9-561E-46E8-81C5-4F6F8F0BA5B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9EB-4270-A65D-8B7BF95DF63F}"/>
                </c:ext>
              </c:extLst>
            </c:dLbl>
            <c:dLbl>
              <c:idx val="17"/>
              <c:tx>
                <c:rich>
                  <a:bodyPr/>
                  <a:lstStyle/>
                  <a:p>
                    <a:fld id="{570F2CAE-9513-49FE-BD10-C3F7156DEEB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69EB-4270-A65D-8B7BF95DF63F}"/>
                </c:ext>
              </c:extLst>
            </c:dLbl>
            <c:dLbl>
              <c:idx val="18"/>
              <c:tx>
                <c:rich>
                  <a:bodyPr/>
                  <a:lstStyle/>
                  <a:p>
                    <a:fld id="{3C0516C0-EE19-42D1-99ED-3E1D73F4977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69EB-4270-A65D-8B7BF95DF63F}"/>
                </c:ext>
              </c:extLst>
            </c:dLbl>
            <c:dLbl>
              <c:idx val="19"/>
              <c:tx>
                <c:rich>
                  <a:bodyPr/>
                  <a:lstStyle/>
                  <a:p>
                    <a:fld id="{FB73BA4E-EE5E-4F29-9B4E-BBA410FB20D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69EB-4270-A65D-8B7BF95DF63F}"/>
                </c:ext>
              </c:extLst>
            </c:dLbl>
            <c:dLbl>
              <c:idx val="20"/>
              <c:tx>
                <c:rich>
                  <a:bodyPr/>
                  <a:lstStyle/>
                  <a:p>
                    <a:fld id="{E210DBFA-AD30-4A28-A6B1-1371D765237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69EB-4270-A65D-8B7BF95DF63F}"/>
                </c:ext>
              </c:extLst>
            </c:dLbl>
            <c:dLbl>
              <c:idx val="21"/>
              <c:tx>
                <c:rich>
                  <a:bodyPr/>
                  <a:lstStyle/>
                  <a:p>
                    <a:fld id="{D43AE0DD-56D4-4AFE-84AC-2D2598B6F6C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69EB-4270-A65D-8B7BF95DF63F}"/>
                </c:ext>
              </c:extLst>
            </c:dLbl>
            <c:dLbl>
              <c:idx val="22"/>
              <c:tx>
                <c:rich>
                  <a:bodyPr/>
                  <a:lstStyle/>
                  <a:p>
                    <a:fld id="{8A34F5C5-D780-4A09-8BE3-E37C1620249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69EB-4270-A65D-8B7BF95DF63F}"/>
                </c:ext>
              </c:extLst>
            </c:dLbl>
            <c:dLbl>
              <c:idx val="23"/>
              <c:tx>
                <c:rich>
                  <a:bodyPr/>
                  <a:lstStyle/>
                  <a:p>
                    <a:fld id="{4442FF17-55E9-4345-9E2F-1DAD6617E7B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69EB-4270-A65D-8B7BF95DF63F}"/>
                </c:ext>
              </c:extLst>
            </c:dLbl>
            <c:dLbl>
              <c:idx val="24"/>
              <c:tx>
                <c:rich>
                  <a:bodyPr/>
                  <a:lstStyle/>
                  <a:p>
                    <a:fld id="{D4507E73-6BA4-4BD1-9BD1-57459486049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69EB-4270-A65D-8B7BF95DF63F}"/>
                </c:ext>
              </c:extLst>
            </c:dLbl>
            <c:dLbl>
              <c:idx val="25"/>
              <c:tx>
                <c:rich>
                  <a:bodyPr/>
                  <a:lstStyle/>
                  <a:p>
                    <a:fld id="{B25B4A7D-8147-470E-9AAC-13C83BE0AE6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69EB-4270-A65D-8B7BF95DF63F}"/>
                </c:ext>
              </c:extLst>
            </c:dLbl>
            <c:dLbl>
              <c:idx val="26"/>
              <c:tx>
                <c:rich>
                  <a:bodyPr/>
                  <a:lstStyle/>
                  <a:p>
                    <a:fld id="{D507815A-D643-4793-96AF-5714F7D1D2C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69EB-4270-A65D-8B7BF95DF63F}"/>
                </c:ext>
              </c:extLst>
            </c:dLbl>
            <c:dLbl>
              <c:idx val="27"/>
              <c:tx>
                <c:rich>
                  <a:bodyPr/>
                  <a:lstStyle/>
                  <a:p>
                    <a:fld id="{EA3748C0-ED65-4D05-8FF6-E7C2DE5CD65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69EB-4270-A65D-8B7BF95DF63F}"/>
                </c:ext>
              </c:extLst>
            </c:dLbl>
            <c:dLbl>
              <c:idx val="28"/>
              <c:tx>
                <c:rich>
                  <a:bodyPr/>
                  <a:lstStyle/>
                  <a:p>
                    <a:fld id="{36AB67EB-1534-4626-AFFD-AEEFE525E88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69EB-4270-A65D-8B7BF95DF63F}"/>
                </c:ext>
              </c:extLst>
            </c:dLbl>
            <c:dLbl>
              <c:idx val="29"/>
              <c:tx>
                <c:rich>
                  <a:bodyPr/>
                  <a:lstStyle/>
                  <a:p>
                    <a:fld id="{6489BC9E-1F4C-4BDF-A20E-3DF9977C231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69EB-4270-A65D-8B7BF95DF63F}"/>
                </c:ext>
              </c:extLst>
            </c:dLbl>
            <c:dLbl>
              <c:idx val="30"/>
              <c:tx>
                <c:rich>
                  <a:bodyPr/>
                  <a:lstStyle/>
                  <a:p>
                    <a:fld id="{55C18767-B224-4E14-9053-16AC8263275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69EB-4270-A65D-8B7BF95DF63F}"/>
                </c:ext>
              </c:extLst>
            </c:dLbl>
            <c:dLbl>
              <c:idx val="31"/>
              <c:tx>
                <c:rich>
                  <a:bodyPr/>
                  <a:lstStyle/>
                  <a:p>
                    <a:fld id="{43F81341-A248-4454-A28A-B80A3D4F99A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69EB-4270-A65D-8B7BF95DF63F}"/>
                </c:ext>
              </c:extLst>
            </c:dLbl>
            <c:dLbl>
              <c:idx val="32"/>
              <c:tx>
                <c:rich>
                  <a:bodyPr/>
                  <a:lstStyle/>
                  <a:p>
                    <a:fld id="{E5BF065C-B8C3-4A78-9AC3-9ADCF883BF8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69EB-4270-A65D-8B7BF95DF63F}"/>
                </c:ext>
              </c:extLst>
            </c:dLbl>
            <c:dLbl>
              <c:idx val="33"/>
              <c:tx>
                <c:rich>
                  <a:bodyPr/>
                  <a:lstStyle/>
                  <a:p>
                    <a:fld id="{0CA6ACAB-3771-4441-AF11-5D9AD46B3C4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69EB-4270-A65D-8B7BF95DF63F}"/>
                </c:ext>
              </c:extLst>
            </c:dLbl>
            <c:dLbl>
              <c:idx val="34"/>
              <c:tx>
                <c:rich>
                  <a:bodyPr/>
                  <a:lstStyle/>
                  <a:p>
                    <a:fld id="{301C19D0-9B87-49B4-92D5-898341ACD0A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69EB-4270-A65D-8B7BF95DF63F}"/>
                </c:ext>
              </c:extLst>
            </c:dLbl>
            <c:dLbl>
              <c:idx val="35"/>
              <c:tx>
                <c:rich>
                  <a:bodyPr/>
                  <a:lstStyle/>
                  <a:p>
                    <a:fld id="{2245B709-0E99-43C0-9C76-E5C6A0D2BB3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69EB-4270-A65D-8B7BF95DF63F}"/>
                </c:ext>
              </c:extLst>
            </c:dLbl>
            <c:dLbl>
              <c:idx val="36"/>
              <c:tx>
                <c:rich>
                  <a:bodyPr/>
                  <a:lstStyle/>
                  <a:p>
                    <a:fld id="{B463D1F1-B8A0-4142-B6DF-4C085BF6AC5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69EB-4270-A65D-8B7BF95DF63F}"/>
                </c:ext>
              </c:extLst>
            </c:dLbl>
            <c:dLbl>
              <c:idx val="37"/>
              <c:tx>
                <c:rich>
                  <a:bodyPr/>
                  <a:lstStyle/>
                  <a:p>
                    <a:fld id="{7ED94F3D-A5E9-4A51-9080-A50A0A4A046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69EB-4270-A65D-8B7BF95DF63F}"/>
                </c:ext>
              </c:extLst>
            </c:dLbl>
            <c:dLbl>
              <c:idx val="38"/>
              <c:tx>
                <c:rich>
                  <a:bodyPr/>
                  <a:lstStyle/>
                  <a:p>
                    <a:fld id="{F3B2C432-4097-4EEA-981A-1850D983EA2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69EB-4270-A65D-8B7BF95DF63F}"/>
                </c:ext>
              </c:extLst>
            </c:dLbl>
            <c:dLbl>
              <c:idx val="39"/>
              <c:tx>
                <c:rich>
                  <a:bodyPr/>
                  <a:lstStyle/>
                  <a:p>
                    <a:fld id="{B67EDA8F-383D-46C3-B20F-1A2AF82ECD9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69EB-4270-A65D-8B7BF95DF63F}"/>
                </c:ext>
              </c:extLst>
            </c:dLbl>
            <c:dLbl>
              <c:idx val="40"/>
              <c:tx>
                <c:rich>
                  <a:bodyPr/>
                  <a:lstStyle/>
                  <a:p>
                    <a:fld id="{17B8969D-BBED-41FE-A30B-3CC2F27E00C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69EB-4270-A65D-8B7BF95DF63F}"/>
                </c:ext>
              </c:extLst>
            </c:dLbl>
            <c:dLbl>
              <c:idx val="41"/>
              <c:tx>
                <c:rich>
                  <a:bodyPr/>
                  <a:lstStyle/>
                  <a:p>
                    <a:fld id="{476D9AE1-317B-48F5-822A-60055FD3813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69EB-4270-A65D-8B7BF95DF63F}"/>
                </c:ext>
              </c:extLst>
            </c:dLbl>
            <c:dLbl>
              <c:idx val="42"/>
              <c:tx>
                <c:rich>
                  <a:bodyPr/>
                  <a:lstStyle/>
                  <a:p>
                    <a:fld id="{E697F66D-7BE2-4A31-94F1-A9D75C6A2ED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69EB-4270-A65D-8B7BF95DF63F}"/>
                </c:ext>
              </c:extLst>
            </c:dLbl>
            <c:dLbl>
              <c:idx val="43"/>
              <c:tx>
                <c:rich>
                  <a:bodyPr/>
                  <a:lstStyle/>
                  <a:p>
                    <a:fld id="{70F518F2-1048-40E9-9D8E-EDDED57FAE8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69EB-4270-A65D-8B7BF95DF63F}"/>
                </c:ext>
              </c:extLst>
            </c:dLbl>
            <c:dLbl>
              <c:idx val="44"/>
              <c:tx>
                <c:rich>
                  <a:bodyPr/>
                  <a:lstStyle/>
                  <a:p>
                    <a:fld id="{48E8181A-1BD2-481B-B9A7-FFFF3E2CE33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69EB-4270-A65D-8B7BF95DF63F}"/>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graf'!$AG$32:$AG$76</c:f>
              <c:numCache>
                <c:formatCode>General</c:formatCode>
                <c:ptCount val="45"/>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pt idx="38">
                  <c:v>40</c:v>
                </c:pt>
                <c:pt idx="39">
                  <c:v>40</c:v>
                </c:pt>
                <c:pt idx="40">
                  <c:v>40</c:v>
                </c:pt>
                <c:pt idx="41">
                  <c:v>40</c:v>
                </c:pt>
                <c:pt idx="42">
                  <c:v>40</c:v>
                </c:pt>
                <c:pt idx="43">
                  <c:v>40</c:v>
                </c:pt>
                <c:pt idx="44">
                  <c:v>40</c:v>
                </c:pt>
              </c:numCache>
            </c:numRef>
          </c:val>
          <c:smooth val="0"/>
          <c:extLst>
            <c:ext xmlns:c15="http://schemas.microsoft.com/office/drawing/2012/chart" uri="{02D57815-91ED-43cb-92C2-25804820EDAC}">
              <c15:datalabelsRange>
                <c15:f>'Prerađivačka_6 graf'!$B$32:$B$76</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2-69EB-4270-A65D-8B7BF95DF63F}"/>
            </c:ext>
          </c:extLst>
        </c:ser>
        <c:ser>
          <c:idx val="0"/>
          <c:order val="2"/>
          <c:tx>
            <c:strRef>
              <c:f>'Prerađivačka_6 graf'!$AH$7</c:f>
              <c:strCache>
                <c:ptCount val="1"/>
                <c:pt idx="0">
                  <c:v>y</c:v>
                </c:pt>
              </c:strCache>
            </c:strRef>
          </c:tx>
          <c:spPr>
            <a:ln w="12700" cap="rnd">
              <a:solidFill>
                <a:srgbClr val="7F3F98"/>
              </a:solidFill>
              <a:prstDash val="sysDash"/>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graf'!$AH$32:$AH$76</c:f>
              <c:numCache>
                <c:formatCode>0.0</c:formatCode>
                <c:ptCount val="45"/>
                <c:pt idx="0">
                  <c:v>80.980701541449207</c:v>
                </c:pt>
                <c:pt idx="1">
                  <c:v>94.671683456730193</c:v>
                </c:pt>
                <c:pt idx="2">
                  <c:v>107.70724602500303</c:v>
                </c:pt>
                <c:pt idx="3">
                  <c:v>99.405267629566694</c:v>
                </c:pt>
                <c:pt idx="4">
                  <c:v>104.64862240563176</c:v>
                </c:pt>
                <c:pt idx="5">
                  <c:v>100.49763320791358</c:v>
                </c:pt>
                <c:pt idx="6">
                  <c:v>107.70724602500303</c:v>
                </c:pt>
                <c:pt idx="7">
                  <c:v>94.307561597281236</c:v>
                </c:pt>
                <c:pt idx="8">
                  <c:v>105.01274426508071</c:v>
                </c:pt>
                <c:pt idx="9">
                  <c:v>106.46923170287657</c:v>
                </c:pt>
                <c:pt idx="10">
                  <c:v>99.25961888578712</c:v>
                </c:pt>
                <c:pt idx="11">
                  <c:v>83.820852045151099</c:v>
                </c:pt>
                <c:pt idx="12">
                  <c:v>85.932758829955091</c:v>
                </c:pt>
                <c:pt idx="13">
                  <c:v>105.08556863697052</c:v>
                </c:pt>
                <c:pt idx="14">
                  <c:v>101.73564753004005</c:v>
                </c:pt>
                <c:pt idx="15">
                  <c:v>48.355382934822195</c:v>
                </c:pt>
                <c:pt idx="16">
                  <c:v>81.344823400898164</c:v>
                </c:pt>
                <c:pt idx="17">
                  <c:v>92.923898531375173</c:v>
                </c:pt>
                <c:pt idx="18">
                  <c:v>100.13351134846462</c:v>
                </c:pt>
                <c:pt idx="19">
                  <c:v>97.074887729093348</c:v>
                </c:pt>
                <c:pt idx="20">
                  <c:v>113.09624954484769</c:v>
                </c:pt>
                <c:pt idx="21">
                  <c:v>114.18861512319458</c:v>
                </c:pt>
                <c:pt idx="22">
                  <c:v>106.1051098434276</c:v>
                </c:pt>
                <c:pt idx="23">
                  <c:v>98.094428935550425</c:v>
                </c:pt>
                <c:pt idx="24">
                  <c:v>83.087512291052107</c:v>
                </c:pt>
                <c:pt idx="25">
                  <c:v>100.10141987829616</c:v>
                </c:pt>
                <c:pt idx="26">
                  <c:v>107.14285714285712</c:v>
                </c:pt>
                <c:pt idx="27">
                  <c:v>102.51366120218579</c:v>
                </c:pt>
                <c:pt idx="28">
                  <c:v>99.01185770750989</c:v>
                </c:pt>
                <c:pt idx="29">
                  <c:v>106.68756530825495</c:v>
                </c:pt>
                <c:pt idx="30">
                  <c:v>102.46913580246914</c:v>
                </c:pt>
                <c:pt idx="31">
                  <c:v>92.043010752688176</c:v>
                </c:pt>
                <c:pt idx="32">
                  <c:v>102.57466529351184</c:v>
                </c:pt>
                <c:pt idx="33">
                  <c:v>104.28450054618278</c:v>
                </c:pt>
                <c:pt idx="34">
                  <c:v>103.04648622405632</c:v>
                </c:pt>
                <c:pt idx="35">
                  <c:v>97.074887729093348</c:v>
                </c:pt>
                <c:pt idx="36">
                  <c:v>84.5</c:v>
                </c:pt>
                <c:pt idx="37">
                  <c:v>98.7</c:v>
                </c:pt>
                <c:pt idx="38">
                  <c:v>106.5</c:v>
                </c:pt>
                <c:pt idx="39">
                  <c:v>93.9</c:v>
                </c:pt>
                <c:pt idx="40">
                  <c:v>100.2</c:v>
                </c:pt>
                <c:pt idx="41">
                  <c:v>102.4</c:v>
                </c:pt>
                <c:pt idx="42">
                  <c:v>91.3</c:v>
                </c:pt>
                <c:pt idx="43">
                  <c:v>88.1</c:v>
                </c:pt>
                <c:pt idx="44">
                  <c:v>99.6</c:v>
                </c:pt>
              </c:numCache>
            </c:numRef>
          </c:val>
          <c:smooth val="0"/>
          <c:extLst>
            <c:ext xmlns:c16="http://schemas.microsoft.com/office/drawing/2014/chart" uri="{C3380CC4-5D6E-409C-BE32-E72D297353CC}">
              <c16:uniqueId val="{00000033-69EB-4270-A65D-8B7BF95DF63F}"/>
            </c:ext>
          </c:extLst>
        </c:ser>
        <c:ser>
          <c:idx val="1"/>
          <c:order val="3"/>
          <c:tx>
            <c:strRef>
              <c:f>'Prerađivačka_6 graf'!$AI$7</c:f>
              <c:strCache>
                <c:ptCount val="1"/>
                <c:pt idx="0">
                  <c:v>sa</c:v>
                </c:pt>
              </c:strCache>
            </c:strRef>
          </c:tx>
          <c:spPr>
            <a:ln w="22225" cap="rnd">
              <a:solidFill>
                <a:srgbClr val="25AAE1"/>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graf'!$AI$32:$AI$76</c:f>
              <c:numCache>
                <c:formatCode>0.0</c:formatCode>
                <c:ptCount val="45"/>
                <c:pt idx="0">
                  <c:v>95.891288854272048</c:v>
                </c:pt>
                <c:pt idx="1">
                  <c:v>96.104975282645299</c:v>
                </c:pt>
                <c:pt idx="2">
                  <c:v>100.65066384230391</c:v>
                </c:pt>
                <c:pt idx="3">
                  <c:v>100.39549500745217</c:v>
                </c:pt>
                <c:pt idx="4">
                  <c:v>103.07499155837867</c:v>
                </c:pt>
                <c:pt idx="5">
                  <c:v>97.339135312778822</c:v>
                </c:pt>
                <c:pt idx="6">
                  <c:v>102.20604094432817</c:v>
                </c:pt>
                <c:pt idx="7">
                  <c:v>97.497547343524161</c:v>
                </c:pt>
                <c:pt idx="8">
                  <c:v>100.11629908603555</c:v>
                </c:pt>
                <c:pt idx="9">
                  <c:v>96.356525136837149</c:v>
                </c:pt>
                <c:pt idx="10">
                  <c:v>99.767572034395641</c:v>
                </c:pt>
                <c:pt idx="11">
                  <c:v>94.917983298167115</c:v>
                </c:pt>
                <c:pt idx="12">
                  <c:v>104.56170769779942</c:v>
                </c:pt>
                <c:pt idx="13">
                  <c:v>101.63920258617578</c:v>
                </c:pt>
                <c:pt idx="14">
                  <c:v>94.007977767163723</c:v>
                </c:pt>
                <c:pt idx="15">
                  <c:v>48.661275668280034</c:v>
                </c:pt>
                <c:pt idx="16">
                  <c:v>81.383465761479712</c:v>
                </c:pt>
                <c:pt idx="17">
                  <c:v>88.076471056572601</c:v>
                </c:pt>
                <c:pt idx="18">
                  <c:v>95.855033712506739</c:v>
                </c:pt>
                <c:pt idx="19">
                  <c:v>103.69695372911886</c:v>
                </c:pt>
                <c:pt idx="20">
                  <c:v>105.30808879499052</c:v>
                </c:pt>
                <c:pt idx="21">
                  <c:v>105.46792759282629</c:v>
                </c:pt>
                <c:pt idx="22">
                  <c:v>104.8897143053541</c:v>
                </c:pt>
                <c:pt idx="23">
                  <c:v>106.13387915838838</c:v>
                </c:pt>
                <c:pt idx="24">
                  <c:v>101.58191297943189</c:v>
                </c:pt>
                <c:pt idx="25">
                  <c:v>101.64952308469076</c:v>
                </c:pt>
                <c:pt idx="26">
                  <c:v>98.710628315303353</c:v>
                </c:pt>
                <c:pt idx="27">
                  <c:v>103.54916538379206</c:v>
                </c:pt>
                <c:pt idx="28">
                  <c:v>98.12979369468313</c:v>
                </c:pt>
                <c:pt idx="29">
                  <c:v>101.25189027800312</c:v>
                </c:pt>
                <c:pt idx="30">
                  <c:v>99.834044409115009</c:v>
                </c:pt>
                <c:pt idx="31">
                  <c:v>97.271759126861724</c:v>
                </c:pt>
                <c:pt idx="32">
                  <c:v>95.357652227849371</c:v>
                </c:pt>
                <c:pt idx="33">
                  <c:v>98.445348136261444</c:v>
                </c:pt>
                <c:pt idx="34">
                  <c:v>99.943563022909032</c:v>
                </c:pt>
                <c:pt idx="35">
                  <c:v>105.28184796396481</c:v>
                </c:pt>
                <c:pt idx="36">
                  <c:v>99.458594341434178</c:v>
                </c:pt>
                <c:pt idx="37">
                  <c:v>99.87840515797474</c:v>
                </c:pt>
                <c:pt idx="38">
                  <c:v>97.181879135108304</c:v>
                </c:pt>
                <c:pt idx="39">
                  <c:v>96.689558917541277</c:v>
                </c:pt>
                <c:pt idx="40">
                  <c:v>98.760432098624619</c:v>
                </c:pt>
                <c:pt idx="41">
                  <c:v>96.793534752006281</c:v>
                </c:pt>
                <c:pt idx="42">
                  <c:v>91.98744855642488</c:v>
                </c:pt>
                <c:pt idx="43">
                  <c:v>92.507924033052745</c:v>
                </c:pt>
                <c:pt idx="44">
                  <c:v>93.25534471686457</c:v>
                </c:pt>
              </c:numCache>
            </c:numRef>
          </c:val>
          <c:smooth val="0"/>
          <c:extLst>
            <c:ext xmlns:c16="http://schemas.microsoft.com/office/drawing/2014/chart" uri="{C3380CC4-5D6E-409C-BE32-E72D297353CC}">
              <c16:uniqueId val="{00000034-69EB-4270-A65D-8B7BF95DF63F}"/>
            </c:ext>
          </c:extLst>
        </c:ser>
        <c:ser>
          <c:idx val="2"/>
          <c:order val="4"/>
          <c:tx>
            <c:strRef>
              <c:f>'Prerađivačka_6 graf'!$AJ$7</c:f>
              <c:strCache>
                <c:ptCount val="1"/>
                <c:pt idx="0">
                  <c:v>t</c:v>
                </c:pt>
              </c:strCache>
            </c:strRef>
          </c:tx>
          <c:spPr>
            <a:ln w="25400" cap="rnd">
              <a:solidFill>
                <a:srgbClr val="FF0000"/>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graf'!$AJ$32:$AJ$76</c:f>
              <c:numCache>
                <c:formatCode>0.0</c:formatCode>
                <c:ptCount val="45"/>
                <c:pt idx="0">
                  <c:v>95.814157627518981</c:v>
                </c:pt>
                <c:pt idx="1">
                  <c:v>97.237590654324336</c:v>
                </c:pt>
                <c:pt idx="2">
                  <c:v>98.80702783199726</c:v>
                </c:pt>
                <c:pt idx="3">
                  <c:v>100.06775461550637</c:v>
                </c:pt>
                <c:pt idx="4">
                  <c:v>100.67181435637961</c:v>
                </c:pt>
                <c:pt idx="5">
                  <c:v>100.6040034110115</c:v>
                </c:pt>
                <c:pt idx="6">
                  <c:v>100.06508832238234</c:v>
                </c:pt>
                <c:pt idx="7">
                  <c:v>99.367663737068341</c:v>
                </c:pt>
                <c:pt idx="8">
                  <c:v>98.697540128729727</c:v>
                </c:pt>
                <c:pt idx="9">
                  <c:v>98.182754628336099</c:v>
                </c:pt>
                <c:pt idx="10">
                  <c:v>97.651685288008053</c:v>
                </c:pt>
                <c:pt idx="11">
                  <c:v>96.942076589914535</c:v>
                </c:pt>
                <c:pt idx="12">
                  <c:v>95.941009030180837</c:v>
                </c:pt>
                <c:pt idx="13">
                  <c:v>94.725920752156767</c:v>
                </c:pt>
                <c:pt idx="14">
                  <c:v>93.477460254839499</c:v>
                </c:pt>
                <c:pt idx="15">
                  <c:v>92.810236290584342</c:v>
                </c:pt>
                <c:pt idx="16">
                  <c:v>93.194283440530299</c:v>
                </c:pt>
                <c:pt idx="17">
                  <c:v>94.830794214051835</c:v>
                </c:pt>
                <c:pt idx="18">
                  <c:v>97.490860084348895</c:v>
                </c:pt>
                <c:pt idx="19">
                  <c:v>100.61409593429468</c:v>
                </c:pt>
                <c:pt idx="20">
                  <c:v>103.34425350090046</c:v>
                </c:pt>
                <c:pt idx="21">
                  <c:v>104.91167922388478</c:v>
                </c:pt>
                <c:pt idx="22">
                  <c:v>105.19800908590027</c:v>
                </c:pt>
                <c:pt idx="23">
                  <c:v>104.44200754616044</c:v>
                </c:pt>
                <c:pt idx="24">
                  <c:v>103.15527636039462</c:v>
                </c:pt>
                <c:pt idx="25">
                  <c:v>101.9495045167763</c:v>
                </c:pt>
                <c:pt idx="26">
                  <c:v>101.15675238360737</c:v>
                </c:pt>
                <c:pt idx="27">
                  <c:v>100.61245076887216</c:v>
                </c:pt>
                <c:pt idx="28">
                  <c:v>100.07386940220806</c:v>
                </c:pt>
                <c:pt idx="29">
                  <c:v>99.457892425159827</c:v>
                </c:pt>
                <c:pt idx="30">
                  <c:v>98.780982014376903</c:v>
                </c:pt>
                <c:pt idx="31">
                  <c:v>98.165124153073094</c:v>
                </c:pt>
                <c:pt idx="32">
                  <c:v>97.924638119880981</c:v>
                </c:pt>
                <c:pt idx="33">
                  <c:v>98.126014178671952</c:v>
                </c:pt>
                <c:pt idx="34">
                  <c:v>98.571067648173596</c:v>
                </c:pt>
                <c:pt idx="35">
                  <c:v>98.93413811276892</c:v>
                </c:pt>
                <c:pt idx="36">
                  <c:v>99.15789212497809</c:v>
                </c:pt>
                <c:pt idx="37">
                  <c:v>99.030764828790581</c:v>
                </c:pt>
                <c:pt idx="38">
                  <c:v>98.511712478873022</c:v>
                </c:pt>
                <c:pt idx="39">
                  <c:v>97.708511848846072</c:v>
                </c:pt>
                <c:pt idx="40">
                  <c:v>96.744027597197544</c:v>
                </c:pt>
                <c:pt idx="41">
                  <c:v>95.607571784125554</c:v>
                </c:pt>
                <c:pt idx="42">
                  <c:v>94.44509512592883</c:v>
                </c:pt>
                <c:pt idx="43">
                  <c:v>93.492148468895252</c:v>
                </c:pt>
                <c:pt idx="44">
                  <c:v>92.869689952351365</c:v>
                </c:pt>
              </c:numCache>
            </c:numRef>
          </c:val>
          <c:smooth val="0"/>
          <c:extLst>
            <c:ext xmlns:c16="http://schemas.microsoft.com/office/drawing/2014/chart" uri="{C3380CC4-5D6E-409C-BE32-E72D297353CC}">
              <c16:uniqueId val="{00000035-69EB-4270-A65D-8B7BF95DF63F}"/>
            </c:ext>
          </c:extLst>
        </c:ser>
        <c:dLbls>
          <c:showLegendKey val="0"/>
          <c:showVal val="0"/>
          <c:showCatName val="0"/>
          <c:showSerName val="0"/>
          <c:showPercent val="0"/>
          <c:showBubbleSize val="0"/>
        </c:dLbls>
        <c:marker val="1"/>
        <c:smooth val="0"/>
        <c:axId val="2092125712"/>
        <c:axId val="2092128432"/>
      </c:lineChart>
      <c:dateAx>
        <c:axId val="20921257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28432"/>
        <c:crosses val="autoZero"/>
        <c:auto val="1"/>
        <c:lblOffset val="0"/>
        <c:baseTimeUnit val="months"/>
        <c:majorUnit val="12"/>
        <c:majorTimeUnit val="months"/>
      </c:dateAx>
      <c:valAx>
        <c:axId val="2092128432"/>
        <c:scaling>
          <c:orientation val="minMax"/>
          <c:max val="12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257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5.885123542270874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40-4FE3-B68E-E849A204C580}"/>
                </c:ext>
              </c:extLst>
            </c:dLbl>
            <c:dLbl>
              <c:idx val="12"/>
              <c:layout>
                <c:manualLayout>
                  <c:x val="5.88831836354152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40-4FE3-B68E-E849A204C580}"/>
                </c:ext>
              </c:extLst>
            </c:dLbl>
            <c:dLbl>
              <c:idx val="24"/>
              <c:layout>
                <c:manualLayout>
                  <c:x val="5.758451159429590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40-4FE3-B68E-E849A204C580}"/>
                </c:ext>
              </c:extLst>
            </c:dLbl>
            <c:dLbl>
              <c:idx val="36"/>
              <c:layout>
                <c:manualLayout>
                  <c:x val="1.902890636567118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40-4FE3-B68E-E849A204C58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graf'!$AK$32:$AK$76</c:f>
              <c:numCache>
                <c:formatCode>General</c:formatCode>
                <c:ptCount val="45"/>
                <c:pt idx="0">
                  <c:v>60</c:v>
                </c:pt>
                <c:pt idx="12">
                  <c:v>60</c:v>
                </c:pt>
                <c:pt idx="24">
                  <c:v>60</c:v>
                </c:pt>
                <c:pt idx="36">
                  <c:v>60</c:v>
                </c:pt>
              </c:numCache>
            </c:numRef>
          </c:val>
          <c:smooth val="0"/>
          <c:extLst>
            <c:ext xmlns:c16="http://schemas.microsoft.com/office/drawing/2014/chart" uri="{C3380CC4-5D6E-409C-BE32-E72D297353CC}">
              <c16:uniqueId val="{00000004-6E40-4FE3-B68E-E849A204C580}"/>
            </c:ext>
          </c:extLst>
        </c:ser>
        <c:ser>
          <c:idx val="4"/>
          <c:order val="1"/>
          <c:tx>
            <c:strRef>
              <c:f>'Prerađivačka_6 graf'!$AL$7</c:f>
              <c:strCache>
                <c:ptCount val="1"/>
                <c:pt idx="0">
                  <c:v>Series5</c:v>
                </c:pt>
              </c:strCache>
            </c:strRef>
          </c:tx>
          <c:spPr>
            <a:ln w="25400" cap="rnd">
              <a:noFill/>
              <a:round/>
            </a:ln>
            <a:effectLst/>
          </c:spPr>
          <c:marker>
            <c:symbol val="none"/>
          </c:marker>
          <c:dLbls>
            <c:dLbl>
              <c:idx val="0"/>
              <c:tx>
                <c:rich>
                  <a:bodyPr/>
                  <a:lstStyle/>
                  <a:p>
                    <a:fld id="{DFD58365-2067-4CD7-9387-CB9B5A4EED0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6E40-4FE3-B68E-E849A204C580}"/>
                </c:ext>
              </c:extLst>
            </c:dLbl>
            <c:dLbl>
              <c:idx val="1"/>
              <c:tx>
                <c:rich>
                  <a:bodyPr/>
                  <a:lstStyle/>
                  <a:p>
                    <a:fld id="{4A9C4E10-29F5-43FA-8E9F-13F749E510D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6E40-4FE3-B68E-E849A204C580}"/>
                </c:ext>
              </c:extLst>
            </c:dLbl>
            <c:dLbl>
              <c:idx val="2"/>
              <c:tx>
                <c:rich>
                  <a:bodyPr/>
                  <a:lstStyle/>
                  <a:p>
                    <a:fld id="{BEA461FC-522E-417A-B5CC-6ECAC672286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6E40-4FE3-B68E-E849A204C580}"/>
                </c:ext>
              </c:extLst>
            </c:dLbl>
            <c:dLbl>
              <c:idx val="3"/>
              <c:tx>
                <c:rich>
                  <a:bodyPr/>
                  <a:lstStyle/>
                  <a:p>
                    <a:fld id="{C36BC397-5FAF-4A14-A6E8-8B0ED9F11D2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6E40-4FE3-B68E-E849A204C580}"/>
                </c:ext>
              </c:extLst>
            </c:dLbl>
            <c:dLbl>
              <c:idx val="4"/>
              <c:tx>
                <c:rich>
                  <a:bodyPr/>
                  <a:lstStyle/>
                  <a:p>
                    <a:fld id="{F491279A-7C36-4D6F-9503-98D232ECFB1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E40-4FE3-B68E-E849A204C580}"/>
                </c:ext>
              </c:extLst>
            </c:dLbl>
            <c:dLbl>
              <c:idx val="5"/>
              <c:tx>
                <c:rich>
                  <a:bodyPr/>
                  <a:lstStyle/>
                  <a:p>
                    <a:fld id="{0CAF0A26-A5EC-4D10-B295-C2F0708CF89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6E40-4FE3-B68E-E849A204C580}"/>
                </c:ext>
              </c:extLst>
            </c:dLbl>
            <c:dLbl>
              <c:idx val="6"/>
              <c:tx>
                <c:rich>
                  <a:bodyPr/>
                  <a:lstStyle/>
                  <a:p>
                    <a:fld id="{424DF0B3-EA45-48A1-A321-6D18D2C55A2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6E40-4FE3-B68E-E849A204C580}"/>
                </c:ext>
              </c:extLst>
            </c:dLbl>
            <c:dLbl>
              <c:idx val="7"/>
              <c:tx>
                <c:rich>
                  <a:bodyPr/>
                  <a:lstStyle/>
                  <a:p>
                    <a:fld id="{F885267C-F382-4039-A2AD-D2B5C655C98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E40-4FE3-B68E-E849A204C580}"/>
                </c:ext>
              </c:extLst>
            </c:dLbl>
            <c:dLbl>
              <c:idx val="8"/>
              <c:tx>
                <c:rich>
                  <a:bodyPr/>
                  <a:lstStyle/>
                  <a:p>
                    <a:fld id="{560561CA-7F0E-4A51-AF8D-826996F191B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6E40-4FE3-B68E-E849A204C580}"/>
                </c:ext>
              </c:extLst>
            </c:dLbl>
            <c:dLbl>
              <c:idx val="9"/>
              <c:tx>
                <c:rich>
                  <a:bodyPr/>
                  <a:lstStyle/>
                  <a:p>
                    <a:fld id="{5ADF3467-D925-4F0F-968C-D6966FE9DB7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6E40-4FE3-B68E-E849A204C580}"/>
                </c:ext>
              </c:extLst>
            </c:dLbl>
            <c:dLbl>
              <c:idx val="10"/>
              <c:tx>
                <c:rich>
                  <a:bodyPr/>
                  <a:lstStyle/>
                  <a:p>
                    <a:fld id="{D7EDF228-6472-4C89-92AD-A15B1CDCEF7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E40-4FE3-B68E-E849A204C580}"/>
                </c:ext>
              </c:extLst>
            </c:dLbl>
            <c:dLbl>
              <c:idx val="11"/>
              <c:tx>
                <c:rich>
                  <a:bodyPr/>
                  <a:lstStyle/>
                  <a:p>
                    <a:fld id="{9AC397CD-9F52-4671-8545-3479712191E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6E40-4FE3-B68E-E849A204C580}"/>
                </c:ext>
              </c:extLst>
            </c:dLbl>
            <c:dLbl>
              <c:idx val="12"/>
              <c:tx>
                <c:rich>
                  <a:bodyPr/>
                  <a:lstStyle/>
                  <a:p>
                    <a:fld id="{DC667BD4-167A-4272-AD1A-4259B09CDE6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6E40-4FE3-B68E-E849A204C580}"/>
                </c:ext>
              </c:extLst>
            </c:dLbl>
            <c:dLbl>
              <c:idx val="13"/>
              <c:tx>
                <c:rich>
                  <a:bodyPr/>
                  <a:lstStyle/>
                  <a:p>
                    <a:fld id="{66724411-5D57-4B8D-AD0F-DFDBB136241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E40-4FE3-B68E-E849A204C580}"/>
                </c:ext>
              </c:extLst>
            </c:dLbl>
            <c:dLbl>
              <c:idx val="14"/>
              <c:tx>
                <c:rich>
                  <a:bodyPr/>
                  <a:lstStyle/>
                  <a:p>
                    <a:fld id="{88CB6220-5FEE-4A57-8AF4-B4EB26B8E3C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6E40-4FE3-B68E-E849A204C580}"/>
                </c:ext>
              </c:extLst>
            </c:dLbl>
            <c:dLbl>
              <c:idx val="15"/>
              <c:tx>
                <c:rich>
                  <a:bodyPr/>
                  <a:lstStyle/>
                  <a:p>
                    <a:fld id="{0BF7FA3C-2861-414F-9C6A-4F85FF4327B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6E40-4FE3-B68E-E849A204C580}"/>
                </c:ext>
              </c:extLst>
            </c:dLbl>
            <c:dLbl>
              <c:idx val="16"/>
              <c:tx>
                <c:rich>
                  <a:bodyPr/>
                  <a:lstStyle/>
                  <a:p>
                    <a:fld id="{FC40A73A-6744-4E89-A3CE-5706159016A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E40-4FE3-B68E-E849A204C580}"/>
                </c:ext>
              </c:extLst>
            </c:dLbl>
            <c:dLbl>
              <c:idx val="17"/>
              <c:tx>
                <c:rich>
                  <a:bodyPr/>
                  <a:lstStyle/>
                  <a:p>
                    <a:fld id="{49395583-E3E7-43D5-8166-07584DBFFFC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6E40-4FE3-B68E-E849A204C580}"/>
                </c:ext>
              </c:extLst>
            </c:dLbl>
            <c:dLbl>
              <c:idx val="18"/>
              <c:tx>
                <c:rich>
                  <a:bodyPr/>
                  <a:lstStyle/>
                  <a:p>
                    <a:fld id="{CEA48924-0806-4639-B189-16DAD776341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6E40-4FE3-B68E-E849A204C580}"/>
                </c:ext>
              </c:extLst>
            </c:dLbl>
            <c:dLbl>
              <c:idx val="19"/>
              <c:tx>
                <c:rich>
                  <a:bodyPr/>
                  <a:lstStyle/>
                  <a:p>
                    <a:fld id="{1F93E328-FDAF-47BF-9E59-23026640233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6E40-4FE3-B68E-E849A204C580}"/>
                </c:ext>
              </c:extLst>
            </c:dLbl>
            <c:dLbl>
              <c:idx val="20"/>
              <c:tx>
                <c:rich>
                  <a:bodyPr/>
                  <a:lstStyle/>
                  <a:p>
                    <a:fld id="{611A7B63-1ED7-4CA3-8A40-D0A865FC29E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6E40-4FE3-B68E-E849A204C580}"/>
                </c:ext>
              </c:extLst>
            </c:dLbl>
            <c:dLbl>
              <c:idx val="21"/>
              <c:tx>
                <c:rich>
                  <a:bodyPr/>
                  <a:lstStyle/>
                  <a:p>
                    <a:fld id="{6D45DE66-7E24-47F3-B875-174590A6C14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6E40-4FE3-B68E-E849A204C580}"/>
                </c:ext>
              </c:extLst>
            </c:dLbl>
            <c:dLbl>
              <c:idx val="22"/>
              <c:tx>
                <c:rich>
                  <a:bodyPr/>
                  <a:lstStyle/>
                  <a:p>
                    <a:fld id="{078F308B-6F37-4898-B9A0-BEAD6AEE910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6E40-4FE3-B68E-E849A204C580}"/>
                </c:ext>
              </c:extLst>
            </c:dLbl>
            <c:dLbl>
              <c:idx val="23"/>
              <c:tx>
                <c:rich>
                  <a:bodyPr/>
                  <a:lstStyle/>
                  <a:p>
                    <a:fld id="{B9F5C056-B222-4B54-87F1-5512202F211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6E40-4FE3-B68E-E849A204C580}"/>
                </c:ext>
              </c:extLst>
            </c:dLbl>
            <c:dLbl>
              <c:idx val="24"/>
              <c:tx>
                <c:rich>
                  <a:bodyPr/>
                  <a:lstStyle/>
                  <a:p>
                    <a:fld id="{222DF3BE-EFB9-434E-B9AC-6E45F1E801A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6E40-4FE3-B68E-E849A204C580}"/>
                </c:ext>
              </c:extLst>
            </c:dLbl>
            <c:dLbl>
              <c:idx val="25"/>
              <c:tx>
                <c:rich>
                  <a:bodyPr/>
                  <a:lstStyle/>
                  <a:p>
                    <a:fld id="{395398DF-D2E3-4A15-BF95-C3E36A0C489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6E40-4FE3-B68E-E849A204C580}"/>
                </c:ext>
              </c:extLst>
            </c:dLbl>
            <c:dLbl>
              <c:idx val="26"/>
              <c:tx>
                <c:rich>
                  <a:bodyPr/>
                  <a:lstStyle/>
                  <a:p>
                    <a:fld id="{CFD096A2-DC17-4F19-AD0F-3DE69A056B4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6E40-4FE3-B68E-E849A204C580}"/>
                </c:ext>
              </c:extLst>
            </c:dLbl>
            <c:dLbl>
              <c:idx val="27"/>
              <c:tx>
                <c:rich>
                  <a:bodyPr/>
                  <a:lstStyle/>
                  <a:p>
                    <a:fld id="{1AF3ACB3-D72C-409E-9F46-A7B30013422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6E40-4FE3-B68E-E849A204C580}"/>
                </c:ext>
              </c:extLst>
            </c:dLbl>
            <c:dLbl>
              <c:idx val="28"/>
              <c:tx>
                <c:rich>
                  <a:bodyPr/>
                  <a:lstStyle/>
                  <a:p>
                    <a:fld id="{82EAD65E-DAA3-41E0-9972-3CFBDBC5063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6E40-4FE3-B68E-E849A204C580}"/>
                </c:ext>
              </c:extLst>
            </c:dLbl>
            <c:dLbl>
              <c:idx val="29"/>
              <c:tx>
                <c:rich>
                  <a:bodyPr/>
                  <a:lstStyle/>
                  <a:p>
                    <a:fld id="{A06D7CF5-D1E1-4A17-B7F9-B01DE1F6ACE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6E40-4FE3-B68E-E849A204C580}"/>
                </c:ext>
              </c:extLst>
            </c:dLbl>
            <c:dLbl>
              <c:idx val="30"/>
              <c:tx>
                <c:rich>
                  <a:bodyPr/>
                  <a:lstStyle/>
                  <a:p>
                    <a:fld id="{F979B6DF-E777-4945-8D90-76D446C023A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6E40-4FE3-B68E-E849A204C580}"/>
                </c:ext>
              </c:extLst>
            </c:dLbl>
            <c:dLbl>
              <c:idx val="31"/>
              <c:tx>
                <c:rich>
                  <a:bodyPr/>
                  <a:lstStyle/>
                  <a:p>
                    <a:fld id="{68ADD87A-E370-41B3-98F2-257DB2AB850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6E40-4FE3-B68E-E849A204C580}"/>
                </c:ext>
              </c:extLst>
            </c:dLbl>
            <c:dLbl>
              <c:idx val="32"/>
              <c:tx>
                <c:rich>
                  <a:bodyPr/>
                  <a:lstStyle/>
                  <a:p>
                    <a:fld id="{E30F1DED-9F5A-49C3-A137-E6ABC0F70C8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6E40-4FE3-B68E-E849A204C580}"/>
                </c:ext>
              </c:extLst>
            </c:dLbl>
            <c:dLbl>
              <c:idx val="33"/>
              <c:tx>
                <c:rich>
                  <a:bodyPr/>
                  <a:lstStyle/>
                  <a:p>
                    <a:fld id="{FA640F92-B236-4294-AF1D-6CAC52B205B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6E40-4FE3-B68E-E849A204C580}"/>
                </c:ext>
              </c:extLst>
            </c:dLbl>
            <c:dLbl>
              <c:idx val="34"/>
              <c:tx>
                <c:rich>
                  <a:bodyPr/>
                  <a:lstStyle/>
                  <a:p>
                    <a:fld id="{87B492B3-1D11-4237-BB39-43B30762649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6E40-4FE3-B68E-E849A204C580}"/>
                </c:ext>
              </c:extLst>
            </c:dLbl>
            <c:dLbl>
              <c:idx val="35"/>
              <c:tx>
                <c:rich>
                  <a:bodyPr/>
                  <a:lstStyle/>
                  <a:p>
                    <a:fld id="{943986CA-95ED-40D7-B9A5-99AC6CC7004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6E40-4FE3-B68E-E849A204C580}"/>
                </c:ext>
              </c:extLst>
            </c:dLbl>
            <c:dLbl>
              <c:idx val="36"/>
              <c:tx>
                <c:rich>
                  <a:bodyPr/>
                  <a:lstStyle/>
                  <a:p>
                    <a:fld id="{0482BCAE-7099-4825-9B05-E7AA854CA55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6E40-4FE3-B68E-E849A204C580}"/>
                </c:ext>
              </c:extLst>
            </c:dLbl>
            <c:dLbl>
              <c:idx val="37"/>
              <c:tx>
                <c:rich>
                  <a:bodyPr/>
                  <a:lstStyle/>
                  <a:p>
                    <a:fld id="{0C4F811D-C86C-4C5D-96A6-5CE8F8A5B7D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6E40-4FE3-B68E-E849A204C580}"/>
                </c:ext>
              </c:extLst>
            </c:dLbl>
            <c:dLbl>
              <c:idx val="38"/>
              <c:tx>
                <c:rich>
                  <a:bodyPr/>
                  <a:lstStyle/>
                  <a:p>
                    <a:fld id="{2BCC16F5-2BD0-409A-B70D-7099E7C7AD6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6E40-4FE3-B68E-E849A204C580}"/>
                </c:ext>
              </c:extLst>
            </c:dLbl>
            <c:dLbl>
              <c:idx val="39"/>
              <c:tx>
                <c:rich>
                  <a:bodyPr/>
                  <a:lstStyle/>
                  <a:p>
                    <a:fld id="{C856CB72-CD67-46E2-994E-1A107328429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6E40-4FE3-B68E-E849A204C580}"/>
                </c:ext>
              </c:extLst>
            </c:dLbl>
            <c:dLbl>
              <c:idx val="40"/>
              <c:tx>
                <c:rich>
                  <a:bodyPr/>
                  <a:lstStyle/>
                  <a:p>
                    <a:fld id="{04E0A19A-FAC6-4946-A1A3-48DFB1DD5DF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6E40-4FE3-B68E-E849A204C580}"/>
                </c:ext>
              </c:extLst>
            </c:dLbl>
            <c:dLbl>
              <c:idx val="41"/>
              <c:tx>
                <c:rich>
                  <a:bodyPr/>
                  <a:lstStyle/>
                  <a:p>
                    <a:fld id="{BACBB518-996C-4185-81F5-8C28F9B7636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6E40-4FE3-B68E-E849A204C580}"/>
                </c:ext>
              </c:extLst>
            </c:dLbl>
            <c:dLbl>
              <c:idx val="42"/>
              <c:tx>
                <c:rich>
                  <a:bodyPr/>
                  <a:lstStyle/>
                  <a:p>
                    <a:fld id="{F8A8AC0C-3B44-4E09-9FB0-F925025E146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6E40-4FE3-B68E-E849A204C580}"/>
                </c:ext>
              </c:extLst>
            </c:dLbl>
            <c:dLbl>
              <c:idx val="43"/>
              <c:tx>
                <c:rich>
                  <a:bodyPr/>
                  <a:lstStyle/>
                  <a:p>
                    <a:fld id="{11742A29-48B5-4321-A7CF-D90E6840DD5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6E40-4FE3-B68E-E849A204C580}"/>
                </c:ext>
              </c:extLst>
            </c:dLbl>
            <c:dLbl>
              <c:idx val="44"/>
              <c:tx>
                <c:rich>
                  <a:bodyPr/>
                  <a:lstStyle/>
                  <a:p>
                    <a:fld id="{8B8DEDD1-6C1D-49EC-984C-96F7E4141B0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6E40-4FE3-B68E-E849A204C580}"/>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graf'!$AL$32:$AL$76</c:f>
              <c:numCache>
                <c:formatCode>General</c:formatCode>
                <c:ptCount val="45"/>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pt idx="39">
                  <c:v>60</c:v>
                </c:pt>
                <c:pt idx="40">
                  <c:v>60</c:v>
                </c:pt>
                <c:pt idx="41">
                  <c:v>60</c:v>
                </c:pt>
                <c:pt idx="42">
                  <c:v>60</c:v>
                </c:pt>
                <c:pt idx="43">
                  <c:v>60</c:v>
                </c:pt>
                <c:pt idx="44">
                  <c:v>60</c:v>
                </c:pt>
              </c:numCache>
            </c:numRef>
          </c:val>
          <c:smooth val="0"/>
          <c:extLst>
            <c:ext xmlns:c15="http://schemas.microsoft.com/office/drawing/2012/chart" uri="{02D57815-91ED-43cb-92C2-25804820EDAC}">
              <c15:datalabelsRange>
                <c15:f>'Prerađivačka_6 graf'!$B$32:$B$76</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2-6E40-4FE3-B68E-E849A204C580}"/>
            </c:ext>
          </c:extLst>
        </c:ser>
        <c:ser>
          <c:idx val="0"/>
          <c:order val="2"/>
          <c:tx>
            <c:strRef>
              <c:f>'Prerađivačka_6 graf'!$AM$7</c:f>
              <c:strCache>
                <c:ptCount val="1"/>
                <c:pt idx="0">
                  <c:v>y</c:v>
                </c:pt>
              </c:strCache>
            </c:strRef>
          </c:tx>
          <c:spPr>
            <a:ln w="12700" cap="rnd">
              <a:solidFill>
                <a:srgbClr val="92278F"/>
              </a:solidFill>
              <a:prstDash val="sysDash"/>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graf'!$AM$32:$AM$76</c:f>
              <c:numCache>
                <c:formatCode>0.0</c:formatCode>
                <c:ptCount val="45"/>
                <c:pt idx="0">
                  <c:v>92.989484226339542</c:v>
                </c:pt>
                <c:pt idx="1">
                  <c:v>97.346019028542841</c:v>
                </c:pt>
                <c:pt idx="2">
                  <c:v>123.25988983475216</c:v>
                </c:pt>
                <c:pt idx="3">
                  <c:v>120.63094641962948</c:v>
                </c:pt>
                <c:pt idx="4">
                  <c:v>129.94491737606413</c:v>
                </c:pt>
                <c:pt idx="5">
                  <c:v>113.34501752628947</c:v>
                </c:pt>
                <c:pt idx="6">
                  <c:v>114.92238357536309</c:v>
                </c:pt>
                <c:pt idx="7">
                  <c:v>82.323485227841786</c:v>
                </c:pt>
                <c:pt idx="8">
                  <c:v>117.85177766649979</c:v>
                </c:pt>
                <c:pt idx="9">
                  <c:v>120.18027040560844</c:v>
                </c:pt>
                <c:pt idx="10">
                  <c:v>111.61742613920885</c:v>
                </c:pt>
                <c:pt idx="11">
                  <c:v>110.56584877315976</c:v>
                </c:pt>
                <c:pt idx="12">
                  <c:v>97.346019028542841</c:v>
                </c:pt>
                <c:pt idx="13">
                  <c:v>89.909864797195809</c:v>
                </c:pt>
                <c:pt idx="14">
                  <c:v>90.736104156234376</c:v>
                </c:pt>
                <c:pt idx="15">
                  <c:v>89.984977466199325</c:v>
                </c:pt>
                <c:pt idx="16">
                  <c:v>91.412118177265924</c:v>
                </c:pt>
                <c:pt idx="17">
                  <c:v>96.36955433149727</c:v>
                </c:pt>
                <c:pt idx="18">
                  <c:v>98.24737105658491</c:v>
                </c:pt>
                <c:pt idx="19">
                  <c:v>95.693540310465735</c:v>
                </c:pt>
                <c:pt idx="20">
                  <c:v>92.01301952929397</c:v>
                </c:pt>
                <c:pt idx="21">
                  <c:v>73.760640961442178</c:v>
                </c:pt>
                <c:pt idx="22">
                  <c:v>79.018527791687561</c:v>
                </c:pt>
                <c:pt idx="23">
                  <c:v>105.45818728092142</c:v>
                </c:pt>
                <c:pt idx="24">
                  <c:v>98.132586367880478</c:v>
                </c:pt>
                <c:pt idx="25">
                  <c:v>91.815856777493607</c:v>
                </c:pt>
                <c:pt idx="26">
                  <c:v>105.67853705486043</c:v>
                </c:pt>
                <c:pt idx="27">
                  <c:v>97.572815533980574</c:v>
                </c:pt>
                <c:pt idx="28">
                  <c:v>97.25158562367865</c:v>
                </c:pt>
                <c:pt idx="29">
                  <c:v>96.757457846952008</c:v>
                </c:pt>
                <c:pt idx="30">
                  <c:v>102.30547550432276</c:v>
                </c:pt>
                <c:pt idx="31">
                  <c:v>105.3731343283582</c:v>
                </c:pt>
                <c:pt idx="32">
                  <c:v>106.62460567823342</c:v>
                </c:pt>
                <c:pt idx="33">
                  <c:v>94.71707561342015</c:v>
                </c:pt>
                <c:pt idx="34">
                  <c:v>92.989484226339542</c:v>
                </c:pt>
                <c:pt idx="35">
                  <c:v>110.49073610415626</c:v>
                </c:pt>
                <c:pt idx="36">
                  <c:v>104.1</c:v>
                </c:pt>
                <c:pt idx="37">
                  <c:v>101.5</c:v>
                </c:pt>
                <c:pt idx="38">
                  <c:v>109.8</c:v>
                </c:pt>
                <c:pt idx="39">
                  <c:v>100.5</c:v>
                </c:pt>
                <c:pt idx="40">
                  <c:v>92</c:v>
                </c:pt>
                <c:pt idx="41">
                  <c:v>74.599999999999994</c:v>
                </c:pt>
                <c:pt idx="42">
                  <c:v>71</c:v>
                </c:pt>
                <c:pt idx="43">
                  <c:v>70.599999999999994</c:v>
                </c:pt>
                <c:pt idx="44">
                  <c:v>67.599999999999994</c:v>
                </c:pt>
              </c:numCache>
            </c:numRef>
          </c:val>
          <c:smooth val="0"/>
          <c:extLst>
            <c:ext xmlns:c16="http://schemas.microsoft.com/office/drawing/2014/chart" uri="{C3380CC4-5D6E-409C-BE32-E72D297353CC}">
              <c16:uniqueId val="{00000033-6E40-4FE3-B68E-E849A204C580}"/>
            </c:ext>
          </c:extLst>
        </c:ser>
        <c:ser>
          <c:idx val="1"/>
          <c:order val="3"/>
          <c:tx>
            <c:strRef>
              <c:f>'Prerađivačka_6 graf'!$AN$7</c:f>
              <c:strCache>
                <c:ptCount val="1"/>
                <c:pt idx="0">
                  <c:v>sa</c:v>
                </c:pt>
              </c:strCache>
            </c:strRef>
          </c:tx>
          <c:spPr>
            <a:ln w="22225" cap="rnd">
              <a:solidFill>
                <a:srgbClr val="25AAE1"/>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graf'!$AN$32:$AN$76</c:f>
              <c:numCache>
                <c:formatCode>0.0</c:formatCode>
                <c:ptCount val="45"/>
                <c:pt idx="0">
                  <c:v>101.81997188366974</c:v>
                </c:pt>
                <c:pt idx="1">
                  <c:v>107.75427643356365</c:v>
                </c:pt>
                <c:pt idx="2">
                  <c:v>121.27510164709533</c:v>
                </c:pt>
                <c:pt idx="3">
                  <c:v>117.88481385191314</c:v>
                </c:pt>
                <c:pt idx="4">
                  <c:v>122.93270627114332</c:v>
                </c:pt>
                <c:pt idx="5">
                  <c:v>114.92861423202787</c:v>
                </c:pt>
                <c:pt idx="6">
                  <c:v>108.17037165724027</c:v>
                </c:pt>
                <c:pt idx="7">
                  <c:v>84.414784676055703</c:v>
                </c:pt>
                <c:pt idx="8">
                  <c:v>124.31864822649813</c:v>
                </c:pt>
                <c:pt idx="9">
                  <c:v>117.76018877585443</c:v>
                </c:pt>
                <c:pt idx="10">
                  <c:v>115.21698844792967</c:v>
                </c:pt>
                <c:pt idx="11">
                  <c:v>105.31318567979999</c:v>
                </c:pt>
                <c:pt idx="12">
                  <c:v>101.46370517575923</c:v>
                </c:pt>
                <c:pt idx="13">
                  <c:v>93.092083882695377</c:v>
                </c:pt>
                <c:pt idx="14">
                  <c:v>87.914953864211029</c:v>
                </c:pt>
                <c:pt idx="15">
                  <c:v>85.545733747482345</c:v>
                </c:pt>
                <c:pt idx="16">
                  <c:v>88.993490541829061</c:v>
                </c:pt>
                <c:pt idx="17">
                  <c:v>97.681882964421021</c:v>
                </c:pt>
                <c:pt idx="18">
                  <c:v>95.105886662313793</c:v>
                </c:pt>
                <c:pt idx="19">
                  <c:v>97.354557114785308</c:v>
                </c:pt>
                <c:pt idx="20">
                  <c:v>91.088299235538685</c:v>
                </c:pt>
                <c:pt idx="21">
                  <c:v>76.439008310055783</c:v>
                </c:pt>
                <c:pt idx="22">
                  <c:v>87.715391120620438</c:v>
                </c:pt>
                <c:pt idx="23">
                  <c:v>98.286874504174321</c:v>
                </c:pt>
                <c:pt idx="24">
                  <c:v>100.65000507475567</c:v>
                </c:pt>
                <c:pt idx="25">
                  <c:v>96.106721685080757</c:v>
                </c:pt>
                <c:pt idx="26">
                  <c:v>96.031763918151043</c:v>
                </c:pt>
                <c:pt idx="27">
                  <c:v>97.099349790990402</c:v>
                </c:pt>
                <c:pt idx="28">
                  <c:v>92.185131032880676</c:v>
                </c:pt>
                <c:pt idx="29">
                  <c:v>94.902456250980194</c:v>
                </c:pt>
                <c:pt idx="30">
                  <c:v>105.41988361615593</c:v>
                </c:pt>
                <c:pt idx="31">
                  <c:v>107.09807388623125</c:v>
                </c:pt>
                <c:pt idx="32">
                  <c:v>106.56698604503865</c:v>
                </c:pt>
                <c:pt idx="33">
                  <c:v>98.335576902195129</c:v>
                </c:pt>
                <c:pt idx="34">
                  <c:v>97.169964310408304</c:v>
                </c:pt>
                <c:pt idx="35">
                  <c:v>101.92367377985531</c:v>
                </c:pt>
                <c:pt idx="36">
                  <c:v>106.14471250737331</c:v>
                </c:pt>
                <c:pt idx="37">
                  <c:v>108.84496428822014</c:v>
                </c:pt>
                <c:pt idx="38">
                  <c:v>100.91348810030237</c:v>
                </c:pt>
                <c:pt idx="39">
                  <c:v>97.604362496239744</c:v>
                </c:pt>
                <c:pt idx="40">
                  <c:v>89.681413336191326</c:v>
                </c:pt>
                <c:pt idx="41">
                  <c:v>75.403461211812655</c:v>
                </c:pt>
                <c:pt idx="42">
                  <c:v>72.333778900579205</c:v>
                </c:pt>
                <c:pt idx="43">
                  <c:v>68.060320781062003</c:v>
                </c:pt>
                <c:pt idx="44">
                  <c:v>70.134069986457803</c:v>
                </c:pt>
              </c:numCache>
            </c:numRef>
          </c:val>
          <c:smooth val="0"/>
          <c:extLst>
            <c:ext xmlns:c16="http://schemas.microsoft.com/office/drawing/2014/chart" uri="{C3380CC4-5D6E-409C-BE32-E72D297353CC}">
              <c16:uniqueId val="{00000034-6E40-4FE3-B68E-E849A204C580}"/>
            </c:ext>
          </c:extLst>
        </c:ser>
        <c:ser>
          <c:idx val="2"/>
          <c:order val="4"/>
          <c:tx>
            <c:strRef>
              <c:f>'Prerađivačka_6 graf'!$AO$7</c:f>
              <c:strCache>
                <c:ptCount val="1"/>
                <c:pt idx="0">
                  <c:v>t</c:v>
                </c:pt>
              </c:strCache>
            </c:strRef>
          </c:tx>
          <c:spPr>
            <a:ln w="25400" cap="rnd">
              <a:solidFill>
                <a:srgbClr val="FF0000"/>
              </a:solidFill>
              <a:round/>
            </a:ln>
            <a:effectLst/>
          </c:spPr>
          <c:marker>
            <c:symbol val="none"/>
          </c:marker>
          <c:cat>
            <c:numRef>
              <c:f>'Prerađivačka_6 graf'!$C$32:$C$76</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'Prerađivačka_6 graf'!$AO$32:$AO$76</c:f>
              <c:numCache>
                <c:formatCode>0.0</c:formatCode>
                <c:ptCount val="45"/>
                <c:pt idx="0">
                  <c:v>108.95545268547802</c:v>
                </c:pt>
                <c:pt idx="1">
                  <c:v>111.69934307841342</c:v>
                </c:pt>
                <c:pt idx="2">
                  <c:v>114.34896646839346</c:v>
                </c:pt>
                <c:pt idx="3">
                  <c:v>116.25715019082567</c:v>
                </c:pt>
                <c:pt idx="4">
                  <c:v>117.15925583450576</c:v>
                </c:pt>
                <c:pt idx="5">
                  <c:v>117.10945470707004</c:v>
                </c:pt>
                <c:pt idx="6">
                  <c:v>116.64792550918466</c:v>
                </c:pt>
                <c:pt idx="7">
                  <c:v>116.43466934161474</c:v>
                </c:pt>
                <c:pt idx="8">
                  <c:v>116.31375724325861</c:v>
                </c:pt>
                <c:pt idx="9">
                  <c:v>115.29392275698582</c:v>
                </c:pt>
                <c:pt idx="10">
                  <c:v>112.24012610349183</c:v>
                </c:pt>
                <c:pt idx="11">
                  <c:v>106.91921178049921</c:v>
                </c:pt>
                <c:pt idx="12">
                  <c:v>100.29972353901002</c:v>
                </c:pt>
                <c:pt idx="13">
                  <c:v>94.304696156683889</c:v>
                </c:pt>
                <c:pt idx="14">
                  <c:v>90.640193864400942</c:v>
                </c:pt>
                <c:pt idx="15">
                  <c:v>89.634668528111632</c:v>
                </c:pt>
                <c:pt idx="16">
                  <c:v>90.657102728145546</c:v>
                </c:pt>
                <c:pt idx="17">
                  <c:v>92.372414367396956</c:v>
                </c:pt>
                <c:pt idx="18">
                  <c:v>93.546077932714184</c:v>
                </c:pt>
                <c:pt idx="19">
                  <c:v>93.867745877542518</c:v>
                </c:pt>
                <c:pt idx="20">
                  <c:v>93.576464009238634</c:v>
                </c:pt>
                <c:pt idx="21">
                  <c:v>93.336810433540876</c:v>
                </c:pt>
                <c:pt idx="22">
                  <c:v>93.804110751466439</c:v>
                </c:pt>
                <c:pt idx="23">
                  <c:v>94.976649326322388</c:v>
                </c:pt>
                <c:pt idx="24">
                  <c:v>96.042240999263726</c:v>
                </c:pt>
                <c:pt idx="25">
                  <c:v>96.369088774599334</c:v>
                </c:pt>
                <c:pt idx="26">
                  <c:v>96.163641407831676</c:v>
                </c:pt>
                <c:pt idx="27">
                  <c:v>96.199731448683735</c:v>
                </c:pt>
                <c:pt idx="28">
                  <c:v>97.220052695776175</c:v>
                </c:pt>
                <c:pt idx="29">
                  <c:v>99.108349073383522</c:v>
                </c:pt>
                <c:pt idx="30">
                  <c:v>101.170414388716</c:v>
                </c:pt>
                <c:pt idx="31">
                  <c:v>102.42414208951072</c:v>
                </c:pt>
                <c:pt idx="32">
                  <c:v>102.80977645829614</c:v>
                </c:pt>
                <c:pt idx="33">
                  <c:v>102.78298930168054</c:v>
                </c:pt>
                <c:pt idx="34">
                  <c:v>102.84975300264684</c:v>
                </c:pt>
                <c:pt idx="35">
                  <c:v>103.4144545818726</c:v>
                </c:pt>
                <c:pt idx="36">
                  <c:v>104.12850516261859</c:v>
                </c:pt>
                <c:pt idx="37">
                  <c:v>103.76157408117449</c:v>
                </c:pt>
                <c:pt idx="38">
                  <c:v>100.90893682240123</c:v>
                </c:pt>
                <c:pt idx="39">
                  <c:v>95.289217413686856</c:v>
                </c:pt>
                <c:pt idx="40">
                  <c:v>87.84495494118201</c:v>
                </c:pt>
                <c:pt idx="41">
                  <c:v>80.439305103077785</c:v>
                </c:pt>
                <c:pt idx="42">
                  <c:v>74.572647537651221</c:v>
                </c:pt>
                <c:pt idx="43">
                  <c:v>70.676025065049473</c:v>
                </c:pt>
                <c:pt idx="44">
                  <c:v>68.411063499288829</c:v>
                </c:pt>
              </c:numCache>
            </c:numRef>
          </c:val>
          <c:smooth val="0"/>
          <c:extLst>
            <c:ext xmlns:c16="http://schemas.microsoft.com/office/drawing/2014/chart" uri="{C3380CC4-5D6E-409C-BE32-E72D297353CC}">
              <c16:uniqueId val="{00000035-6E40-4FE3-B68E-E849A204C580}"/>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30"/>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85870516185475"/>
          <c:y val="6.1624649859943981E-2"/>
          <c:w val="0.73050925925925914"/>
          <c:h val="0.62491111111111108"/>
        </c:manualLayout>
      </c:layout>
      <c:barChart>
        <c:barDir val="col"/>
        <c:grouping val="clustered"/>
        <c:varyColors val="0"/>
        <c:ser>
          <c:idx val="3"/>
          <c:order val="4"/>
          <c:tx>
            <c:strRef>
              <c:f>'BDV usluga_dsz'!$J$144</c:f>
              <c:strCache>
                <c:ptCount val="1"/>
                <c:pt idx="0">
                  <c:v>Q1-Q2 2022/Q1-Q2 2019 (десна скала)</c:v>
                </c:pt>
              </c:strCache>
            </c:strRef>
          </c:tx>
          <c:spPr>
            <a:solidFill>
              <a:schemeClr val="accent4"/>
            </a:solidFill>
            <a:ln>
              <a:noFill/>
            </a:ln>
            <a:effectLst/>
          </c:spPr>
          <c:invertIfNegative val="0"/>
          <c:dPt>
            <c:idx val="15"/>
            <c:invertIfNegative val="0"/>
            <c:bubble3D val="0"/>
            <c:spPr>
              <a:solidFill>
                <a:srgbClr val="002010"/>
              </a:solidFill>
              <a:ln>
                <a:noFill/>
              </a:ln>
              <a:effectLst/>
            </c:spPr>
            <c:extLst>
              <c:ext xmlns:c16="http://schemas.microsoft.com/office/drawing/2014/chart" uri="{C3380CC4-5D6E-409C-BE32-E72D297353CC}">
                <c16:uniqueId val="{00000001-65DD-48F5-8682-43E94B50E64F}"/>
              </c:ext>
            </c:extLst>
          </c:dPt>
          <c:dPt>
            <c:idx val="16"/>
            <c:invertIfNegative val="0"/>
            <c:bubble3D val="0"/>
            <c:spPr>
              <a:solidFill>
                <a:srgbClr val="EC008C"/>
              </a:solidFill>
              <a:ln>
                <a:noFill/>
              </a:ln>
              <a:effectLst/>
            </c:spPr>
            <c:extLst>
              <c:ext xmlns:c16="http://schemas.microsoft.com/office/drawing/2014/chart" uri="{C3380CC4-5D6E-409C-BE32-E72D297353CC}">
                <c16:uniqueId val="{00000003-65DD-48F5-8682-43E94B50E64F}"/>
              </c:ext>
            </c:extLst>
          </c:dPt>
          <c:dPt>
            <c:idx val="17"/>
            <c:invertIfNegative val="0"/>
            <c:bubble3D val="0"/>
            <c:spPr>
              <a:solidFill>
                <a:srgbClr val="00A651"/>
              </a:solidFill>
              <a:ln>
                <a:noFill/>
              </a:ln>
              <a:effectLst/>
            </c:spPr>
            <c:extLst>
              <c:ext xmlns:c16="http://schemas.microsoft.com/office/drawing/2014/chart" uri="{C3380CC4-5D6E-409C-BE32-E72D297353CC}">
                <c16:uniqueId val="{00000005-65DD-48F5-8682-43E94B50E64F}"/>
              </c:ext>
            </c:extLst>
          </c:dPt>
          <c:dLbls>
            <c:dLbl>
              <c:idx val="15"/>
              <c:layout>
                <c:manualLayout>
                  <c:x val="8.4875562720133283E-17"/>
                  <c:y val="-5.8795617084310512E-1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rgbClr val="00201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DD-48F5-8682-43E94B50E64F}"/>
                </c:ext>
              </c:extLst>
            </c:dLbl>
            <c:dLbl>
              <c:idx val="16"/>
              <c:layout>
                <c:manualLayout>
                  <c:x val="-4.6296296296297144E-3"/>
                  <c:y val="2.565757575757587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rgbClr val="EC008C"/>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DD-48F5-8682-43E94B50E64F}"/>
                </c:ext>
              </c:extLst>
            </c:dLbl>
            <c:dLbl>
              <c:idx val="17"/>
              <c:layout>
                <c:manualLayout>
                  <c:x val="0"/>
                  <c:y val="1.924242424242424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rgbClr val="00A651"/>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DD-48F5-8682-43E94B50E64F}"/>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'BDV usluga_dsz'!$D$146:$D$164</c:f>
              <c:strCache>
                <c:ptCount val="18"/>
                <c:pt idx="0">
                  <c:v>2019 Q1</c:v>
                </c:pt>
                <c:pt idx="1">
                  <c:v>Q2</c:v>
                </c:pt>
                <c:pt idx="2">
                  <c:v>Q3</c:v>
                </c:pt>
                <c:pt idx="3">
                  <c:v>Q4</c:v>
                </c:pt>
                <c:pt idx="4">
                  <c:v>2020 Q1</c:v>
                </c:pt>
                <c:pt idx="5">
                  <c:v>Q2</c:v>
                </c:pt>
                <c:pt idx="6">
                  <c:v>Q3</c:v>
                </c:pt>
                <c:pt idx="7">
                  <c:v>Q4</c:v>
                </c:pt>
                <c:pt idx="8">
                  <c:v>2021 Q1</c:v>
                </c:pt>
                <c:pt idx="9">
                  <c:v>Q2</c:v>
                </c:pt>
                <c:pt idx="10">
                  <c:v>Q3</c:v>
                </c:pt>
                <c:pt idx="11">
                  <c:v>Q4</c:v>
                </c:pt>
                <c:pt idx="12">
                  <c:v>2022 Q1</c:v>
                </c:pt>
                <c:pt idx="13">
                  <c:v>Q2</c:v>
                </c:pt>
                <c:pt idx="15">
                  <c:v>Укупно</c:v>
                </c:pt>
                <c:pt idx="16">
                  <c:v>Путнички</c:v>
                </c:pt>
                <c:pt idx="17">
                  <c:v>Теретни</c:v>
                </c:pt>
              </c:strCache>
            </c:strRef>
          </c:cat>
          <c:val>
            <c:numRef>
              <c:f>'BDV usluga_dsz'!$J$146:$J$164</c:f>
              <c:numCache>
                <c:formatCode>General</c:formatCode>
                <c:ptCount val="19"/>
                <c:pt idx="15" formatCode="0.0">
                  <c:v>2.9804568527918747</c:v>
                </c:pt>
                <c:pt idx="16" formatCode="0.0">
                  <c:v>-10.511821086261989</c:v>
                </c:pt>
                <c:pt idx="17" formatCode="0.0">
                  <c:v>26.69006598240469</c:v>
                </c:pt>
              </c:numCache>
            </c:numRef>
          </c:val>
          <c:extLst>
            <c:ext xmlns:c16="http://schemas.microsoft.com/office/drawing/2014/chart" uri="{C3380CC4-5D6E-409C-BE32-E72D297353CC}">
              <c16:uniqueId val="{00000006-65DD-48F5-8682-43E94B50E64F}"/>
            </c:ext>
          </c:extLst>
        </c:ser>
        <c:dLbls>
          <c:showLegendKey val="0"/>
          <c:showVal val="0"/>
          <c:showCatName val="0"/>
          <c:showSerName val="0"/>
          <c:showPercent val="0"/>
          <c:showBubbleSize val="0"/>
        </c:dLbls>
        <c:gapWidth val="30"/>
        <c:axId val="1942004127"/>
        <c:axId val="1941994975"/>
      </c:barChart>
      <c:lineChart>
        <c:grouping val="standard"/>
        <c:varyColors val="0"/>
        <c:ser>
          <c:idx val="0"/>
          <c:order val="0"/>
          <c:tx>
            <c:strRef>
              <c:f>'BDV usluga_dsz'!$F$144</c:f>
              <c:strCache>
                <c:ptCount val="1"/>
                <c:pt idx="0">
                  <c:v>100</c:v>
                </c:pt>
              </c:strCache>
            </c:strRef>
          </c:tx>
          <c:spPr>
            <a:ln w="6350" cap="rnd">
              <a:solidFill>
                <a:schemeClr val="tx1"/>
              </a:solidFill>
              <a:round/>
            </a:ln>
            <a:effectLst/>
          </c:spPr>
          <c:marker>
            <c:symbol val="none"/>
          </c:marker>
          <c:cat>
            <c:strRef>
              <c:f>'BDV usluga_dsz'!$D$146:$D$164</c:f>
              <c:strCache>
                <c:ptCount val="18"/>
                <c:pt idx="0">
                  <c:v>2019 Q1</c:v>
                </c:pt>
                <c:pt idx="1">
                  <c:v>Q2</c:v>
                </c:pt>
                <c:pt idx="2">
                  <c:v>Q3</c:v>
                </c:pt>
                <c:pt idx="3">
                  <c:v>Q4</c:v>
                </c:pt>
                <c:pt idx="4">
                  <c:v>2020 Q1</c:v>
                </c:pt>
                <c:pt idx="5">
                  <c:v>Q2</c:v>
                </c:pt>
                <c:pt idx="6">
                  <c:v>Q3</c:v>
                </c:pt>
                <c:pt idx="7">
                  <c:v>Q4</c:v>
                </c:pt>
                <c:pt idx="8">
                  <c:v>2021 Q1</c:v>
                </c:pt>
                <c:pt idx="9">
                  <c:v>Q2</c:v>
                </c:pt>
                <c:pt idx="10">
                  <c:v>Q3</c:v>
                </c:pt>
                <c:pt idx="11">
                  <c:v>Q4</c:v>
                </c:pt>
                <c:pt idx="12">
                  <c:v>2022 Q1</c:v>
                </c:pt>
                <c:pt idx="13">
                  <c:v>Q2</c:v>
                </c:pt>
                <c:pt idx="15">
                  <c:v>Укупно</c:v>
                </c:pt>
                <c:pt idx="16">
                  <c:v>Путнички</c:v>
                </c:pt>
                <c:pt idx="17">
                  <c:v>Теретни</c:v>
                </c:pt>
              </c:strCache>
            </c:strRef>
          </c:cat>
          <c:val>
            <c:numRef>
              <c:f>'BDV usluga_dsz'!$F$146:$F$164</c:f>
              <c:numCache>
                <c:formatCode>0.0</c:formatCode>
                <c:ptCount val="19"/>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numCache>
            </c:numRef>
          </c:val>
          <c:smooth val="0"/>
          <c:extLst>
            <c:ext xmlns:c16="http://schemas.microsoft.com/office/drawing/2014/chart" uri="{C3380CC4-5D6E-409C-BE32-E72D297353CC}">
              <c16:uniqueId val="{00000007-65DD-48F5-8682-43E94B50E64F}"/>
            </c:ext>
          </c:extLst>
        </c:ser>
        <c:ser>
          <c:idx val="1"/>
          <c:order val="1"/>
          <c:tx>
            <c:strRef>
              <c:f>'BDV usluga_dsz'!$G$144</c:f>
              <c:strCache>
                <c:ptCount val="1"/>
                <c:pt idx="0">
                  <c:v>Укупно</c:v>
                </c:pt>
              </c:strCache>
            </c:strRef>
          </c:tx>
          <c:spPr>
            <a:ln w="25400" cap="rnd">
              <a:solidFill>
                <a:srgbClr val="002010"/>
              </a:solidFill>
              <a:round/>
            </a:ln>
            <a:effectLst/>
          </c:spPr>
          <c:marker>
            <c:symbol val="none"/>
          </c:marker>
          <c:cat>
            <c:strRef>
              <c:f>'BDV usluga_dsz'!$D$146:$D$164</c:f>
              <c:strCache>
                <c:ptCount val="18"/>
                <c:pt idx="0">
                  <c:v>2019 Q1</c:v>
                </c:pt>
                <c:pt idx="1">
                  <c:v>Q2</c:v>
                </c:pt>
                <c:pt idx="2">
                  <c:v>Q3</c:v>
                </c:pt>
                <c:pt idx="3">
                  <c:v>Q4</c:v>
                </c:pt>
                <c:pt idx="4">
                  <c:v>2020 Q1</c:v>
                </c:pt>
                <c:pt idx="5">
                  <c:v>Q2</c:v>
                </c:pt>
                <c:pt idx="6">
                  <c:v>Q3</c:v>
                </c:pt>
                <c:pt idx="7">
                  <c:v>Q4</c:v>
                </c:pt>
                <c:pt idx="8">
                  <c:v>2021 Q1</c:v>
                </c:pt>
                <c:pt idx="9">
                  <c:v>Q2</c:v>
                </c:pt>
                <c:pt idx="10">
                  <c:v>Q3</c:v>
                </c:pt>
                <c:pt idx="11">
                  <c:v>Q4</c:v>
                </c:pt>
                <c:pt idx="12">
                  <c:v>2022 Q1</c:v>
                </c:pt>
                <c:pt idx="13">
                  <c:v>Q2</c:v>
                </c:pt>
                <c:pt idx="15">
                  <c:v>Укупно</c:v>
                </c:pt>
                <c:pt idx="16">
                  <c:v>Путнички</c:v>
                </c:pt>
                <c:pt idx="17">
                  <c:v>Теретни</c:v>
                </c:pt>
              </c:strCache>
            </c:strRef>
          </c:cat>
          <c:val>
            <c:numRef>
              <c:f>'BDV usluga_dsz'!$G$146:$G$164</c:f>
              <c:numCache>
                <c:formatCode>0.0</c:formatCode>
                <c:ptCount val="19"/>
                <c:pt idx="0">
                  <c:v>89.551126839262437</c:v>
                </c:pt>
                <c:pt idx="1">
                  <c:v>115.9247532128888</c:v>
                </c:pt>
                <c:pt idx="2">
                  <c:v>146.99199105978769</c:v>
                </c:pt>
                <c:pt idx="3">
                  <c:v>113.24268951387594</c:v>
                </c:pt>
                <c:pt idx="4">
                  <c:v>91.4</c:v>
                </c:pt>
                <c:pt idx="5">
                  <c:v>48.8</c:v>
                </c:pt>
                <c:pt idx="6">
                  <c:v>84.6</c:v>
                </c:pt>
                <c:pt idx="7">
                  <c:v>73.2</c:v>
                </c:pt>
                <c:pt idx="8">
                  <c:v>73.5</c:v>
                </c:pt>
                <c:pt idx="9">
                  <c:v>98</c:v>
                </c:pt>
                <c:pt idx="10">
                  <c:v>128.4</c:v>
                </c:pt>
                <c:pt idx="11">
                  <c:v>100.2</c:v>
                </c:pt>
                <c:pt idx="12">
                  <c:v>92.8</c:v>
                </c:pt>
                <c:pt idx="13">
                  <c:v>118.8</c:v>
                </c:pt>
              </c:numCache>
            </c:numRef>
          </c:val>
          <c:smooth val="0"/>
          <c:extLst>
            <c:ext xmlns:c16="http://schemas.microsoft.com/office/drawing/2014/chart" uri="{C3380CC4-5D6E-409C-BE32-E72D297353CC}">
              <c16:uniqueId val="{00000008-65DD-48F5-8682-43E94B50E64F}"/>
            </c:ext>
          </c:extLst>
        </c:ser>
        <c:ser>
          <c:idx val="2"/>
          <c:order val="2"/>
          <c:tx>
            <c:strRef>
              <c:f>'BDV usluga_dsz'!$H$144</c:f>
              <c:strCache>
                <c:ptCount val="1"/>
                <c:pt idx="0">
                  <c:v>Путнички</c:v>
                </c:pt>
              </c:strCache>
            </c:strRef>
          </c:tx>
          <c:spPr>
            <a:ln w="19050" cap="rnd">
              <a:solidFill>
                <a:srgbClr val="EC008C"/>
              </a:solidFill>
              <a:round/>
            </a:ln>
            <a:effectLst/>
          </c:spPr>
          <c:marker>
            <c:symbol val="none"/>
          </c:marker>
          <c:cat>
            <c:strRef>
              <c:f>'BDV usluga_dsz'!$D$146:$D$164</c:f>
              <c:strCache>
                <c:ptCount val="18"/>
                <c:pt idx="0">
                  <c:v>2019 Q1</c:v>
                </c:pt>
                <c:pt idx="1">
                  <c:v>Q2</c:v>
                </c:pt>
                <c:pt idx="2">
                  <c:v>Q3</c:v>
                </c:pt>
                <c:pt idx="3">
                  <c:v>Q4</c:v>
                </c:pt>
                <c:pt idx="4">
                  <c:v>2020 Q1</c:v>
                </c:pt>
                <c:pt idx="5">
                  <c:v>Q2</c:v>
                </c:pt>
                <c:pt idx="6">
                  <c:v>Q3</c:v>
                </c:pt>
                <c:pt idx="7">
                  <c:v>Q4</c:v>
                </c:pt>
                <c:pt idx="8">
                  <c:v>2021 Q1</c:v>
                </c:pt>
                <c:pt idx="9">
                  <c:v>Q2</c:v>
                </c:pt>
                <c:pt idx="10">
                  <c:v>Q3</c:v>
                </c:pt>
                <c:pt idx="11">
                  <c:v>Q4</c:v>
                </c:pt>
                <c:pt idx="12">
                  <c:v>2022 Q1</c:v>
                </c:pt>
                <c:pt idx="13">
                  <c:v>Q2</c:v>
                </c:pt>
                <c:pt idx="15">
                  <c:v>Укупно</c:v>
                </c:pt>
                <c:pt idx="16">
                  <c:v>Путнички</c:v>
                </c:pt>
                <c:pt idx="17">
                  <c:v>Теретни</c:v>
                </c:pt>
              </c:strCache>
            </c:strRef>
          </c:cat>
          <c:val>
            <c:numRef>
              <c:f>'BDV usluga_dsz'!$H$146:$H$164</c:f>
              <c:numCache>
                <c:formatCode>0.0</c:formatCode>
                <c:ptCount val="19"/>
                <c:pt idx="0">
                  <c:v>98.245614035087726</c:v>
                </c:pt>
                <c:pt idx="1">
                  <c:v>145.80896686159846</c:v>
                </c:pt>
                <c:pt idx="2">
                  <c:v>200.88605351763243</c:v>
                </c:pt>
                <c:pt idx="3">
                  <c:v>134.7510189615453</c:v>
                </c:pt>
                <c:pt idx="4">
                  <c:v>103.4</c:v>
                </c:pt>
                <c:pt idx="5">
                  <c:v>26.3</c:v>
                </c:pt>
                <c:pt idx="6">
                  <c:v>83.6</c:v>
                </c:pt>
                <c:pt idx="7">
                  <c:v>70.3</c:v>
                </c:pt>
                <c:pt idx="8">
                  <c:v>59.1</c:v>
                </c:pt>
                <c:pt idx="9">
                  <c:v>97.3</c:v>
                </c:pt>
                <c:pt idx="10">
                  <c:v>151</c:v>
                </c:pt>
                <c:pt idx="11">
                  <c:v>92.7</c:v>
                </c:pt>
                <c:pt idx="12">
                  <c:v>84.1</c:v>
                </c:pt>
                <c:pt idx="13">
                  <c:v>134.30000000000001</c:v>
                </c:pt>
              </c:numCache>
            </c:numRef>
          </c:val>
          <c:smooth val="0"/>
          <c:extLst>
            <c:ext xmlns:c16="http://schemas.microsoft.com/office/drawing/2014/chart" uri="{C3380CC4-5D6E-409C-BE32-E72D297353CC}">
              <c16:uniqueId val="{00000009-65DD-48F5-8682-43E94B50E64F}"/>
            </c:ext>
          </c:extLst>
        </c:ser>
        <c:ser>
          <c:idx val="5"/>
          <c:order val="3"/>
          <c:tx>
            <c:strRef>
              <c:f>'BDV usluga_dsz'!$I$144</c:f>
              <c:strCache>
                <c:ptCount val="1"/>
                <c:pt idx="0">
                  <c:v>Теретни</c:v>
                </c:pt>
              </c:strCache>
            </c:strRef>
          </c:tx>
          <c:spPr>
            <a:ln w="19050" cap="rnd">
              <a:solidFill>
                <a:srgbClr val="00A651"/>
              </a:solidFill>
              <a:round/>
            </a:ln>
            <a:effectLst/>
          </c:spPr>
          <c:marker>
            <c:symbol val="none"/>
          </c:marker>
          <c:cat>
            <c:strRef>
              <c:f>'BDV usluga_dsz'!$D$146:$D$164</c:f>
              <c:strCache>
                <c:ptCount val="18"/>
                <c:pt idx="0">
                  <c:v>2019 Q1</c:v>
                </c:pt>
                <c:pt idx="1">
                  <c:v>Q2</c:v>
                </c:pt>
                <c:pt idx="2">
                  <c:v>Q3</c:v>
                </c:pt>
                <c:pt idx="3">
                  <c:v>Q4</c:v>
                </c:pt>
                <c:pt idx="4">
                  <c:v>2020 Q1</c:v>
                </c:pt>
                <c:pt idx="5">
                  <c:v>Q2</c:v>
                </c:pt>
                <c:pt idx="6">
                  <c:v>Q3</c:v>
                </c:pt>
                <c:pt idx="7">
                  <c:v>Q4</c:v>
                </c:pt>
                <c:pt idx="8">
                  <c:v>2021 Q1</c:v>
                </c:pt>
                <c:pt idx="9">
                  <c:v>Q2</c:v>
                </c:pt>
                <c:pt idx="10">
                  <c:v>Q3</c:v>
                </c:pt>
                <c:pt idx="11">
                  <c:v>Q4</c:v>
                </c:pt>
                <c:pt idx="12">
                  <c:v>2022 Q1</c:v>
                </c:pt>
                <c:pt idx="13">
                  <c:v>Q2</c:v>
                </c:pt>
                <c:pt idx="15">
                  <c:v>Укупно</c:v>
                </c:pt>
                <c:pt idx="16">
                  <c:v>Путнички</c:v>
                </c:pt>
                <c:pt idx="17">
                  <c:v>Теретни</c:v>
                </c:pt>
              </c:strCache>
            </c:strRef>
          </c:cat>
          <c:val>
            <c:numRef>
              <c:f>'BDV usluga_dsz'!$I$146:$I$164</c:f>
              <c:numCache>
                <c:formatCode>0.0</c:formatCode>
                <c:ptCount val="19"/>
                <c:pt idx="0">
                  <c:v>79.528023598820056</c:v>
                </c:pt>
                <c:pt idx="1">
                  <c:v>81.415929203539832</c:v>
                </c:pt>
                <c:pt idx="2">
                  <c:v>84.798426745329408</c:v>
                </c:pt>
                <c:pt idx="3">
                  <c:v>88.416912487708956</c:v>
                </c:pt>
                <c:pt idx="4">
                  <c:v>77.7</c:v>
                </c:pt>
                <c:pt idx="5">
                  <c:v>74.8</c:v>
                </c:pt>
                <c:pt idx="6">
                  <c:v>85.7</c:v>
                </c:pt>
                <c:pt idx="7">
                  <c:v>76.400000000000006</c:v>
                </c:pt>
                <c:pt idx="8">
                  <c:v>90.1</c:v>
                </c:pt>
                <c:pt idx="9">
                  <c:v>98.8</c:v>
                </c:pt>
                <c:pt idx="10">
                  <c:v>102.3</c:v>
                </c:pt>
                <c:pt idx="11">
                  <c:v>108.8</c:v>
                </c:pt>
                <c:pt idx="12">
                  <c:v>102.9</c:v>
                </c:pt>
                <c:pt idx="13">
                  <c:v>101</c:v>
                </c:pt>
              </c:numCache>
            </c:numRef>
          </c:val>
          <c:smooth val="0"/>
          <c:extLst>
            <c:ext xmlns:c16="http://schemas.microsoft.com/office/drawing/2014/chart" uri="{C3380CC4-5D6E-409C-BE32-E72D297353CC}">
              <c16:uniqueId val="{0000000A-65DD-48F5-8682-43E94B50E64F}"/>
            </c:ext>
          </c:extLst>
        </c:ser>
        <c:dLbls>
          <c:showLegendKey val="0"/>
          <c:showVal val="0"/>
          <c:showCatName val="0"/>
          <c:showSerName val="0"/>
          <c:showPercent val="0"/>
          <c:showBubbleSize val="0"/>
        </c:dLbls>
        <c:marker val="1"/>
        <c:smooth val="0"/>
        <c:axId val="429350464"/>
        <c:axId val="429347552"/>
      </c:lineChart>
      <c:lineChart>
        <c:grouping val="standard"/>
        <c:varyColors val="0"/>
        <c:ser>
          <c:idx val="4"/>
          <c:order val="5"/>
          <c:tx>
            <c:strRef>
              <c:f>'BDV usluga_dsz'!$K$144</c:f>
              <c:strCache>
                <c:ptCount val="1"/>
                <c:pt idx="0">
                  <c:v>0</c:v>
                </c:pt>
              </c:strCache>
            </c:strRef>
          </c:tx>
          <c:spPr>
            <a:ln w="6350" cap="rnd">
              <a:solidFill>
                <a:schemeClr val="tx1"/>
              </a:solidFill>
              <a:round/>
            </a:ln>
            <a:effectLst/>
          </c:spPr>
          <c:marker>
            <c:symbol val="none"/>
          </c:marker>
          <c:cat>
            <c:strRef>
              <c:f>'BDV usluga_dsz'!$D$146:$D$164</c:f>
              <c:strCache>
                <c:ptCount val="18"/>
                <c:pt idx="0">
                  <c:v>2019 Q1</c:v>
                </c:pt>
                <c:pt idx="1">
                  <c:v>Q2</c:v>
                </c:pt>
                <c:pt idx="2">
                  <c:v>Q3</c:v>
                </c:pt>
                <c:pt idx="3">
                  <c:v>Q4</c:v>
                </c:pt>
                <c:pt idx="4">
                  <c:v>2020 Q1</c:v>
                </c:pt>
                <c:pt idx="5">
                  <c:v>Q2</c:v>
                </c:pt>
                <c:pt idx="6">
                  <c:v>Q3</c:v>
                </c:pt>
                <c:pt idx="7">
                  <c:v>Q4</c:v>
                </c:pt>
                <c:pt idx="8">
                  <c:v>2021 Q1</c:v>
                </c:pt>
                <c:pt idx="9">
                  <c:v>Q2</c:v>
                </c:pt>
                <c:pt idx="10">
                  <c:v>Q3</c:v>
                </c:pt>
                <c:pt idx="11">
                  <c:v>Q4</c:v>
                </c:pt>
                <c:pt idx="12">
                  <c:v>2022 Q1</c:v>
                </c:pt>
                <c:pt idx="13">
                  <c:v>Q2</c:v>
                </c:pt>
                <c:pt idx="15">
                  <c:v>Укупно</c:v>
                </c:pt>
                <c:pt idx="16">
                  <c:v>Путнички</c:v>
                </c:pt>
                <c:pt idx="17">
                  <c:v>Теретни</c:v>
                </c:pt>
              </c:strCache>
            </c:strRef>
          </c:cat>
          <c:val>
            <c:numRef>
              <c:f>'BDV usluga_dsz'!$K$146:$K$164</c:f>
              <c:numCache>
                <c:formatCode>General</c:formatCode>
                <c:ptCount val="19"/>
                <c:pt idx="14" formatCode="0.0">
                  <c:v>0</c:v>
                </c:pt>
                <c:pt idx="15" formatCode="0.0">
                  <c:v>0</c:v>
                </c:pt>
                <c:pt idx="16" formatCode="0.0">
                  <c:v>0</c:v>
                </c:pt>
                <c:pt idx="17" formatCode="0.0">
                  <c:v>0</c:v>
                </c:pt>
                <c:pt idx="18" formatCode="0.0">
                  <c:v>0</c:v>
                </c:pt>
              </c:numCache>
            </c:numRef>
          </c:val>
          <c:smooth val="0"/>
          <c:extLst>
            <c:ext xmlns:c16="http://schemas.microsoft.com/office/drawing/2014/chart" uri="{C3380CC4-5D6E-409C-BE32-E72D297353CC}">
              <c16:uniqueId val="{0000000B-65DD-48F5-8682-43E94B50E64F}"/>
            </c:ext>
          </c:extLst>
        </c:ser>
        <c:dLbls>
          <c:showLegendKey val="0"/>
          <c:showVal val="0"/>
          <c:showCatName val="0"/>
          <c:showSerName val="0"/>
          <c:showPercent val="0"/>
          <c:showBubbleSize val="0"/>
        </c:dLbls>
        <c:marker val="1"/>
        <c:smooth val="0"/>
        <c:axId val="1942004127"/>
        <c:axId val="1941994975"/>
      </c:lineChart>
      <c:catAx>
        <c:axId val="4293504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429347552"/>
        <c:crosses val="autoZero"/>
        <c:auto val="1"/>
        <c:lblAlgn val="ctr"/>
        <c:lblOffset val="0"/>
        <c:noMultiLvlLbl val="1"/>
      </c:catAx>
      <c:valAx>
        <c:axId val="429347552"/>
        <c:scaling>
          <c:orientation val="minMax"/>
          <c:min val="0"/>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Cyrl-RS"/>
                  <a:t>Индекси, </a:t>
                </a:r>
                <a:r>
                  <a:rPr lang="en-GB"/>
                  <a:t>Ø2021=100</a:t>
                </a:r>
              </a:p>
            </c:rich>
          </c:tx>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429350464"/>
        <c:crosses val="autoZero"/>
        <c:crossBetween val="between"/>
        <c:majorUnit val="40"/>
      </c:valAx>
      <c:valAx>
        <c:axId val="1941994975"/>
        <c:scaling>
          <c:orientation val="minMax"/>
          <c:max val="35"/>
          <c:min val="-20"/>
        </c:scaling>
        <c:delete val="0"/>
        <c:axPos val="r"/>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en-GB" sz="750" b="0" i="0" u="none" strike="noStrike" baseline="0">
                    <a:effectLst/>
                  </a:rPr>
                  <a:t>Q1-Q2 </a:t>
                </a:r>
                <a:r>
                  <a:rPr lang="sr-Cyrl-RS"/>
                  <a:t>202</a:t>
                </a:r>
                <a:r>
                  <a:rPr lang="en-GB"/>
                  <a:t>2</a:t>
                </a:r>
                <a:r>
                  <a:rPr lang="sr-Cyrl-RS"/>
                  <a:t>/</a:t>
                </a:r>
                <a:r>
                  <a:rPr lang="en-GB" sz="750" b="0" i="0" u="none" strike="noStrike" baseline="0">
                    <a:effectLst/>
                  </a:rPr>
                  <a:t>Q1-Q2 </a:t>
                </a:r>
                <a:r>
                  <a:rPr lang="sr-Cyrl-RS"/>
                  <a:t>2019,</a:t>
                </a:r>
                <a:r>
                  <a:rPr lang="sr-Cyrl-RS" baseline="0"/>
                  <a:t> у %</a:t>
                </a:r>
                <a:endParaRPr lang="en-GB"/>
              </a:p>
            </c:rich>
          </c:tx>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942004127"/>
        <c:crosses val="max"/>
        <c:crossBetween val="between"/>
      </c:valAx>
      <c:catAx>
        <c:axId val="1942004127"/>
        <c:scaling>
          <c:orientation val="minMax"/>
        </c:scaling>
        <c:delete val="1"/>
        <c:axPos val="b"/>
        <c:numFmt formatCode="General" sourceLinked="1"/>
        <c:majorTickMark val="out"/>
        <c:minorTickMark val="none"/>
        <c:tickLblPos val="nextTo"/>
        <c:crossAx val="1941994975"/>
        <c:crosses val="autoZero"/>
        <c:auto val="1"/>
        <c:lblAlgn val="ctr"/>
        <c:lblOffset val="100"/>
        <c:noMultiLvlLbl val="0"/>
      </c:catAx>
      <c:spPr>
        <a:noFill/>
        <a:ln>
          <a:noFill/>
        </a:ln>
        <a:effectLst/>
      </c:spPr>
    </c:plotArea>
    <c:legend>
      <c:legendPos val="b"/>
      <c:legendEntry>
        <c:idx val="0"/>
        <c:delete val="1"/>
      </c:legendEntry>
      <c:legendEntry>
        <c:idx val="1"/>
        <c:delete val="1"/>
      </c:legendEntry>
      <c:legendEntry>
        <c:idx val="5"/>
        <c:delete val="1"/>
      </c:legendEntry>
      <c:layout>
        <c:manualLayout>
          <c:xMode val="edge"/>
          <c:yMode val="edge"/>
          <c:x val="7.5787037037037042E-2"/>
          <c:y val="0.89721161616161627"/>
          <c:w val="0.82630577427821528"/>
          <c:h val="9.6619191919191924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33333333333E-2"/>
          <c:y val="4.3644144144144144E-2"/>
          <c:w val="0.86257083333333318"/>
          <c:h val="0.8328986486486486"/>
        </c:manualLayout>
      </c:layout>
      <c:lineChart>
        <c:grouping val="standard"/>
        <c:varyColors val="0"/>
        <c:ser>
          <c:idx val="0"/>
          <c:order val="0"/>
          <c:tx>
            <c:strRef>
              <c:f>'BoP_izvoz usluga'!$Z$5</c:f>
              <c:strCache>
                <c:ptCount val="1"/>
                <c:pt idx="0">
                  <c:v>y</c:v>
                </c:pt>
              </c:strCache>
            </c:strRef>
          </c:tx>
          <c:spPr>
            <a:ln w="12700" cap="rnd">
              <a:solidFill>
                <a:srgbClr val="7F3F98"/>
              </a:solidFill>
              <a:prstDash val="sysDash"/>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usluga'!$Z$90:$Z$133</c:f>
              <c:numCache>
                <c:formatCode>0.0</c:formatCode>
                <c:ptCount val="44"/>
                <c:pt idx="0">
                  <c:v>77.390099216422826</c:v>
                </c:pt>
                <c:pt idx="1">
                  <c:v>70.901944609381246</c:v>
                </c:pt>
                <c:pt idx="2">
                  <c:v>77.702429158651341</c:v>
                </c:pt>
                <c:pt idx="3">
                  <c:v>81.705961217208625</c:v>
                </c:pt>
                <c:pt idx="4">
                  <c:v>87.397408987960802</c:v>
                </c:pt>
                <c:pt idx="5">
                  <c:v>80.953904947857211</c:v>
                </c:pt>
                <c:pt idx="6">
                  <c:v>107.35437210528316</c:v>
                </c:pt>
                <c:pt idx="7">
                  <c:v>98.010276024420975</c:v>
                </c:pt>
                <c:pt idx="8">
                  <c:v>92.147914727867544</c:v>
                </c:pt>
                <c:pt idx="9">
                  <c:v>96.826854951285284</c:v>
                </c:pt>
                <c:pt idx="10">
                  <c:v>91.471851964241097</c:v>
                </c:pt>
                <c:pt idx="11">
                  <c:v>104.86065350858465</c:v>
                </c:pt>
                <c:pt idx="12">
                  <c:v>90.40691907767426</c:v>
                </c:pt>
                <c:pt idx="13">
                  <c:v>81.350110091512036</c:v>
                </c:pt>
                <c:pt idx="14">
                  <c:v>78.746851919655086</c:v>
                </c:pt>
                <c:pt idx="15">
                  <c:v>66.945421834935999</c:v>
                </c:pt>
                <c:pt idx="16">
                  <c:v>62.565998819922207</c:v>
                </c:pt>
                <c:pt idx="17">
                  <c:v>70.151640140302902</c:v>
                </c:pt>
                <c:pt idx="18">
                  <c:v>77.776181038316722</c:v>
                </c:pt>
                <c:pt idx="19">
                  <c:v>70.86585177619952</c:v>
                </c:pt>
                <c:pt idx="20">
                  <c:v>74.784656432593778</c:v>
                </c:pt>
                <c:pt idx="21">
                  <c:v>86.326045955798321</c:v>
                </c:pt>
                <c:pt idx="22">
                  <c:v>84.667099701272491</c:v>
                </c:pt>
                <c:pt idx="23">
                  <c:v>107.94965177156061</c:v>
                </c:pt>
                <c:pt idx="24">
                  <c:v>79.875449986896527</c:v>
                </c:pt>
                <c:pt idx="25">
                  <c:v>76.462704744829693</c:v>
                </c:pt>
                <c:pt idx="26">
                  <c:v>92.132556973067722</c:v>
                </c:pt>
                <c:pt idx="27">
                  <c:v>91.92502174944002</c:v>
                </c:pt>
                <c:pt idx="28">
                  <c:v>90.928559941776115</c:v>
                </c:pt>
                <c:pt idx="29">
                  <c:v>98.494935712115748</c:v>
                </c:pt>
                <c:pt idx="30">
                  <c:v>113.44039070727514</c:v>
                </c:pt>
                <c:pt idx="31">
                  <c:v>107.88139770844221</c:v>
                </c:pt>
                <c:pt idx="32">
                  <c:v>103.01152442221984</c:v>
                </c:pt>
                <c:pt idx="33">
                  <c:v>99.844161583687693</c:v>
                </c:pt>
                <c:pt idx="34">
                  <c:v>110.78983471547355</c:v>
                </c:pt>
                <c:pt idx="35">
                  <c:v>135.21346175477578</c:v>
                </c:pt>
                <c:pt idx="36">
                  <c:v>104.13905449974412</c:v>
                </c:pt>
                <c:pt idx="37">
                  <c:v>102.32981862428183</c:v>
                </c:pt>
                <c:pt idx="38">
                  <c:v>125.63240454685965</c:v>
                </c:pt>
                <c:pt idx="39">
                  <c:v>121.85859363155514</c:v>
                </c:pt>
                <c:pt idx="40">
                  <c:v>129.89633243578768</c:v>
                </c:pt>
                <c:pt idx="41">
                  <c:v>138.37230466890918</c:v>
                </c:pt>
                <c:pt idx="42">
                  <c:v>158.71612431878989</c:v>
                </c:pt>
                <c:pt idx="43">
                  <c:v>161.76208001346635</c:v>
                </c:pt>
              </c:numCache>
            </c:numRef>
          </c:val>
          <c:smooth val="0"/>
          <c:extLst>
            <c:ext xmlns:c16="http://schemas.microsoft.com/office/drawing/2014/chart" uri="{C3380CC4-5D6E-409C-BE32-E72D297353CC}">
              <c16:uniqueId val="{00000000-4C6B-46E2-AC0F-298B8C121207}"/>
            </c:ext>
          </c:extLst>
        </c:ser>
        <c:ser>
          <c:idx val="1"/>
          <c:order val="1"/>
          <c:tx>
            <c:strRef>
              <c:f>'BoP_izvoz usluga'!$AA$5</c:f>
              <c:strCache>
                <c:ptCount val="1"/>
                <c:pt idx="0">
                  <c:v>sa</c:v>
                </c:pt>
              </c:strCache>
            </c:strRef>
          </c:tx>
          <c:spPr>
            <a:ln w="22225" cap="rnd">
              <a:solidFill>
                <a:srgbClr val="25AAE1"/>
              </a:solidFill>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usluga'!$AA$90:$AA$133</c:f>
              <c:numCache>
                <c:formatCode>0.0</c:formatCode>
                <c:ptCount val="44"/>
                <c:pt idx="0">
                  <c:v>82.839324917626996</c:v>
                </c:pt>
                <c:pt idx="1">
                  <c:v>84.668035742673311</c:v>
                </c:pt>
                <c:pt idx="2">
                  <c:v>85.674607538243507</c:v>
                </c:pt>
                <c:pt idx="3">
                  <c:v>82.843882548339508</c:v>
                </c:pt>
                <c:pt idx="4">
                  <c:v>88.093858987876047</c:v>
                </c:pt>
                <c:pt idx="5">
                  <c:v>87.70325959049643</c:v>
                </c:pt>
                <c:pt idx="6">
                  <c:v>89.317114254897604</c:v>
                </c:pt>
                <c:pt idx="7">
                  <c:v>91.513988613789181</c:v>
                </c:pt>
                <c:pt idx="8">
                  <c:v>93.641016367801839</c:v>
                </c:pt>
                <c:pt idx="9">
                  <c:v>91.952027597899757</c:v>
                </c:pt>
                <c:pt idx="10">
                  <c:v>95.583892341836403</c:v>
                </c:pt>
                <c:pt idx="11">
                  <c:v>89.759582347135151</c:v>
                </c:pt>
                <c:pt idx="12">
                  <c:v>96.836776689159421</c:v>
                </c:pt>
                <c:pt idx="13">
                  <c:v>98.463151790031233</c:v>
                </c:pt>
                <c:pt idx="14">
                  <c:v>82.174232332857699</c:v>
                </c:pt>
                <c:pt idx="15">
                  <c:v>68.736975375878615</c:v>
                </c:pt>
                <c:pt idx="16">
                  <c:v>67.601731956711532</c:v>
                </c:pt>
                <c:pt idx="17">
                  <c:v>69.332101993520723</c:v>
                </c:pt>
                <c:pt idx="18">
                  <c:v>65.458343724164436</c:v>
                </c:pt>
                <c:pt idx="19">
                  <c:v>68.683859184596756</c:v>
                </c:pt>
                <c:pt idx="20">
                  <c:v>73.168389064928235</c:v>
                </c:pt>
                <c:pt idx="21">
                  <c:v>86.806028093618139</c:v>
                </c:pt>
                <c:pt idx="22">
                  <c:v>87.749103179213861</c:v>
                </c:pt>
                <c:pt idx="23">
                  <c:v>89.74679586756875</c:v>
                </c:pt>
                <c:pt idx="24">
                  <c:v>91.549851199168387</c:v>
                </c:pt>
                <c:pt idx="25">
                  <c:v>91.27338115695099</c:v>
                </c:pt>
                <c:pt idx="26">
                  <c:v>92.632241275347781</c:v>
                </c:pt>
                <c:pt idx="27">
                  <c:v>94.175864273307511</c:v>
                </c:pt>
                <c:pt idx="28">
                  <c:v>97.672547240427818</c:v>
                </c:pt>
                <c:pt idx="29">
                  <c:v>97.587264273835729</c:v>
                </c:pt>
                <c:pt idx="30">
                  <c:v>99.180361218536419</c:v>
                </c:pt>
                <c:pt idx="31">
                  <c:v>100.07322943078205</c:v>
                </c:pt>
                <c:pt idx="32">
                  <c:v>101.87544500736301</c:v>
                </c:pt>
                <c:pt idx="33">
                  <c:v>104.53810355866229</c:v>
                </c:pt>
                <c:pt idx="34">
                  <c:v>109.84046625423836</c:v>
                </c:pt>
                <c:pt idx="35">
                  <c:v>113.45755394591473</c:v>
                </c:pt>
                <c:pt idx="36">
                  <c:v>118.48529002368932</c:v>
                </c:pt>
                <c:pt idx="37">
                  <c:v>121.99163836451571</c:v>
                </c:pt>
                <c:pt idx="38">
                  <c:v>126.77958049344342</c:v>
                </c:pt>
                <c:pt idx="39">
                  <c:v>129.86386307954217</c:v>
                </c:pt>
                <c:pt idx="40">
                  <c:v>132.6870606781645</c:v>
                </c:pt>
                <c:pt idx="41">
                  <c:v>138.1167663340797</c:v>
                </c:pt>
                <c:pt idx="42">
                  <c:v>143.47294440971581</c:v>
                </c:pt>
                <c:pt idx="43">
                  <c:v>145.22023066562178</c:v>
                </c:pt>
              </c:numCache>
            </c:numRef>
          </c:val>
          <c:smooth val="0"/>
          <c:extLst>
            <c:ext xmlns:c16="http://schemas.microsoft.com/office/drawing/2014/chart" uri="{C3380CC4-5D6E-409C-BE32-E72D297353CC}">
              <c16:uniqueId val="{00000001-4C6B-46E2-AC0F-298B8C121207}"/>
            </c:ext>
          </c:extLst>
        </c:ser>
        <c:ser>
          <c:idx val="2"/>
          <c:order val="2"/>
          <c:tx>
            <c:strRef>
              <c:f>'BoP_izvoz usluga'!$AB$5</c:f>
              <c:strCache>
                <c:ptCount val="1"/>
                <c:pt idx="0">
                  <c:v>t</c:v>
                </c:pt>
              </c:strCache>
            </c:strRef>
          </c:tx>
          <c:spPr>
            <a:ln w="25400" cap="rnd">
              <a:solidFill>
                <a:srgbClr val="FF0000"/>
              </a:solidFill>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usluga'!$AB$90:$AB$133</c:f>
              <c:numCache>
                <c:formatCode>0.0</c:formatCode>
                <c:ptCount val="44"/>
                <c:pt idx="0">
                  <c:v>83.175218306812468</c:v>
                </c:pt>
                <c:pt idx="1">
                  <c:v>84.202519251410834</c:v>
                </c:pt>
                <c:pt idx="2">
                  <c:v>85.263744932788569</c:v>
                </c:pt>
                <c:pt idx="3">
                  <c:v>86.359436344975634</c:v>
                </c:pt>
                <c:pt idx="4">
                  <c:v>87.448037152624281</c:v>
                </c:pt>
                <c:pt idx="5">
                  <c:v>88.567996802342364</c:v>
                </c:pt>
                <c:pt idx="6">
                  <c:v>89.795875391019408</c:v>
                </c:pt>
                <c:pt idx="7">
                  <c:v>91.056982068345235</c:v>
                </c:pt>
                <c:pt idx="8">
                  <c:v>92.316942182759988</c:v>
                </c:pt>
                <c:pt idx="9">
                  <c:v>93.504336511982714</c:v>
                </c:pt>
                <c:pt idx="10">
                  <c:v>94.65960313830422</c:v>
                </c:pt>
                <c:pt idx="11">
                  <c:v>95.802863161697914</c:v>
                </c:pt>
                <c:pt idx="12">
                  <c:v>96.979674240681291</c:v>
                </c:pt>
                <c:pt idx="13">
                  <c:v>98.259375274614058</c:v>
                </c:pt>
                <c:pt idx="14">
                  <c:v>82.428124144433113</c:v>
                </c:pt>
                <c:pt idx="15">
                  <c:v>67.356212476548862</c:v>
                </c:pt>
                <c:pt idx="16">
                  <c:v>67.988760379016696</c:v>
                </c:pt>
                <c:pt idx="17">
                  <c:v>68.633210062435978</c:v>
                </c:pt>
                <c:pt idx="18">
                  <c:v>69.34390339547835</c:v>
                </c:pt>
                <c:pt idx="19">
                  <c:v>70.254016312772919</c:v>
                </c:pt>
                <c:pt idx="20">
                  <c:v>71.385687872597899</c:v>
                </c:pt>
                <c:pt idx="21">
                  <c:v>86.48176690657408</c:v>
                </c:pt>
                <c:pt idx="22">
                  <c:v>87.986884111968266</c:v>
                </c:pt>
                <c:pt idx="23">
                  <c:v>89.384195243048509</c:v>
                </c:pt>
                <c:pt idx="24">
                  <c:v>90.690083724564175</c:v>
                </c:pt>
                <c:pt idx="25">
                  <c:v>91.961037845965095</c:v>
                </c:pt>
                <c:pt idx="26">
                  <c:v>93.304439313790922</c:v>
                </c:pt>
                <c:pt idx="27">
                  <c:v>94.731872062939473</c:v>
                </c:pt>
                <c:pt idx="28">
                  <c:v>96.1085075651728</c:v>
                </c:pt>
                <c:pt idx="29">
                  <c:v>97.438390067599684</c:v>
                </c:pt>
                <c:pt idx="30">
                  <c:v>98.824966698776024</c:v>
                </c:pt>
                <c:pt idx="31">
                  <c:v>100.48265228121521</c:v>
                </c:pt>
                <c:pt idx="32">
                  <c:v>102.66511120261801</c:v>
                </c:pt>
                <c:pt idx="33">
                  <c:v>105.60486497647869</c:v>
                </c:pt>
                <c:pt idx="34">
                  <c:v>109.31241370298434</c:v>
                </c:pt>
                <c:pt idx="35">
                  <c:v>113.50901738663919</c:v>
                </c:pt>
                <c:pt idx="36">
                  <c:v>117.79538689857493</c:v>
                </c:pt>
                <c:pt idx="37">
                  <c:v>122.01007297764525</c:v>
                </c:pt>
                <c:pt idx="38">
                  <c:v>126.12659173407543</c:v>
                </c:pt>
                <c:pt idx="39">
                  <c:v>130.1773918551329</c:v>
                </c:pt>
                <c:pt idx="40">
                  <c:v>134.18407658274381</c:v>
                </c:pt>
                <c:pt idx="41">
                  <c:v>138.07897720243997</c:v>
                </c:pt>
                <c:pt idx="42">
                  <c:v>141.69522686556843</c:v>
                </c:pt>
                <c:pt idx="43">
                  <c:v>144.90783563233785</c:v>
                </c:pt>
              </c:numCache>
            </c:numRef>
          </c:val>
          <c:smooth val="1"/>
          <c:extLst>
            <c:ext xmlns:c16="http://schemas.microsoft.com/office/drawing/2014/chart" uri="{C3380CC4-5D6E-409C-BE32-E72D297353CC}">
              <c16:uniqueId val="{00000002-4C6B-46E2-AC0F-298B8C121207}"/>
            </c:ext>
          </c:extLst>
        </c:ser>
        <c:ser>
          <c:idx val="3"/>
          <c:order val="3"/>
          <c:tx>
            <c:strRef>
              <c:f>'BoP_izvoz usluga'!$AC$5</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6.6090930074118884E-2"/>
                  <c:y val="5.7207207207207206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C6B-46E2-AC0F-298B8C121207}"/>
                </c:ext>
              </c:extLst>
            </c:dLbl>
            <c:dLbl>
              <c:idx val="12"/>
              <c:layout>
                <c:manualLayout>
                  <c:x val="6.164442309073552E-2"/>
                  <c:y val="5.7207207207207206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C6B-46E2-AC0F-298B8C121207}"/>
                </c:ext>
              </c:extLst>
            </c:dLbl>
            <c:dLbl>
              <c:idx val="24"/>
              <c:layout>
                <c:manualLayout>
                  <c:x val="6.1662902261920206E-2"/>
                  <c:y val="5.7207207207207206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C6B-46E2-AC0F-298B8C121207}"/>
                </c:ext>
              </c:extLst>
            </c:dLbl>
            <c:dLbl>
              <c:idx val="36"/>
              <c:layout>
                <c:manualLayout>
                  <c:x val="8.9027765477700527E-3"/>
                  <c:y val="5.7207207207207206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C6B-46E2-AC0F-298B8C121207}"/>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usluga'!$AC$90:$AC$133</c:f>
              <c:numCache>
                <c:formatCode>General</c:formatCode>
                <c:ptCount val="44"/>
                <c:pt idx="0">
                  <c:v>40</c:v>
                </c:pt>
                <c:pt idx="12">
                  <c:v>40</c:v>
                </c:pt>
                <c:pt idx="24">
                  <c:v>40</c:v>
                </c:pt>
                <c:pt idx="36">
                  <c:v>40</c:v>
                </c:pt>
              </c:numCache>
            </c:numRef>
          </c:val>
          <c:smooth val="0"/>
          <c:extLst>
            <c:ext xmlns:c16="http://schemas.microsoft.com/office/drawing/2014/chart" uri="{C3380CC4-5D6E-409C-BE32-E72D297353CC}">
              <c16:uniqueId val="{00000007-4C6B-46E2-AC0F-298B8C121207}"/>
            </c:ext>
          </c:extLst>
        </c:ser>
        <c:ser>
          <c:idx val="4"/>
          <c:order val="4"/>
          <c:tx>
            <c:strRef>
              <c:f>'BoP_izvoz usluga'!$AD$5</c:f>
              <c:strCache>
                <c:ptCount val="1"/>
                <c:pt idx="0">
                  <c:v>Series5</c:v>
                </c:pt>
              </c:strCache>
            </c:strRef>
          </c:tx>
          <c:spPr>
            <a:ln w="28575" cap="rnd">
              <a:noFill/>
              <a:round/>
            </a:ln>
            <a:effectLst/>
          </c:spPr>
          <c:marker>
            <c:symbol val="none"/>
          </c:marker>
          <c:dLbls>
            <c:dLbl>
              <c:idx val="0"/>
              <c:tx>
                <c:rich>
                  <a:bodyPr/>
                  <a:lstStyle/>
                  <a:p>
                    <a:fld id="{58ABEB87-DC0B-43E8-8D94-C8436189333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4C6B-46E2-AC0F-298B8C121207}"/>
                </c:ext>
              </c:extLst>
            </c:dLbl>
            <c:dLbl>
              <c:idx val="1"/>
              <c:tx>
                <c:rich>
                  <a:bodyPr/>
                  <a:lstStyle/>
                  <a:p>
                    <a:fld id="{1DB384B7-66B7-405D-B7B3-F67B8ACEEE2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4C6B-46E2-AC0F-298B8C121207}"/>
                </c:ext>
              </c:extLst>
            </c:dLbl>
            <c:dLbl>
              <c:idx val="2"/>
              <c:tx>
                <c:rich>
                  <a:bodyPr/>
                  <a:lstStyle/>
                  <a:p>
                    <a:fld id="{AF00FED9-A4E3-437C-8B6A-F9B796F53AF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4C6B-46E2-AC0F-298B8C121207}"/>
                </c:ext>
              </c:extLst>
            </c:dLbl>
            <c:dLbl>
              <c:idx val="3"/>
              <c:tx>
                <c:rich>
                  <a:bodyPr/>
                  <a:lstStyle/>
                  <a:p>
                    <a:fld id="{F5E57BEF-D8CD-4494-AFC5-07A70B4C056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4C6B-46E2-AC0F-298B8C121207}"/>
                </c:ext>
              </c:extLst>
            </c:dLbl>
            <c:dLbl>
              <c:idx val="4"/>
              <c:tx>
                <c:rich>
                  <a:bodyPr/>
                  <a:lstStyle/>
                  <a:p>
                    <a:fld id="{F9E28DD3-2781-43C4-A825-467AB52B37F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4C6B-46E2-AC0F-298B8C121207}"/>
                </c:ext>
              </c:extLst>
            </c:dLbl>
            <c:dLbl>
              <c:idx val="5"/>
              <c:tx>
                <c:rich>
                  <a:bodyPr/>
                  <a:lstStyle/>
                  <a:p>
                    <a:fld id="{38C62568-DBA6-48AE-BD41-9859BB2A117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4C6B-46E2-AC0F-298B8C121207}"/>
                </c:ext>
              </c:extLst>
            </c:dLbl>
            <c:dLbl>
              <c:idx val="6"/>
              <c:tx>
                <c:rich>
                  <a:bodyPr/>
                  <a:lstStyle/>
                  <a:p>
                    <a:fld id="{EF8AB3FA-11BC-4C21-A781-D13A1AE5134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4C6B-46E2-AC0F-298B8C121207}"/>
                </c:ext>
              </c:extLst>
            </c:dLbl>
            <c:dLbl>
              <c:idx val="7"/>
              <c:tx>
                <c:rich>
                  <a:bodyPr/>
                  <a:lstStyle/>
                  <a:p>
                    <a:fld id="{6D31BB11-432E-4CC1-8DFF-9B2F27EE488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4C6B-46E2-AC0F-298B8C121207}"/>
                </c:ext>
              </c:extLst>
            </c:dLbl>
            <c:dLbl>
              <c:idx val="8"/>
              <c:tx>
                <c:rich>
                  <a:bodyPr/>
                  <a:lstStyle/>
                  <a:p>
                    <a:fld id="{04902B31-A8B0-4E9B-B77F-6C64540F980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4C6B-46E2-AC0F-298B8C121207}"/>
                </c:ext>
              </c:extLst>
            </c:dLbl>
            <c:dLbl>
              <c:idx val="9"/>
              <c:tx>
                <c:rich>
                  <a:bodyPr/>
                  <a:lstStyle/>
                  <a:p>
                    <a:fld id="{FF6A0EDB-C2A2-4F8E-A68C-59E358C51FF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4C6B-46E2-AC0F-298B8C121207}"/>
                </c:ext>
              </c:extLst>
            </c:dLbl>
            <c:dLbl>
              <c:idx val="10"/>
              <c:tx>
                <c:rich>
                  <a:bodyPr/>
                  <a:lstStyle/>
                  <a:p>
                    <a:fld id="{14625C14-3B05-4948-B0E9-BB3BC03B07C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4C6B-46E2-AC0F-298B8C121207}"/>
                </c:ext>
              </c:extLst>
            </c:dLbl>
            <c:dLbl>
              <c:idx val="11"/>
              <c:tx>
                <c:rich>
                  <a:bodyPr/>
                  <a:lstStyle/>
                  <a:p>
                    <a:fld id="{0E87598A-E886-42F2-A979-0601BD68137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4C6B-46E2-AC0F-298B8C121207}"/>
                </c:ext>
              </c:extLst>
            </c:dLbl>
            <c:dLbl>
              <c:idx val="12"/>
              <c:tx>
                <c:rich>
                  <a:bodyPr/>
                  <a:lstStyle/>
                  <a:p>
                    <a:fld id="{2BD38F5F-EA4C-4825-8FE3-637F981DF70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4C6B-46E2-AC0F-298B8C121207}"/>
                </c:ext>
              </c:extLst>
            </c:dLbl>
            <c:dLbl>
              <c:idx val="13"/>
              <c:tx>
                <c:rich>
                  <a:bodyPr/>
                  <a:lstStyle/>
                  <a:p>
                    <a:fld id="{EDCD6071-FBA1-4589-958E-9B2207AF30D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4C6B-46E2-AC0F-298B8C121207}"/>
                </c:ext>
              </c:extLst>
            </c:dLbl>
            <c:dLbl>
              <c:idx val="14"/>
              <c:tx>
                <c:rich>
                  <a:bodyPr/>
                  <a:lstStyle/>
                  <a:p>
                    <a:fld id="{A860C739-9445-48A3-9C2A-AE9A747DA6A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4C6B-46E2-AC0F-298B8C121207}"/>
                </c:ext>
              </c:extLst>
            </c:dLbl>
            <c:dLbl>
              <c:idx val="15"/>
              <c:tx>
                <c:rich>
                  <a:bodyPr/>
                  <a:lstStyle/>
                  <a:p>
                    <a:fld id="{45B92790-5CDA-4C4D-9131-302A75C679C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4C6B-46E2-AC0F-298B8C121207}"/>
                </c:ext>
              </c:extLst>
            </c:dLbl>
            <c:dLbl>
              <c:idx val="16"/>
              <c:tx>
                <c:rich>
                  <a:bodyPr/>
                  <a:lstStyle/>
                  <a:p>
                    <a:fld id="{07166533-9F67-4489-9572-C42F2BFA307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4C6B-46E2-AC0F-298B8C121207}"/>
                </c:ext>
              </c:extLst>
            </c:dLbl>
            <c:dLbl>
              <c:idx val="17"/>
              <c:tx>
                <c:rich>
                  <a:bodyPr/>
                  <a:lstStyle/>
                  <a:p>
                    <a:fld id="{2F35EC6F-3032-42E3-B163-AE28291ED01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4C6B-46E2-AC0F-298B8C121207}"/>
                </c:ext>
              </c:extLst>
            </c:dLbl>
            <c:dLbl>
              <c:idx val="18"/>
              <c:tx>
                <c:rich>
                  <a:bodyPr/>
                  <a:lstStyle/>
                  <a:p>
                    <a:fld id="{3B57BE5F-C252-4C55-AD85-2BEB3A5A82B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4C6B-46E2-AC0F-298B8C121207}"/>
                </c:ext>
              </c:extLst>
            </c:dLbl>
            <c:dLbl>
              <c:idx val="19"/>
              <c:tx>
                <c:rich>
                  <a:bodyPr/>
                  <a:lstStyle/>
                  <a:p>
                    <a:fld id="{831D14E5-B0DC-4547-8F5E-EBEA5A2C9EE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4C6B-46E2-AC0F-298B8C121207}"/>
                </c:ext>
              </c:extLst>
            </c:dLbl>
            <c:dLbl>
              <c:idx val="20"/>
              <c:tx>
                <c:rich>
                  <a:bodyPr/>
                  <a:lstStyle/>
                  <a:p>
                    <a:fld id="{8BC347CB-115E-49C9-8CFF-072F2CE1162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4C6B-46E2-AC0F-298B8C121207}"/>
                </c:ext>
              </c:extLst>
            </c:dLbl>
            <c:dLbl>
              <c:idx val="21"/>
              <c:tx>
                <c:rich>
                  <a:bodyPr/>
                  <a:lstStyle/>
                  <a:p>
                    <a:fld id="{F101DB50-6F78-40CC-8336-5F0B7D7055E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4C6B-46E2-AC0F-298B8C121207}"/>
                </c:ext>
              </c:extLst>
            </c:dLbl>
            <c:dLbl>
              <c:idx val="22"/>
              <c:tx>
                <c:rich>
                  <a:bodyPr/>
                  <a:lstStyle/>
                  <a:p>
                    <a:fld id="{90390D8E-9DE3-4985-8DFB-639B8C949E7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4C6B-46E2-AC0F-298B8C121207}"/>
                </c:ext>
              </c:extLst>
            </c:dLbl>
            <c:dLbl>
              <c:idx val="23"/>
              <c:tx>
                <c:rich>
                  <a:bodyPr/>
                  <a:lstStyle/>
                  <a:p>
                    <a:fld id="{BA1E3B0C-59E1-40D4-B2CD-9188E5A2978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4C6B-46E2-AC0F-298B8C121207}"/>
                </c:ext>
              </c:extLst>
            </c:dLbl>
            <c:dLbl>
              <c:idx val="24"/>
              <c:tx>
                <c:rich>
                  <a:bodyPr/>
                  <a:lstStyle/>
                  <a:p>
                    <a:fld id="{D31C768D-873B-4E6B-AD5C-DAA212D7BD5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4C6B-46E2-AC0F-298B8C121207}"/>
                </c:ext>
              </c:extLst>
            </c:dLbl>
            <c:dLbl>
              <c:idx val="25"/>
              <c:tx>
                <c:rich>
                  <a:bodyPr/>
                  <a:lstStyle/>
                  <a:p>
                    <a:fld id="{50B3A646-2901-450E-B30E-29430618777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4C6B-46E2-AC0F-298B8C121207}"/>
                </c:ext>
              </c:extLst>
            </c:dLbl>
            <c:dLbl>
              <c:idx val="26"/>
              <c:tx>
                <c:rich>
                  <a:bodyPr/>
                  <a:lstStyle/>
                  <a:p>
                    <a:fld id="{5A125834-F710-4C7F-9EBC-3599EADDD99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4C6B-46E2-AC0F-298B8C121207}"/>
                </c:ext>
              </c:extLst>
            </c:dLbl>
            <c:dLbl>
              <c:idx val="27"/>
              <c:tx>
                <c:rich>
                  <a:bodyPr/>
                  <a:lstStyle/>
                  <a:p>
                    <a:fld id="{000EAC9B-1CC5-459B-8309-09F853E0B65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4C6B-46E2-AC0F-298B8C121207}"/>
                </c:ext>
              </c:extLst>
            </c:dLbl>
            <c:dLbl>
              <c:idx val="28"/>
              <c:tx>
                <c:rich>
                  <a:bodyPr/>
                  <a:lstStyle/>
                  <a:p>
                    <a:fld id="{AEAA3A85-8E03-42C7-B482-E40D77691B4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4C6B-46E2-AC0F-298B8C121207}"/>
                </c:ext>
              </c:extLst>
            </c:dLbl>
            <c:dLbl>
              <c:idx val="29"/>
              <c:tx>
                <c:rich>
                  <a:bodyPr/>
                  <a:lstStyle/>
                  <a:p>
                    <a:fld id="{7CE56B03-F385-477D-AAED-0C9AD84667B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4C6B-46E2-AC0F-298B8C121207}"/>
                </c:ext>
              </c:extLst>
            </c:dLbl>
            <c:dLbl>
              <c:idx val="30"/>
              <c:tx>
                <c:rich>
                  <a:bodyPr/>
                  <a:lstStyle/>
                  <a:p>
                    <a:fld id="{7DAD94E7-605A-40C9-898C-FD8F5857ED2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4C6B-46E2-AC0F-298B8C121207}"/>
                </c:ext>
              </c:extLst>
            </c:dLbl>
            <c:dLbl>
              <c:idx val="31"/>
              <c:tx>
                <c:rich>
                  <a:bodyPr/>
                  <a:lstStyle/>
                  <a:p>
                    <a:fld id="{D51E726B-B885-42A3-8449-CDEB9DAEF00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4C6B-46E2-AC0F-298B8C121207}"/>
                </c:ext>
              </c:extLst>
            </c:dLbl>
            <c:dLbl>
              <c:idx val="32"/>
              <c:tx>
                <c:rich>
                  <a:bodyPr/>
                  <a:lstStyle/>
                  <a:p>
                    <a:fld id="{52B36A5E-350E-4A74-ADF0-7E32E54DC71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4C6B-46E2-AC0F-298B8C121207}"/>
                </c:ext>
              </c:extLst>
            </c:dLbl>
            <c:dLbl>
              <c:idx val="33"/>
              <c:tx>
                <c:rich>
                  <a:bodyPr/>
                  <a:lstStyle/>
                  <a:p>
                    <a:fld id="{88EEA650-CFBC-4149-96CF-83EDCD86793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4C6B-46E2-AC0F-298B8C121207}"/>
                </c:ext>
              </c:extLst>
            </c:dLbl>
            <c:dLbl>
              <c:idx val="34"/>
              <c:tx>
                <c:rich>
                  <a:bodyPr/>
                  <a:lstStyle/>
                  <a:p>
                    <a:fld id="{25213DC5-0081-4AF6-9EBE-E78644464BC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4C6B-46E2-AC0F-298B8C121207}"/>
                </c:ext>
              </c:extLst>
            </c:dLbl>
            <c:dLbl>
              <c:idx val="35"/>
              <c:tx>
                <c:rich>
                  <a:bodyPr/>
                  <a:lstStyle/>
                  <a:p>
                    <a:fld id="{1B66A26A-6333-442B-B4F6-C283093868F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4C6B-46E2-AC0F-298B8C121207}"/>
                </c:ext>
              </c:extLst>
            </c:dLbl>
            <c:dLbl>
              <c:idx val="36"/>
              <c:tx>
                <c:rich>
                  <a:bodyPr/>
                  <a:lstStyle/>
                  <a:p>
                    <a:fld id="{0D27FB90-02D4-45A5-94F2-52D2C4B8A1D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4C6B-46E2-AC0F-298B8C121207}"/>
                </c:ext>
              </c:extLst>
            </c:dLbl>
            <c:dLbl>
              <c:idx val="37"/>
              <c:tx>
                <c:rich>
                  <a:bodyPr/>
                  <a:lstStyle/>
                  <a:p>
                    <a:fld id="{F99DC886-FC8A-4257-8566-29CA8643F67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4C6B-46E2-AC0F-298B8C121207}"/>
                </c:ext>
              </c:extLst>
            </c:dLbl>
            <c:dLbl>
              <c:idx val="38"/>
              <c:tx>
                <c:rich>
                  <a:bodyPr/>
                  <a:lstStyle/>
                  <a:p>
                    <a:fld id="{F268741C-0960-4C5F-B235-EC23358A81B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4C6B-46E2-AC0F-298B8C121207}"/>
                </c:ext>
              </c:extLst>
            </c:dLbl>
            <c:dLbl>
              <c:idx val="39"/>
              <c:tx>
                <c:rich>
                  <a:bodyPr/>
                  <a:lstStyle/>
                  <a:p>
                    <a:fld id="{4E7B3A21-6C75-4CC4-901B-550943BEDF3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4C6B-46E2-AC0F-298B8C121207}"/>
                </c:ext>
              </c:extLst>
            </c:dLbl>
            <c:dLbl>
              <c:idx val="40"/>
              <c:tx>
                <c:rich>
                  <a:bodyPr/>
                  <a:lstStyle/>
                  <a:p>
                    <a:fld id="{16043F0F-9432-46EF-980C-2433B565D23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4C6B-46E2-AC0F-298B8C121207}"/>
                </c:ext>
              </c:extLst>
            </c:dLbl>
            <c:dLbl>
              <c:idx val="41"/>
              <c:tx>
                <c:rich>
                  <a:bodyPr/>
                  <a:lstStyle/>
                  <a:p>
                    <a:fld id="{9C0385DB-1ED4-44B6-84A2-B6C8E01C514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4C6B-46E2-AC0F-298B8C121207}"/>
                </c:ext>
              </c:extLst>
            </c:dLbl>
            <c:dLbl>
              <c:idx val="42"/>
              <c:tx>
                <c:rich>
                  <a:bodyPr/>
                  <a:lstStyle/>
                  <a:p>
                    <a:fld id="{D2B66F80-D2F9-46E6-B6F0-666D9D69EAD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2-4C6B-46E2-AC0F-298B8C121207}"/>
                </c:ext>
              </c:extLst>
            </c:dLbl>
            <c:dLbl>
              <c:idx val="43"/>
              <c:tx>
                <c:rich>
                  <a:bodyPr/>
                  <a:lstStyle/>
                  <a:p>
                    <a:fld id="{9233E6BD-4E27-42C9-9FD7-21B63991F97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3-4C6B-46E2-AC0F-298B8C121207}"/>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usluga'!$AD$90:$AD$133</c:f>
              <c:numCache>
                <c:formatCode>General</c:formatCode>
                <c:ptCount val="44"/>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pt idx="38">
                  <c:v>40</c:v>
                </c:pt>
                <c:pt idx="39">
                  <c:v>40</c:v>
                </c:pt>
                <c:pt idx="40">
                  <c:v>40</c:v>
                </c:pt>
                <c:pt idx="41">
                  <c:v>40</c:v>
                </c:pt>
                <c:pt idx="42">
                  <c:v>40</c:v>
                </c:pt>
                <c:pt idx="43">
                  <c:v>40</c:v>
                </c:pt>
              </c:numCache>
            </c:numRef>
          </c:val>
          <c:smooth val="0"/>
          <c:extLst>
            <c:ext xmlns:c15="http://schemas.microsoft.com/office/drawing/2012/chart" uri="{02D57815-91ED-43cb-92C2-25804820EDAC}">
              <c15:datalabelsRange>
                <c15:f>'BoP_izvoz usluga'!$J$90:$J$133</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4-4C6B-46E2-AC0F-298B8C121207}"/>
            </c:ext>
          </c:extLst>
        </c:ser>
        <c:dLbls>
          <c:showLegendKey val="0"/>
          <c:showVal val="0"/>
          <c:showCatName val="0"/>
          <c:showSerName val="0"/>
          <c:showPercent val="0"/>
          <c:showBubbleSize val="0"/>
        </c:dLbls>
        <c:smooth val="0"/>
        <c:axId val="1828932656"/>
        <c:axId val="1828929936"/>
      </c:lineChart>
      <c:dateAx>
        <c:axId val="1828932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9936"/>
        <c:crosses val="autoZero"/>
        <c:auto val="1"/>
        <c:lblOffset val="0"/>
        <c:baseTimeUnit val="months"/>
      </c:dateAx>
      <c:valAx>
        <c:axId val="1828929936"/>
        <c:scaling>
          <c:orientation val="minMax"/>
          <c:max val="165"/>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2656"/>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652245513160466E-2"/>
          <c:y val="3.6405005688282137E-2"/>
          <c:w val="0.87031860600758237"/>
          <c:h val="0.72146846846846846"/>
        </c:manualLayout>
      </c:layout>
      <c:lineChart>
        <c:grouping val="standard"/>
        <c:varyColors val="0"/>
        <c:ser>
          <c:idx val="0"/>
          <c:order val="0"/>
          <c:tx>
            <c:strRef>
              <c:f>Commodities!$P$6</c:f>
              <c:strCache>
                <c:ptCount val="1"/>
                <c:pt idx="0">
                  <c:v>Сви производи</c:v>
                </c:pt>
              </c:strCache>
            </c:strRef>
          </c:tx>
          <c:spPr>
            <a:ln w="22225" cap="rnd">
              <a:solidFill>
                <a:srgbClr val="003891"/>
              </a:solidFill>
              <a:round/>
            </a:ln>
            <a:effectLst/>
          </c:spPr>
          <c:marker>
            <c:symbol val="none"/>
          </c:marker>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Commodities!$P$20:$P$117</c:f>
              <c:numCache>
                <c:formatCode>0.0</c:formatCode>
                <c:ptCount val="98"/>
                <c:pt idx="0">
                  <c:v>113.9748</c:v>
                </c:pt>
                <c:pt idx="1">
                  <c:v>117.19889999999999</c:v>
                </c:pt>
                <c:pt idx="2">
                  <c:v>113.2482</c:v>
                </c:pt>
                <c:pt idx="3">
                  <c:v>114.5804</c:v>
                </c:pt>
                <c:pt idx="4">
                  <c:v>118.1194</c:v>
                </c:pt>
                <c:pt idx="5">
                  <c:v>115.7426</c:v>
                </c:pt>
                <c:pt idx="6">
                  <c:v>109.3275</c:v>
                </c:pt>
                <c:pt idx="7">
                  <c:v>102.35469999999999</c:v>
                </c:pt>
                <c:pt idx="8">
                  <c:v>101.8818</c:v>
                </c:pt>
                <c:pt idx="9">
                  <c:v>102.0407</c:v>
                </c:pt>
                <c:pt idx="10">
                  <c:v>96.009299999999996</c:v>
                </c:pt>
                <c:pt idx="11">
                  <c:v>90.572900000000004</c:v>
                </c:pt>
                <c:pt idx="12">
                  <c:v>85.273200000000003</c:v>
                </c:pt>
                <c:pt idx="13">
                  <c:v>87.015100000000004</c:v>
                </c:pt>
                <c:pt idx="14">
                  <c:v>93.596699999999998</c:v>
                </c:pt>
                <c:pt idx="15">
                  <c:v>96.927899999999994</c:v>
                </c:pt>
                <c:pt idx="16">
                  <c:v>100.8323</c:v>
                </c:pt>
                <c:pt idx="17">
                  <c:v>103.5151</c:v>
                </c:pt>
                <c:pt idx="18">
                  <c:v>102.7945</c:v>
                </c:pt>
                <c:pt idx="19">
                  <c:v>103.1562</c:v>
                </c:pt>
                <c:pt idx="20">
                  <c:v>103.1794</c:v>
                </c:pt>
                <c:pt idx="21">
                  <c:v>106.7204</c:v>
                </c:pt>
                <c:pt idx="22">
                  <c:v>105.5256</c:v>
                </c:pt>
                <c:pt idx="23">
                  <c:v>111.4636</c:v>
                </c:pt>
                <c:pt idx="24">
                  <c:v>115.70489999999999</c:v>
                </c:pt>
                <c:pt idx="25">
                  <c:v>116.33150000000001</c:v>
                </c:pt>
                <c:pt idx="26">
                  <c:v>110.84220000000001</c:v>
                </c:pt>
                <c:pt idx="27">
                  <c:v>111.11279999999999</c:v>
                </c:pt>
                <c:pt idx="28">
                  <c:v>108.9277</c:v>
                </c:pt>
                <c:pt idx="29">
                  <c:v>105.6752</c:v>
                </c:pt>
                <c:pt idx="30">
                  <c:v>108.22839999999999</c:v>
                </c:pt>
                <c:pt idx="31">
                  <c:v>111.0442</c:v>
                </c:pt>
                <c:pt idx="32">
                  <c:v>114.09350000000001</c:v>
                </c:pt>
                <c:pt idx="33">
                  <c:v>115.56270000000001</c:v>
                </c:pt>
                <c:pt idx="34">
                  <c:v>120.5003</c:v>
                </c:pt>
                <c:pt idx="35">
                  <c:v>121.9923</c:v>
                </c:pt>
                <c:pt idx="36">
                  <c:v>128.46170000000001</c:v>
                </c:pt>
                <c:pt idx="37">
                  <c:v>126.34910000000001</c:v>
                </c:pt>
                <c:pt idx="38">
                  <c:v>126.11660000000001</c:v>
                </c:pt>
                <c:pt idx="39">
                  <c:v>128.08369999999999</c:v>
                </c:pt>
                <c:pt idx="40">
                  <c:v>132.83600000000001</c:v>
                </c:pt>
                <c:pt idx="41">
                  <c:v>131.64609999999999</c:v>
                </c:pt>
                <c:pt idx="42">
                  <c:v>129.8409</c:v>
                </c:pt>
                <c:pt idx="43">
                  <c:v>127.5008</c:v>
                </c:pt>
                <c:pt idx="44">
                  <c:v>131.72030000000001</c:v>
                </c:pt>
                <c:pt idx="45">
                  <c:v>132.8175</c:v>
                </c:pt>
                <c:pt idx="46">
                  <c:v>121.4547</c:v>
                </c:pt>
                <c:pt idx="47">
                  <c:v>115.9002</c:v>
                </c:pt>
                <c:pt idx="48">
                  <c:v>117.0189</c:v>
                </c:pt>
                <c:pt idx="49">
                  <c:v>118.74420000000001</c:v>
                </c:pt>
                <c:pt idx="50">
                  <c:v>119.3643</c:v>
                </c:pt>
                <c:pt idx="51">
                  <c:v>122.78</c:v>
                </c:pt>
                <c:pt idx="52">
                  <c:v>119.63979999999999</c:v>
                </c:pt>
                <c:pt idx="53">
                  <c:v>114.867</c:v>
                </c:pt>
                <c:pt idx="54">
                  <c:v>117.3751</c:v>
                </c:pt>
                <c:pt idx="55">
                  <c:v>111.4226</c:v>
                </c:pt>
                <c:pt idx="56">
                  <c:v>114.0737</c:v>
                </c:pt>
                <c:pt idx="57">
                  <c:v>112.65219999999999</c:v>
                </c:pt>
                <c:pt idx="58">
                  <c:v>116.42740000000001</c:v>
                </c:pt>
                <c:pt idx="59">
                  <c:v>119.2987</c:v>
                </c:pt>
                <c:pt idx="60">
                  <c:v>118.8117</c:v>
                </c:pt>
                <c:pt idx="61">
                  <c:v>110.1122</c:v>
                </c:pt>
                <c:pt idx="62">
                  <c:v>93.146900000000002</c:v>
                </c:pt>
                <c:pt idx="63">
                  <c:v>85.031700000000001</c:v>
                </c:pt>
                <c:pt idx="64">
                  <c:v>91.649500000000003</c:v>
                </c:pt>
                <c:pt idx="65">
                  <c:v>99.781099999999995</c:v>
                </c:pt>
                <c:pt idx="66">
                  <c:v>102.789</c:v>
                </c:pt>
                <c:pt idx="67">
                  <c:v>108.5866</c:v>
                </c:pt>
                <c:pt idx="68">
                  <c:v>108.27460000000001</c:v>
                </c:pt>
                <c:pt idx="69">
                  <c:v>111.2231</c:v>
                </c:pt>
                <c:pt idx="70">
                  <c:v>115.11960000000001</c:v>
                </c:pt>
                <c:pt idx="71">
                  <c:v>125.12690000000001</c:v>
                </c:pt>
                <c:pt idx="72">
                  <c:v>136.7355</c:v>
                </c:pt>
                <c:pt idx="73">
                  <c:v>137.79949999999999</c:v>
                </c:pt>
                <c:pt idx="74">
                  <c:v>140.87139999999999</c:v>
                </c:pt>
                <c:pt idx="75">
                  <c:v>145.0616</c:v>
                </c:pt>
                <c:pt idx="76">
                  <c:v>154.8229</c:v>
                </c:pt>
                <c:pt idx="77">
                  <c:v>160.2799</c:v>
                </c:pt>
                <c:pt idx="78">
                  <c:v>164.52269999999999</c:v>
                </c:pt>
                <c:pt idx="79">
                  <c:v>162.92760000000001</c:v>
                </c:pt>
                <c:pt idx="80">
                  <c:v>171.0949</c:v>
                </c:pt>
                <c:pt idx="81">
                  <c:v>190.90690000000001</c:v>
                </c:pt>
                <c:pt idx="82">
                  <c:v>182.38409999999999</c:v>
                </c:pt>
                <c:pt idx="83">
                  <c:v>185.93520000000001</c:v>
                </c:pt>
                <c:pt idx="84">
                  <c:v>190.83869999999999</c:v>
                </c:pt>
                <c:pt idx="85">
                  <c:v>202.58109999999999</c:v>
                </c:pt>
                <c:pt idx="86">
                  <c:v>238.72309999999999</c:v>
                </c:pt>
                <c:pt idx="87">
                  <c:v>226.87379999999999</c:v>
                </c:pt>
                <c:pt idx="88">
                  <c:v>224.86500000000001</c:v>
                </c:pt>
                <c:pt idx="89">
                  <c:v>230.29910000000001</c:v>
                </c:pt>
                <c:pt idx="90">
                  <c:v>228.4453</c:v>
                </c:pt>
                <c:pt idx="91">
                  <c:v>241.3186</c:v>
                </c:pt>
              </c:numCache>
            </c:numRef>
          </c:val>
          <c:smooth val="0"/>
          <c:extLst>
            <c:ext xmlns:c16="http://schemas.microsoft.com/office/drawing/2014/chart" uri="{C3380CC4-5D6E-409C-BE32-E72D297353CC}">
              <c16:uniqueId val="{00000000-97CD-4723-89C0-F772A9B0881D}"/>
            </c:ext>
          </c:extLst>
        </c:ser>
        <c:ser>
          <c:idx val="1"/>
          <c:order val="1"/>
          <c:tx>
            <c:strRef>
              <c:f>Commodities!$Q$6</c:f>
              <c:strCache>
                <c:ptCount val="1"/>
                <c:pt idx="0">
                  <c:v>Основни метали</c:v>
                </c:pt>
              </c:strCache>
            </c:strRef>
          </c:tx>
          <c:spPr>
            <a:ln w="22225" cap="rnd">
              <a:solidFill>
                <a:srgbClr val="EC008C"/>
              </a:solidFill>
              <a:round/>
            </a:ln>
            <a:effectLst/>
          </c:spPr>
          <c:marker>
            <c:symbol val="none"/>
          </c:marker>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Commodities!$Q$20:$Q$117</c:f>
              <c:numCache>
                <c:formatCode>0.0</c:formatCode>
                <c:ptCount val="98"/>
                <c:pt idx="0">
                  <c:v>120.2676</c:v>
                </c:pt>
                <c:pt idx="1">
                  <c:v>115.8086</c:v>
                </c:pt>
                <c:pt idx="2">
                  <c:v>113.2302</c:v>
                </c:pt>
                <c:pt idx="3">
                  <c:v>111.0729</c:v>
                </c:pt>
                <c:pt idx="4">
                  <c:v>117.0163</c:v>
                </c:pt>
                <c:pt idx="5">
                  <c:v>111.96510000000001</c:v>
                </c:pt>
                <c:pt idx="6">
                  <c:v>102.1172</c:v>
                </c:pt>
                <c:pt idx="7">
                  <c:v>100.6921</c:v>
                </c:pt>
                <c:pt idx="8">
                  <c:v>100.78189999999999</c:v>
                </c:pt>
                <c:pt idx="9">
                  <c:v>98.074399999999997</c:v>
                </c:pt>
                <c:pt idx="10">
                  <c:v>90.213999999999999</c:v>
                </c:pt>
                <c:pt idx="11">
                  <c:v>86.0137</c:v>
                </c:pt>
                <c:pt idx="12">
                  <c:v>85.259100000000004</c:v>
                </c:pt>
                <c:pt idx="13">
                  <c:v>89.321600000000004</c:v>
                </c:pt>
                <c:pt idx="14">
                  <c:v>96.920199999999994</c:v>
                </c:pt>
                <c:pt idx="15">
                  <c:v>99.066800000000001</c:v>
                </c:pt>
                <c:pt idx="16">
                  <c:v>95.829300000000003</c:v>
                </c:pt>
                <c:pt idx="17">
                  <c:v>95.013999999999996</c:v>
                </c:pt>
                <c:pt idx="18">
                  <c:v>100.441</c:v>
                </c:pt>
                <c:pt idx="19">
                  <c:v>102.2409</c:v>
                </c:pt>
                <c:pt idx="20">
                  <c:v>100.0072</c:v>
                </c:pt>
                <c:pt idx="21">
                  <c:v>101.13</c:v>
                </c:pt>
                <c:pt idx="22">
                  <c:v>115.2364</c:v>
                </c:pt>
                <c:pt idx="23">
                  <c:v>119.5334</c:v>
                </c:pt>
                <c:pt idx="24">
                  <c:v>121.3683</c:v>
                </c:pt>
                <c:pt idx="25">
                  <c:v>128.72319999999999</c:v>
                </c:pt>
                <c:pt idx="26">
                  <c:v>127.21429999999999</c:v>
                </c:pt>
                <c:pt idx="27">
                  <c:v>116.8922</c:v>
                </c:pt>
                <c:pt idx="28">
                  <c:v>111.66540000000001</c:v>
                </c:pt>
                <c:pt idx="29">
                  <c:v>109.86</c:v>
                </c:pt>
                <c:pt idx="30">
                  <c:v>117.18689999999999</c:v>
                </c:pt>
                <c:pt idx="31">
                  <c:v>127.01560000000001</c:v>
                </c:pt>
                <c:pt idx="32">
                  <c:v>126.1027</c:v>
                </c:pt>
                <c:pt idx="33">
                  <c:v>124.23350000000001</c:v>
                </c:pt>
                <c:pt idx="34">
                  <c:v>125.77290000000001</c:v>
                </c:pt>
                <c:pt idx="35">
                  <c:v>130.22900000000001</c:v>
                </c:pt>
                <c:pt idx="36">
                  <c:v>136.61150000000001</c:v>
                </c:pt>
                <c:pt idx="37">
                  <c:v>137.6191</c:v>
                </c:pt>
                <c:pt idx="38">
                  <c:v>132.46639999999999</c:v>
                </c:pt>
                <c:pt idx="39">
                  <c:v>133.89179999999999</c:v>
                </c:pt>
                <c:pt idx="40">
                  <c:v>134.3493</c:v>
                </c:pt>
                <c:pt idx="41">
                  <c:v>135.31450000000001</c:v>
                </c:pt>
                <c:pt idx="42">
                  <c:v>126.9083</c:v>
                </c:pt>
                <c:pt idx="43">
                  <c:v>125.09950000000001</c:v>
                </c:pt>
                <c:pt idx="44">
                  <c:v>124.5245</c:v>
                </c:pt>
                <c:pt idx="45">
                  <c:v>127.6848</c:v>
                </c:pt>
                <c:pt idx="46">
                  <c:v>125.88849999999999</c:v>
                </c:pt>
                <c:pt idx="47">
                  <c:v>123.0895</c:v>
                </c:pt>
                <c:pt idx="48">
                  <c:v>124.9186</c:v>
                </c:pt>
                <c:pt idx="49">
                  <c:v>134.63249999999999</c:v>
                </c:pt>
                <c:pt idx="50">
                  <c:v>136.28149999999999</c:v>
                </c:pt>
                <c:pt idx="51">
                  <c:v>139.8586</c:v>
                </c:pt>
                <c:pt idx="52">
                  <c:v>138.9855</c:v>
                </c:pt>
                <c:pt idx="53">
                  <c:v>141.422</c:v>
                </c:pt>
                <c:pt idx="54">
                  <c:v>147.80250000000001</c:v>
                </c:pt>
                <c:pt idx="55">
                  <c:v>133.25239999999999</c:v>
                </c:pt>
                <c:pt idx="56">
                  <c:v>134.76480000000001</c:v>
                </c:pt>
                <c:pt idx="57">
                  <c:v>132.53710000000001</c:v>
                </c:pt>
                <c:pt idx="58">
                  <c:v>128.2989</c:v>
                </c:pt>
                <c:pt idx="59">
                  <c:v>131.08949999999999</c:v>
                </c:pt>
                <c:pt idx="60">
                  <c:v>133.02029999999999</c:v>
                </c:pt>
                <c:pt idx="61">
                  <c:v>125.75360000000001</c:v>
                </c:pt>
                <c:pt idx="62">
                  <c:v>121.5202</c:v>
                </c:pt>
                <c:pt idx="63">
                  <c:v>116.0488</c:v>
                </c:pt>
                <c:pt idx="64">
                  <c:v>121.21299999999999</c:v>
                </c:pt>
                <c:pt idx="65">
                  <c:v>132.28460000000001</c:v>
                </c:pt>
                <c:pt idx="66">
                  <c:v>139.96680000000001</c:v>
                </c:pt>
                <c:pt idx="67">
                  <c:v>149.0719</c:v>
                </c:pt>
                <c:pt idx="68">
                  <c:v>152.01599999999999</c:v>
                </c:pt>
                <c:pt idx="69">
                  <c:v>150.99379999999999</c:v>
                </c:pt>
                <c:pt idx="70">
                  <c:v>158.15799999999999</c:v>
                </c:pt>
                <c:pt idx="71">
                  <c:v>180.07339999999999</c:v>
                </c:pt>
                <c:pt idx="72">
                  <c:v>189.541</c:v>
                </c:pt>
                <c:pt idx="73">
                  <c:v>192.65539999999999</c:v>
                </c:pt>
                <c:pt idx="74">
                  <c:v>198.6087</c:v>
                </c:pt>
                <c:pt idx="75">
                  <c:v>208.12440000000001</c:v>
                </c:pt>
                <c:pt idx="76">
                  <c:v>229.07050000000001</c:v>
                </c:pt>
                <c:pt idx="77">
                  <c:v>237.3871</c:v>
                </c:pt>
                <c:pt idx="78">
                  <c:v>238.78100000000001</c:v>
                </c:pt>
                <c:pt idx="79">
                  <c:v>212.2355</c:v>
                </c:pt>
                <c:pt idx="80">
                  <c:v>191.43010000000001</c:v>
                </c:pt>
                <c:pt idx="81">
                  <c:v>196.47540000000001</c:v>
                </c:pt>
                <c:pt idx="82">
                  <c:v>180.05719999999999</c:v>
                </c:pt>
                <c:pt idx="83">
                  <c:v>190.584</c:v>
                </c:pt>
                <c:pt idx="84">
                  <c:v>208.89340000000001</c:v>
                </c:pt>
                <c:pt idx="85">
                  <c:v>216.6446</c:v>
                </c:pt>
                <c:pt idx="86">
                  <c:v>233.42850000000001</c:v>
                </c:pt>
                <c:pt idx="87">
                  <c:v>231.4358</c:v>
                </c:pt>
                <c:pt idx="88">
                  <c:v>208.08619999999999</c:v>
                </c:pt>
                <c:pt idx="89">
                  <c:v>200.26220000000001</c:v>
                </c:pt>
                <c:pt idx="90">
                  <c:v>172.46680000000001</c:v>
                </c:pt>
                <c:pt idx="91">
                  <c:v>174.7372</c:v>
                </c:pt>
              </c:numCache>
            </c:numRef>
          </c:val>
          <c:smooth val="0"/>
          <c:extLst>
            <c:ext xmlns:c16="http://schemas.microsoft.com/office/drawing/2014/chart" uri="{C3380CC4-5D6E-409C-BE32-E72D297353CC}">
              <c16:uniqueId val="{00000001-97CD-4723-89C0-F772A9B0881D}"/>
            </c:ext>
          </c:extLst>
        </c:ser>
        <c:ser>
          <c:idx val="2"/>
          <c:order val="2"/>
          <c:tx>
            <c:strRef>
              <c:f>Commodities!$R$6</c:f>
              <c:strCache>
                <c:ptCount val="1"/>
                <c:pt idx="0">
                  <c:v>Храна</c:v>
                </c:pt>
              </c:strCache>
            </c:strRef>
          </c:tx>
          <c:spPr>
            <a:ln w="22225" cap="rnd">
              <a:solidFill>
                <a:srgbClr val="7F3F98"/>
              </a:solidFill>
              <a:round/>
            </a:ln>
            <a:effectLst/>
          </c:spPr>
          <c:marker>
            <c:symbol val="none"/>
          </c:marker>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Commodities!$R$20:$R$117</c:f>
              <c:numCache>
                <c:formatCode>0.0</c:formatCode>
                <c:ptCount val="98"/>
                <c:pt idx="0">
                  <c:v>104.5371</c:v>
                </c:pt>
                <c:pt idx="1">
                  <c:v>101.5308</c:v>
                </c:pt>
                <c:pt idx="2">
                  <c:v>98.953800000000001</c:v>
                </c:pt>
                <c:pt idx="3">
                  <c:v>100.8837</c:v>
                </c:pt>
                <c:pt idx="4">
                  <c:v>100.7663</c:v>
                </c:pt>
                <c:pt idx="5">
                  <c:v>100.3018</c:v>
                </c:pt>
                <c:pt idx="6">
                  <c:v>100.1558</c:v>
                </c:pt>
                <c:pt idx="7">
                  <c:v>97.086500000000001</c:v>
                </c:pt>
                <c:pt idx="8">
                  <c:v>96.29</c:v>
                </c:pt>
                <c:pt idx="9">
                  <c:v>96.824100000000001</c:v>
                </c:pt>
                <c:pt idx="10">
                  <c:v>92.771699999999996</c:v>
                </c:pt>
                <c:pt idx="11">
                  <c:v>92.353099999999998</c:v>
                </c:pt>
                <c:pt idx="12">
                  <c:v>92.319400000000002</c:v>
                </c:pt>
                <c:pt idx="13">
                  <c:v>93.629000000000005</c:v>
                </c:pt>
                <c:pt idx="14">
                  <c:v>97.082899999999995</c:v>
                </c:pt>
                <c:pt idx="15">
                  <c:v>100.06910000000001</c:v>
                </c:pt>
                <c:pt idx="16">
                  <c:v>101.4413</c:v>
                </c:pt>
                <c:pt idx="17">
                  <c:v>103.5783</c:v>
                </c:pt>
                <c:pt idx="18">
                  <c:v>103.88290000000001</c:v>
                </c:pt>
                <c:pt idx="19">
                  <c:v>102.1245</c:v>
                </c:pt>
                <c:pt idx="20">
                  <c:v>101.70659999999999</c:v>
                </c:pt>
                <c:pt idx="21">
                  <c:v>100.6434</c:v>
                </c:pt>
                <c:pt idx="22">
                  <c:v>101.19580000000001</c:v>
                </c:pt>
                <c:pt idx="23">
                  <c:v>102.3267</c:v>
                </c:pt>
                <c:pt idx="24">
                  <c:v>106.53660000000001</c:v>
                </c:pt>
                <c:pt idx="25">
                  <c:v>107.0228</c:v>
                </c:pt>
                <c:pt idx="26">
                  <c:v>103.4353</c:v>
                </c:pt>
                <c:pt idx="27">
                  <c:v>102.8047</c:v>
                </c:pt>
                <c:pt idx="28">
                  <c:v>105.21850000000001</c:v>
                </c:pt>
                <c:pt idx="29">
                  <c:v>104.51739999999999</c:v>
                </c:pt>
                <c:pt idx="30">
                  <c:v>106.864</c:v>
                </c:pt>
                <c:pt idx="31">
                  <c:v>102.0808</c:v>
                </c:pt>
                <c:pt idx="32">
                  <c:v>100.8492</c:v>
                </c:pt>
                <c:pt idx="33">
                  <c:v>101.65219999999999</c:v>
                </c:pt>
                <c:pt idx="34">
                  <c:v>102.2906</c:v>
                </c:pt>
                <c:pt idx="35">
                  <c:v>102.2817</c:v>
                </c:pt>
                <c:pt idx="36">
                  <c:v>105.8176</c:v>
                </c:pt>
                <c:pt idx="37">
                  <c:v>105.8933</c:v>
                </c:pt>
                <c:pt idx="38">
                  <c:v>106.9054</c:v>
                </c:pt>
                <c:pt idx="39">
                  <c:v>106.7189</c:v>
                </c:pt>
                <c:pt idx="40">
                  <c:v>108.3625</c:v>
                </c:pt>
                <c:pt idx="41">
                  <c:v>104.0801</c:v>
                </c:pt>
                <c:pt idx="42">
                  <c:v>101.3301</c:v>
                </c:pt>
                <c:pt idx="43">
                  <c:v>97.3613</c:v>
                </c:pt>
                <c:pt idx="44">
                  <c:v>98.6267</c:v>
                </c:pt>
                <c:pt idx="45">
                  <c:v>100.42140000000001</c:v>
                </c:pt>
                <c:pt idx="46">
                  <c:v>95.855199999999996</c:v>
                </c:pt>
                <c:pt idx="47">
                  <c:v>98.689899999999994</c:v>
                </c:pt>
                <c:pt idx="48">
                  <c:v>100.4665</c:v>
                </c:pt>
                <c:pt idx="49">
                  <c:v>98.772199999999998</c:v>
                </c:pt>
                <c:pt idx="50">
                  <c:v>98.063100000000006</c:v>
                </c:pt>
                <c:pt idx="51">
                  <c:v>101.5692</c:v>
                </c:pt>
                <c:pt idx="52">
                  <c:v>98.094300000000004</c:v>
                </c:pt>
                <c:pt idx="53">
                  <c:v>100.2128</c:v>
                </c:pt>
                <c:pt idx="54">
                  <c:v>100.27200000000001</c:v>
                </c:pt>
                <c:pt idx="55">
                  <c:v>98.260400000000004</c:v>
                </c:pt>
                <c:pt idx="56">
                  <c:v>96.053100000000001</c:v>
                </c:pt>
                <c:pt idx="57">
                  <c:v>96.382199999999997</c:v>
                </c:pt>
                <c:pt idx="58">
                  <c:v>100.27760000000001</c:v>
                </c:pt>
                <c:pt idx="59">
                  <c:v>104.01909999999999</c:v>
                </c:pt>
                <c:pt idx="60">
                  <c:v>105.40260000000001</c:v>
                </c:pt>
                <c:pt idx="61">
                  <c:v>101.11150000000001</c:v>
                </c:pt>
                <c:pt idx="62">
                  <c:v>97.2</c:v>
                </c:pt>
                <c:pt idx="63">
                  <c:v>92.933599999999998</c:v>
                </c:pt>
                <c:pt idx="64">
                  <c:v>96.5167</c:v>
                </c:pt>
                <c:pt idx="65">
                  <c:v>99.805700000000002</c:v>
                </c:pt>
                <c:pt idx="66">
                  <c:v>97.6357</c:v>
                </c:pt>
                <c:pt idx="67">
                  <c:v>98.623699999999999</c:v>
                </c:pt>
                <c:pt idx="68">
                  <c:v>99.999700000000004</c:v>
                </c:pt>
                <c:pt idx="69">
                  <c:v>105.34820000000001</c:v>
                </c:pt>
                <c:pt idx="70">
                  <c:v>108.4148</c:v>
                </c:pt>
                <c:pt idx="71">
                  <c:v>109.504</c:v>
                </c:pt>
                <c:pt idx="72">
                  <c:v>116.39530000000001</c:v>
                </c:pt>
                <c:pt idx="73">
                  <c:v>119.4481</c:v>
                </c:pt>
                <c:pt idx="74">
                  <c:v>122.2294</c:v>
                </c:pt>
                <c:pt idx="75">
                  <c:v>129.696</c:v>
                </c:pt>
                <c:pt idx="76">
                  <c:v>135.1961</c:v>
                </c:pt>
                <c:pt idx="77">
                  <c:v>127.65300000000001</c:v>
                </c:pt>
                <c:pt idx="78">
                  <c:v>128.97290000000001</c:v>
                </c:pt>
                <c:pt idx="79">
                  <c:v>131.4786</c:v>
                </c:pt>
                <c:pt idx="80">
                  <c:v>127.0146</c:v>
                </c:pt>
                <c:pt idx="81">
                  <c:v>127.95399999999999</c:v>
                </c:pt>
                <c:pt idx="82">
                  <c:v>129.7123</c:v>
                </c:pt>
                <c:pt idx="83">
                  <c:v>133.45849999999999</c:v>
                </c:pt>
                <c:pt idx="84">
                  <c:v>139.89279999999999</c:v>
                </c:pt>
                <c:pt idx="85">
                  <c:v>147.1473</c:v>
                </c:pt>
                <c:pt idx="86">
                  <c:v>157.58519999999999</c:v>
                </c:pt>
                <c:pt idx="87">
                  <c:v>161.73330000000001</c:v>
                </c:pt>
                <c:pt idx="88">
                  <c:v>158.76570000000001</c:v>
                </c:pt>
                <c:pt idx="89">
                  <c:v>152.82429999999999</c:v>
                </c:pt>
                <c:pt idx="90">
                  <c:v>141.4862</c:v>
                </c:pt>
                <c:pt idx="91">
                  <c:v>139.17509999999999</c:v>
                </c:pt>
              </c:numCache>
            </c:numRef>
          </c:val>
          <c:smooth val="0"/>
          <c:extLst>
            <c:ext xmlns:c16="http://schemas.microsoft.com/office/drawing/2014/chart" uri="{C3380CC4-5D6E-409C-BE32-E72D297353CC}">
              <c16:uniqueId val="{00000002-97CD-4723-89C0-F772A9B0881D}"/>
            </c:ext>
          </c:extLst>
        </c:ser>
        <c:ser>
          <c:idx val="4"/>
          <c:order val="3"/>
          <c:tx>
            <c:strRef>
              <c:f>Commodities!$S$6</c:f>
              <c:strCache>
                <c:ptCount val="1"/>
                <c:pt idx="0">
                  <c:v>Енергија</c:v>
                </c:pt>
              </c:strCache>
            </c:strRef>
          </c:tx>
          <c:spPr>
            <a:ln w="22225" cap="rnd">
              <a:solidFill>
                <a:srgbClr val="00A651"/>
              </a:solidFill>
              <a:round/>
            </a:ln>
            <a:effectLst/>
          </c:spPr>
          <c:marker>
            <c:symbol val="none"/>
          </c:marker>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Commodities!$S$20:$S$117</c:f>
              <c:numCache>
                <c:formatCode>0.0</c:formatCode>
                <c:ptCount val="98"/>
                <c:pt idx="0">
                  <c:v>122.0363</c:v>
                </c:pt>
                <c:pt idx="1">
                  <c:v>133.6474</c:v>
                </c:pt>
                <c:pt idx="2">
                  <c:v>128.30770000000001</c:v>
                </c:pt>
                <c:pt idx="3">
                  <c:v>130.52879999999999</c:v>
                </c:pt>
                <c:pt idx="4">
                  <c:v>137.48349999999999</c:v>
                </c:pt>
                <c:pt idx="5">
                  <c:v>134.15690000000001</c:v>
                </c:pt>
                <c:pt idx="6">
                  <c:v>122.9389</c:v>
                </c:pt>
                <c:pt idx="7">
                  <c:v>109.2273</c:v>
                </c:pt>
                <c:pt idx="8">
                  <c:v>109.0253</c:v>
                </c:pt>
                <c:pt idx="9">
                  <c:v>108.89919999999999</c:v>
                </c:pt>
                <c:pt idx="10">
                  <c:v>101.26609999999999</c:v>
                </c:pt>
                <c:pt idx="11">
                  <c:v>90.268000000000001</c:v>
                </c:pt>
                <c:pt idx="12">
                  <c:v>77.635499999999993</c:v>
                </c:pt>
                <c:pt idx="13">
                  <c:v>77.788700000000006</c:v>
                </c:pt>
                <c:pt idx="14">
                  <c:v>87.665599999999998</c:v>
                </c:pt>
                <c:pt idx="15">
                  <c:v>92.543700000000001</c:v>
                </c:pt>
                <c:pt idx="16">
                  <c:v>101.4837</c:v>
                </c:pt>
                <c:pt idx="17">
                  <c:v>106.693</c:v>
                </c:pt>
                <c:pt idx="18">
                  <c:v>101.7727</c:v>
                </c:pt>
                <c:pt idx="19">
                  <c:v>103.3763</c:v>
                </c:pt>
                <c:pt idx="20">
                  <c:v>104.6336</c:v>
                </c:pt>
                <c:pt idx="21">
                  <c:v>115.261</c:v>
                </c:pt>
                <c:pt idx="22">
                  <c:v>108.4443</c:v>
                </c:pt>
                <c:pt idx="23">
                  <c:v>122.702</c:v>
                </c:pt>
                <c:pt idx="24">
                  <c:v>127.8267</c:v>
                </c:pt>
                <c:pt idx="25">
                  <c:v>125.6176</c:v>
                </c:pt>
                <c:pt idx="26">
                  <c:v>115.7726</c:v>
                </c:pt>
                <c:pt idx="27">
                  <c:v>119.22580000000001</c:v>
                </c:pt>
                <c:pt idx="28">
                  <c:v>114.4622</c:v>
                </c:pt>
                <c:pt idx="29">
                  <c:v>107.9064</c:v>
                </c:pt>
                <c:pt idx="30">
                  <c:v>111.27209999999999</c:v>
                </c:pt>
                <c:pt idx="31">
                  <c:v>117.6241</c:v>
                </c:pt>
                <c:pt idx="32">
                  <c:v>125.57250000000001</c:v>
                </c:pt>
                <c:pt idx="33">
                  <c:v>129.92509999999999</c:v>
                </c:pt>
                <c:pt idx="34">
                  <c:v>140.7654</c:v>
                </c:pt>
                <c:pt idx="35">
                  <c:v>143.63800000000001</c:v>
                </c:pt>
                <c:pt idx="36">
                  <c:v>152.81270000000001</c:v>
                </c:pt>
                <c:pt idx="37">
                  <c:v>147.2218</c:v>
                </c:pt>
                <c:pt idx="38">
                  <c:v>147.28210000000001</c:v>
                </c:pt>
                <c:pt idx="39">
                  <c:v>151.75620000000001</c:v>
                </c:pt>
                <c:pt idx="40">
                  <c:v>162.89830000000001</c:v>
                </c:pt>
                <c:pt idx="41">
                  <c:v>163.17509999999999</c:v>
                </c:pt>
                <c:pt idx="42">
                  <c:v>164.4734</c:v>
                </c:pt>
                <c:pt idx="43">
                  <c:v>163.1678</c:v>
                </c:pt>
                <c:pt idx="44">
                  <c:v>172.60579999999999</c:v>
                </c:pt>
                <c:pt idx="45">
                  <c:v>172.28749999999999</c:v>
                </c:pt>
                <c:pt idx="46">
                  <c:v>148.04310000000001</c:v>
                </c:pt>
                <c:pt idx="47">
                  <c:v>132.69319999999999</c:v>
                </c:pt>
                <c:pt idx="48">
                  <c:v>132.83789999999999</c:v>
                </c:pt>
                <c:pt idx="49">
                  <c:v>135.18780000000001</c:v>
                </c:pt>
                <c:pt idx="50">
                  <c:v>137.1353</c:v>
                </c:pt>
                <c:pt idx="51">
                  <c:v>142.6789</c:v>
                </c:pt>
                <c:pt idx="52">
                  <c:v>137.66309999999999</c:v>
                </c:pt>
                <c:pt idx="53">
                  <c:v>122.0758</c:v>
                </c:pt>
                <c:pt idx="54">
                  <c:v>125.7325</c:v>
                </c:pt>
                <c:pt idx="55">
                  <c:v>117.1383</c:v>
                </c:pt>
                <c:pt idx="56">
                  <c:v>122.43729999999999</c:v>
                </c:pt>
                <c:pt idx="57">
                  <c:v>119.7972</c:v>
                </c:pt>
                <c:pt idx="58">
                  <c:v>127.6315</c:v>
                </c:pt>
                <c:pt idx="59">
                  <c:v>131.10419999999999</c:v>
                </c:pt>
                <c:pt idx="60">
                  <c:v>126.1421</c:v>
                </c:pt>
                <c:pt idx="61">
                  <c:v>109.2894</c:v>
                </c:pt>
                <c:pt idx="62">
                  <c:v>72.994200000000006</c:v>
                </c:pt>
                <c:pt idx="63">
                  <c:v>55.890500000000003</c:v>
                </c:pt>
                <c:pt idx="64">
                  <c:v>68.011499999999998</c:v>
                </c:pt>
                <c:pt idx="65">
                  <c:v>82.397599999999997</c:v>
                </c:pt>
                <c:pt idx="66">
                  <c:v>86.416499999999999</c:v>
                </c:pt>
                <c:pt idx="67">
                  <c:v>93.227199999999996</c:v>
                </c:pt>
                <c:pt idx="68">
                  <c:v>91.297600000000003</c:v>
                </c:pt>
                <c:pt idx="69">
                  <c:v>95.402900000000002</c:v>
                </c:pt>
                <c:pt idx="70">
                  <c:v>100.8954</c:v>
                </c:pt>
                <c:pt idx="71">
                  <c:v>118.494</c:v>
                </c:pt>
                <c:pt idx="72">
                  <c:v>138.44630000000001</c:v>
                </c:pt>
                <c:pt idx="73">
                  <c:v>137.66489999999999</c:v>
                </c:pt>
                <c:pt idx="74">
                  <c:v>142.13650000000001</c:v>
                </c:pt>
                <c:pt idx="75">
                  <c:v>143.19370000000001</c:v>
                </c:pt>
                <c:pt idx="76">
                  <c:v>154.5575</c:v>
                </c:pt>
                <c:pt idx="77">
                  <c:v>170.89510000000001</c:v>
                </c:pt>
                <c:pt idx="78">
                  <c:v>181.34989999999999</c:v>
                </c:pt>
                <c:pt idx="79">
                  <c:v>183.8065</c:v>
                </c:pt>
                <c:pt idx="80">
                  <c:v>212.87909999999999</c:v>
                </c:pt>
                <c:pt idx="81">
                  <c:v>256.46080000000001</c:v>
                </c:pt>
                <c:pt idx="82">
                  <c:v>235.6833</c:v>
                </c:pt>
                <c:pt idx="83">
                  <c:v>239.99100000000001</c:v>
                </c:pt>
                <c:pt idx="84">
                  <c:v>241.37739999999999</c:v>
                </c:pt>
                <c:pt idx="85">
                  <c:v>260.04840000000002</c:v>
                </c:pt>
                <c:pt idx="86">
                  <c:v>331.78379999999999</c:v>
                </c:pt>
                <c:pt idx="87">
                  <c:v>300.53320000000002</c:v>
                </c:pt>
                <c:pt idx="88">
                  <c:v>306.67500000000001</c:v>
                </c:pt>
                <c:pt idx="89">
                  <c:v>328.12349999999998</c:v>
                </c:pt>
                <c:pt idx="90">
                  <c:v>343.81</c:v>
                </c:pt>
                <c:pt idx="91">
                  <c:v>376.41210000000001</c:v>
                </c:pt>
              </c:numCache>
            </c:numRef>
          </c:val>
          <c:smooth val="0"/>
          <c:extLst>
            <c:ext xmlns:c16="http://schemas.microsoft.com/office/drawing/2014/chart" uri="{C3380CC4-5D6E-409C-BE32-E72D297353CC}">
              <c16:uniqueId val="{00000003-97CD-4723-89C0-F772A9B0881D}"/>
            </c:ext>
          </c:extLst>
        </c:ser>
        <c:ser>
          <c:idx val="3"/>
          <c:order val="4"/>
          <c:tx>
            <c:strRef>
              <c:f>Commodities!$X$6</c:f>
              <c:strCache>
                <c:ptCount val="1"/>
                <c:pt idx="0">
                  <c:v>100</c:v>
                </c:pt>
              </c:strCache>
            </c:strRef>
          </c:tx>
          <c:spPr>
            <a:ln w="6350" cap="rnd">
              <a:solidFill>
                <a:srgbClr val="898989"/>
              </a:solidFill>
              <a:round/>
            </a:ln>
            <a:effectLst/>
          </c:spPr>
          <c:marker>
            <c:symbol val="none"/>
          </c:marker>
          <c:dPt>
            <c:idx val="0"/>
            <c:marker>
              <c:symbol val="none"/>
            </c:marker>
            <c:bubble3D val="0"/>
            <c:extLst>
              <c:ext xmlns:c16="http://schemas.microsoft.com/office/drawing/2014/chart" uri="{C3380CC4-5D6E-409C-BE32-E72D297353CC}">
                <c16:uniqueId val="{00000004-97CD-4723-89C0-F772A9B0881D}"/>
              </c:ext>
            </c:extLst>
          </c:dPt>
          <c:dPt>
            <c:idx val="12"/>
            <c:marker>
              <c:symbol val="none"/>
            </c:marker>
            <c:bubble3D val="0"/>
            <c:extLst>
              <c:ext xmlns:c16="http://schemas.microsoft.com/office/drawing/2014/chart" uri="{C3380CC4-5D6E-409C-BE32-E72D297353CC}">
                <c16:uniqueId val="{00000005-97CD-4723-89C0-F772A9B0881D}"/>
              </c:ext>
            </c:extLst>
          </c:dPt>
          <c:dPt>
            <c:idx val="24"/>
            <c:marker>
              <c:symbol val="none"/>
            </c:marker>
            <c:bubble3D val="0"/>
            <c:extLst>
              <c:ext xmlns:c16="http://schemas.microsoft.com/office/drawing/2014/chart" uri="{C3380CC4-5D6E-409C-BE32-E72D297353CC}">
                <c16:uniqueId val="{00000006-97CD-4723-89C0-F772A9B0881D}"/>
              </c:ext>
            </c:extLst>
          </c:dPt>
          <c:dPt>
            <c:idx val="36"/>
            <c:marker>
              <c:symbol val="none"/>
            </c:marker>
            <c:bubble3D val="0"/>
            <c:extLst>
              <c:ext xmlns:c16="http://schemas.microsoft.com/office/drawing/2014/chart" uri="{C3380CC4-5D6E-409C-BE32-E72D297353CC}">
                <c16:uniqueId val="{00000007-97CD-4723-89C0-F772A9B0881D}"/>
              </c:ext>
            </c:extLst>
          </c:dPt>
          <c:dPt>
            <c:idx val="48"/>
            <c:marker>
              <c:symbol val="none"/>
            </c:marker>
            <c:bubble3D val="0"/>
            <c:extLst>
              <c:ext xmlns:c16="http://schemas.microsoft.com/office/drawing/2014/chart" uri="{C3380CC4-5D6E-409C-BE32-E72D297353CC}">
                <c16:uniqueId val="{00000008-97CD-4723-89C0-F772A9B0881D}"/>
              </c:ext>
            </c:extLst>
          </c:dPt>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Commodities!$X$20:$X$117</c:f>
              <c:numCache>
                <c:formatCode>General</c:formatCode>
                <c:ptCount val="98"/>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pt idx="22">
                  <c:v>100</c:v>
                </c:pt>
                <c:pt idx="23">
                  <c:v>100</c:v>
                </c:pt>
                <c:pt idx="24">
                  <c:v>100</c:v>
                </c:pt>
                <c:pt idx="25">
                  <c:v>100</c:v>
                </c:pt>
                <c:pt idx="26">
                  <c:v>100</c:v>
                </c:pt>
                <c:pt idx="27">
                  <c:v>100</c:v>
                </c:pt>
                <c:pt idx="28">
                  <c:v>100</c:v>
                </c:pt>
                <c:pt idx="29">
                  <c:v>100</c:v>
                </c:pt>
                <c:pt idx="30">
                  <c:v>100</c:v>
                </c:pt>
                <c:pt idx="31">
                  <c:v>100</c:v>
                </c:pt>
                <c:pt idx="32">
                  <c:v>100</c:v>
                </c:pt>
                <c:pt idx="33">
                  <c:v>100</c:v>
                </c:pt>
                <c:pt idx="34">
                  <c:v>100</c:v>
                </c:pt>
                <c:pt idx="35">
                  <c:v>100</c:v>
                </c:pt>
                <c:pt idx="36">
                  <c:v>100</c:v>
                </c:pt>
                <c:pt idx="37">
                  <c:v>100</c:v>
                </c:pt>
                <c:pt idx="38">
                  <c:v>100</c:v>
                </c:pt>
                <c:pt idx="39">
                  <c:v>100</c:v>
                </c:pt>
                <c:pt idx="40">
                  <c:v>100</c:v>
                </c:pt>
                <c:pt idx="41">
                  <c:v>100</c:v>
                </c:pt>
                <c:pt idx="42">
                  <c:v>100</c:v>
                </c:pt>
                <c:pt idx="43">
                  <c:v>100</c:v>
                </c:pt>
                <c:pt idx="44">
                  <c:v>100</c:v>
                </c:pt>
                <c:pt idx="45">
                  <c:v>100</c:v>
                </c:pt>
                <c:pt idx="46">
                  <c:v>100</c:v>
                </c:pt>
                <c:pt idx="47">
                  <c:v>100</c:v>
                </c:pt>
                <c:pt idx="48">
                  <c:v>100</c:v>
                </c:pt>
                <c:pt idx="49">
                  <c:v>100</c:v>
                </c:pt>
                <c:pt idx="50">
                  <c:v>100</c:v>
                </c:pt>
                <c:pt idx="51">
                  <c:v>100</c:v>
                </c:pt>
                <c:pt idx="52">
                  <c:v>100</c:v>
                </c:pt>
                <c:pt idx="53">
                  <c:v>100</c:v>
                </c:pt>
                <c:pt idx="54">
                  <c:v>100</c:v>
                </c:pt>
                <c:pt idx="55">
                  <c:v>100</c:v>
                </c:pt>
                <c:pt idx="56">
                  <c:v>100</c:v>
                </c:pt>
                <c:pt idx="57">
                  <c:v>100</c:v>
                </c:pt>
                <c:pt idx="58">
                  <c:v>100</c:v>
                </c:pt>
                <c:pt idx="59">
                  <c:v>100</c:v>
                </c:pt>
                <c:pt idx="60">
                  <c:v>100</c:v>
                </c:pt>
                <c:pt idx="61">
                  <c:v>100</c:v>
                </c:pt>
                <c:pt idx="62">
                  <c:v>100</c:v>
                </c:pt>
                <c:pt idx="63">
                  <c:v>100</c:v>
                </c:pt>
                <c:pt idx="64">
                  <c:v>100</c:v>
                </c:pt>
                <c:pt idx="65">
                  <c:v>100</c:v>
                </c:pt>
                <c:pt idx="66">
                  <c:v>100</c:v>
                </c:pt>
                <c:pt idx="67">
                  <c:v>100</c:v>
                </c:pt>
                <c:pt idx="68">
                  <c:v>100</c:v>
                </c:pt>
                <c:pt idx="69">
                  <c:v>100</c:v>
                </c:pt>
                <c:pt idx="70">
                  <c:v>100</c:v>
                </c:pt>
                <c:pt idx="71">
                  <c:v>100</c:v>
                </c:pt>
                <c:pt idx="72">
                  <c:v>100</c:v>
                </c:pt>
                <c:pt idx="73">
                  <c:v>100</c:v>
                </c:pt>
                <c:pt idx="74">
                  <c:v>100</c:v>
                </c:pt>
                <c:pt idx="75">
                  <c:v>100</c:v>
                </c:pt>
                <c:pt idx="76">
                  <c:v>100</c:v>
                </c:pt>
                <c:pt idx="77">
                  <c:v>100</c:v>
                </c:pt>
                <c:pt idx="78">
                  <c:v>100</c:v>
                </c:pt>
                <c:pt idx="79">
                  <c:v>100</c:v>
                </c:pt>
                <c:pt idx="80">
                  <c:v>100</c:v>
                </c:pt>
                <c:pt idx="81">
                  <c:v>100</c:v>
                </c:pt>
                <c:pt idx="82">
                  <c:v>100</c:v>
                </c:pt>
                <c:pt idx="83">
                  <c:v>100</c:v>
                </c:pt>
                <c:pt idx="84">
                  <c:v>100</c:v>
                </c:pt>
                <c:pt idx="85">
                  <c:v>100</c:v>
                </c:pt>
                <c:pt idx="86">
                  <c:v>100</c:v>
                </c:pt>
                <c:pt idx="87">
                  <c:v>100</c:v>
                </c:pt>
                <c:pt idx="88">
                  <c:v>100</c:v>
                </c:pt>
                <c:pt idx="89">
                  <c:v>100</c:v>
                </c:pt>
                <c:pt idx="90">
                  <c:v>100</c:v>
                </c:pt>
                <c:pt idx="91">
                  <c:v>100</c:v>
                </c:pt>
                <c:pt idx="92">
                  <c:v>100</c:v>
                </c:pt>
                <c:pt idx="93">
                  <c:v>100</c:v>
                </c:pt>
                <c:pt idx="94">
                  <c:v>100</c:v>
                </c:pt>
                <c:pt idx="95">
                  <c:v>100</c:v>
                </c:pt>
                <c:pt idx="96">
                  <c:v>100</c:v>
                </c:pt>
                <c:pt idx="97">
                  <c:v>100</c:v>
                </c:pt>
              </c:numCache>
            </c:numRef>
          </c:val>
          <c:smooth val="0"/>
          <c:extLst>
            <c:ext xmlns:c16="http://schemas.microsoft.com/office/drawing/2014/chart" uri="{C3380CC4-5D6E-409C-BE32-E72D297353CC}">
              <c16:uniqueId val="{00000009-97CD-4723-89C0-F772A9B0881D}"/>
            </c:ext>
          </c:extLst>
        </c:ser>
        <c:ser>
          <c:idx val="5"/>
          <c:order val="5"/>
          <c:tx>
            <c:strRef>
              <c:f>Commodities!$Y$6</c:f>
              <c:strCache>
                <c:ptCount val="1"/>
                <c:pt idx="0">
                  <c:v>Series 4</c:v>
                </c:pt>
              </c:strCache>
            </c:strRef>
          </c:tx>
          <c:spPr>
            <a:ln w="28575" cap="rnd">
              <a:noFill/>
              <a:round/>
            </a:ln>
            <a:effectLst/>
          </c:spPr>
          <c:marker>
            <c:symbol val="square"/>
            <c:size val="3"/>
            <c:spPr>
              <a:solidFill>
                <a:schemeClr val="bg1"/>
              </a:solidFill>
              <a:ln w="9525">
                <a:noFill/>
              </a:ln>
              <a:effectLst/>
            </c:spPr>
          </c:marker>
          <c:dLbls>
            <c:dLbl>
              <c:idx val="0"/>
              <c:layout>
                <c:manualLayout>
                  <c:x val="-2.3148148148148168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7CD-4723-89C0-F772A9B0881D}"/>
                </c:ext>
              </c:extLst>
            </c:dLbl>
            <c:dLbl>
              <c:idx val="12"/>
              <c:layout>
                <c:manualLayout>
                  <c:x val="-2.3148148148148147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7CD-4723-89C0-F772A9B0881D}"/>
                </c:ext>
              </c:extLst>
            </c:dLbl>
            <c:dLbl>
              <c:idx val="24"/>
              <c:layout>
                <c:manualLayout>
                  <c:x val="-2.3148148148148192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7CD-4723-89C0-F772A9B0881D}"/>
                </c:ext>
              </c:extLst>
            </c:dLbl>
            <c:dLbl>
              <c:idx val="36"/>
              <c:layout>
                <c:manualLayout>
                  <c:x val="-2.3141957807367303E-2"/>
                  <c:y val="2.542542542542530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7CD-4723-89C0-F772A9B0881D}"/>
                </c:ext>
              </c:extLst>
            </c:dLbl>
            <c:dLbl>
              <c:idx val="48"/>
              <c:layout>
                <c:manualLayout>
                  <c:x val="-1.850604657886178E-2"/>
                  <c:y val="2.542542542542530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7CD-4723-89C0-F772A9B0881D}"/>
                </c:ext>
              </c:extLst>
            </c:dLbl>
            <c:dLbl>
              <c:idx val="60"/>
              <c:layout>
                <c:manualLayout>
                  <c:x val="-2.3141957807367303E-2"/>
                  <c:y val="2.542542542542530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7CD-4723-89C0-F772A9B0881D}"/>
                </c:ext>
              </c:extLst>
            </c:dLbl>
            <c:dLbl>
              <c:idx val="72"/>
              <c:layout>
                <c:manualLayout>
                  <c:x val="-1.8506046578861863E-2"/>
                  <c:y val="2.542542542542530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7CD-4723-89C0-F772A9B0881D}"/>
                </c:ext>
              </c:extLst>
            </c:dLbl>
            <c:dLbl>
              <c:idx val="84"/>
              <c:layout>
                <c:manualLayout>
                  <c:x val="-1.3902623232193812E-2"/>
                  <c:y val="2.542542542542530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7CD-4723-89C0-F772A9B0881D}"/>
                </c:ext>
              </c:extLst>
            </c:dLbl>
            <c:dLbl>
              <c:idx val="88"/>
              <c:layout>
                <c:manualLayout>
                  <c:x val="-4.6110436057299649E-3"/>
                  <c:y val="2.5425425425425426E-2"/>
                </c:manualLayout>
              </c:layout>
              <c:tx>
                <c:rich>
                  <a:bodyPr/>
                  <a:lstStyle/>
                  <a:p>
                    <a:r>
                      <a:rPr lang="en-US"/>
                      <a:t>2023*</a:t>
                    </a:r>
                  </a:p>
                </c:rich>
              </c:tx>
              <c:dLblPos val="r"/>
              <c:showLegendKey val="0"/>
              <c:showVal val="0"/>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97CD-4723-89C0-F772A9B0881D}"/>
                </c:ext>
              </c:extLst>
            </c:dLbl>
            <c:dLbl>
              <c:idx val="92"/>
              <c:delete val="1"/>
              <c:extLst>
                <c:ext xmlns:c15="http://schemas.microsoft.com/office/drawing/2012/chart" uri="{CE6537A1-D6FC-4f65-9D91-7224C49458BB}"/>
                <c:ext xmlns:c16="http://schemas.microsoft.com/office/drawing/2014/chart" uri="{C3380CC4-5D6E-409C-BE32-E72D297353CC}">
                  <c16:uniqueId val="{00000013-97CD-4723-89C0-F772A9B0881D}"/>
                </c:ext>
              </c:extLst>
            </c:dLbl>
            <c:dLbl>
              <c:idx val="94"/>
              <c:layout>
                <c:manualLayout>
                  <c:x val="-2.3179556142527622E-2"/>
                  <c:y val="2.542542542542530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7CD-4723-89C0-F772A9B0881D}"/>
                </c:ext>
              </c:extLst>
            </c:dLbl>
            <c:dLbl>
              <c:idx val="96"/>
              <c:delete val="1"/>
              <c:extLst>
                <c:ext xmlns:c15="http://schemas.microsoft.com/office/drawing/2012/chart" uri="{CE6537A1-D6FC-4f65-9D91-7224C49458BB}"/>
                <c:ext xmlns:c16="http://schemas.microsoft.com/office/drawing/2014/chart" uri="{C3380CC4-5D6E-409C-BE32-E72D297353CC}">
                  <c16:uniqueId val="{00000015-97CD-4723-89C0-F772A9B0881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Arial" panose="020B0604020202020204" pitchFamily="34" charset="0"/>
                  </a:defRPr>
                </a:pPr>
                <a:endParaRPr lang="en-US"/>
              </a:p>
            </c:txPr>
            <c:dLblPos val="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Commodities!$Y$20:$Y$117</c:f>
              <c:numCache>
                <c:formatCode>General</c:formatCode>
                <c:ptCount val="98"/>
                <c:pt idx="0">
                  <c:v>20</c:v>
                </c:pt>
                <c:pt idx="12">
                  <c:v>20</c:v>
                </c:pt>
                <c:pt idx="24">
                  <c:v>20</c:v>
                </c:pt>
                <c:pt idx="36">
                  <c:v>20</c:v>
                </c:pt>
                <c:pt idx="48">
                  <c:v>20</c:v>
                </c:pt>
                <c:pt idx="60">
                  <c:v>20</c:v>
                </c:pt>
                <c:pt idx="72">
                  <c:v>20</c:v>
                </c:pt>
                <c:pt idx="84">
                  <c:v>20</c:v>
                </c:pt>
                <c:pt idx="94">
                  <c:v>20</c:v>
                </c:pt>
              </c:numCache>
            </c:numRef>
          </c:val>
          <c:smooth val="0"/>
          <c:extLst>
            <c:ext xmlns:c16="http://schemas.microsoft.com/office/drawing/2014/chart" uri="{C3380CC4-5D6E-409C-BE32-E72D297353CC}">
              <c16:uniqueId val="{00000016-97CD-4723-89C0-F772A9B0881D}"/>
            </c:ext>
          </c:extLst>
        </c:ser>
        <c:ser>
          <c:idx val="6"/>
          <c:order val="6"/>
          <c:tx>
            <c:strRef>
              <c:f>Commodities!$T$6</c:f>
              <c:strCache>
                <c:ptCount val="1"/>
                <c:pt idx="0">
                  <c:v>Сви производи</c:v>
                </c:pt>
              </c:strCache>
            </c:strRef>
          </c:tx>
          <c:spPr>
            <a:ln w="22225" cap="rnd">
              <a:solidFill>
                <a:srgbClr val="003891"/>
              </a:solidFill>
              <a:prstDash val="sysDash"/>
              <a:round/>
            </a:ln>
            <a:effectLst/>
          </c:spPr>
          <c:marker>
            <c:symbol val="none"/>
          </c:marker>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Commodities!$T$20:$T$117</c:f>
              <c:numCache>
                <c:formatCode>General</c:formatCode>
                <c:ptCount val="98"/>
                <c:pt idx="91" formatCode="0.0">
                  <c:v>241.3186</c:v>
                </c:pt>
                <c:pt idx="92" formatCode="0.0">
                  <c:v>232.42400000000001</c:v>
                </c:pt>
                <c:pt idx="93" formatCode="0.0">
                  <c:v>238.35319999999999</c:v>
                </c:pt>
                <c:pt idx="94" formatCode="0.0">
                  <c:v>235.27619999999999</c:v>
                </c:pt>
                <c:pt idx="95" formatCode="0.0">
                  <c:v>224.8065</c:v>
                </c:pt>
                <c:pt idx="96" formatCode="0.0">
                  <c:v>221.69370000000001</c:v>
                </c:pt>
                <c:pt idx="97" formatCode="0.0">
                  <c:v>219.41540000000001</c:v>
                </c:pt>
              </c:numCache>
            </c:numRef>
          </c:val>
          <c:smooth val="0"/>
          <c:extLst>
            <c:ext xmlns:c16="http://schemas.microsoft.com/office/drawing/2014/chart" uri="{C3380CC4-5D6E-409C-BE32-E72D297353CC}">
              <c16:uniqueId val="{00000017-97CD-4723-89C0-F772A9B0881D}"/>
            </c:ext>
          </c:extLst>
        </c:ser>
        <c:ser>
          <c:idx val="7"/>
          <c:order val="7"/>
          <c:tx>
            <c:strRef>
              <c:f>Commodities!$U$6</c:f>
              <c:strCache>
                <c:ptCount val="1"/>
                <c:pt idx="0">
                  <c:v>Основни метали</c:v>
                </c:pt>
              </c:strCache>
            </c:strRef>
          </c:tx>
          <c:spPr>
            <a:ln w="22225" cap="rnd">
              <a:solidFill>
                <a:srgbClr val="EC008C"/>
              </a:solidFill>
              <a:prstDash val="sysDash"/>
              <a:round/>
            </a:ln>
            <a:effectLst/>
          </c:spPr>
          <c:marker>
            <c:symbol val="none"/>
          </c:marker>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Commodities!$U$20:$U$117</c:f>
              <c:numCache>
                <c:formatCode>General</c:formatCode>
                <c:ptCount val="98"/>
                <c:pt idx="91" formatCode="0.0">
                  <c:v>174.7372</c:v>
                </c:pt>
                <c:pt idx="92" formatCode="0.0">
                  <c:v>172.6909</c:v>
                </c:pt>
                <c:pt idx="93" formatCode="0.0">
                  <c:v>171.02099999999999</c:v>
                </c:pt>
                <c:pt idx="94" formatCode="0.0">
                  <c:v>171.02680000000001</c:v>
                </c:pt>
                <c:pt idx="95" formatCode="0.0">
                  <c:v>170.8862</c:v>
                </c:pt>
                <c:pt idx="96" formatCode="0.0">
                  <c:v>170.77170000000001</c:v>
                </c:pt>
                <c:pt idx="97" formatCode="0.0">
                  <c:v>170.6875</c:v>
                </c:pt>
              </c:numCache>
            </c:numRef>
          </c:val>
          <c:smooth val="0"/>
          <c:extLst>
            <c:ext xmlns:c16="http://schemas.microsoft.com/office/drawing/2014/chart" uri="{C3380CC4-5D6E-409C-BE32-E72D297353CC}">
              <c16:uniqueId val="{00000018-97CD-4723-89C0-F772A9B0881D}"/>
            </c:ext>
          </c:extLst>
        </c:ser>
        <c:ser>
          <c:idx val="8"/>
          <c:order val="8"/>
          <c:tx>
            <c:strRef>
              <c:f>Commodities!$V$6</c:f>
              <c:strCache>
                <c:ptCount val="1"/>
                <c:pt idx="0">
                  <c:v>Храна</c:v>
                </c:pt>
              </c:strCache>
            </c:strRef>
          </c:tx>
          <c:spPr>
            <a:ln w="22225" cap="rnd">
              <a:solidFill>
                <a:srgbClr val="7F3F98"/>
              </a:solidFill>
              <a:prstDash val="sysDash"/>
              <a:round/>
            </a:ln>
            <a:effectLst/>
          </c:spPr>
          <c:marker>
            <c:symbol val="none"/>
          </c:marker>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Commodities!$V$20:$V$117</c:f>
              <c:numCache>
                <c:formatCode>General</c:formatCode>
                <c:ptCount val="98"/>
                <c:pt idx="91" formatCode="0.0">
                  <c:v>139.17509999999999</c:v>
                </c:pt>
                <c:pt idx="92" formatCode="0.0">
                  <c:v>139.8826</c:v>
                </c:pt>
                <c:pt idx="93" formatCode="0.0">
                  <c:v>136.369</c:v>
                </c:pt>
                <c:pt idx="94" formatCode="0.0">
                  <c:v>138.1575</c:v>
                </c:pt>
                <c:pt idx="95" formatCode="0.0">
                  <c:v>138.7936</c:v>
                </c:pt>
                <c:pt idx="96" formatCode="0.0">
                  <c:v>136.50470000000001</c:v>
                </c:pt>
                <c:pt idx="97" formatCode="0.0">
                  <c:v>134.82599999999999</c:v>
                </c:pt>
              </c:numCache>
            </c:numRef>
          </c:val>
          <c:smooth val="0"/>
          <c:extLst>
            <c:ext xmlns:c16="http://schemas.microsoft.com/office/drawing/2014/chart" uri="{C3380CC4-5D6E-409C-BE32-E72D297353CC}">
              <c16:uniqueId val="{00000019-97CD-4723-89C0-F772A9B0881D}"/>
            </c:ext>
          </c:extLst>
        </c:ser>
        <c:ser>
          <c:idx val="9"/>
          <c:order val="9"/>
          <c:tx>
            <c:strRef>
              <c:f>Commodities!$W$6</c:f>
              <c:strCache>
                <c:ptCount val="1"/>
                <c:pt idx="0">
                  <c:v>Енергија</c:v>
                </c:pt>
              </c:strCache>
            </c:strRef>
          </c:tx>
          <c:spPr>
            <a:ln w="22225" cap="rnd">
              <a:solidFill>
                <a:srgbClr val="00A651"/>
              </a:solidFill>
              <a:prstDash val="sysDash"/>
              <a:round/>
            </a:ln>
            <a:effectLst/>
          </c:spPr>
          <c:marker>
            <c:symbol val="none"/>
          </c:marker>
          <c:cat>
            <c:numRef>
              <c:f>Commodities!$I$20:$I$117</c:f>
              <c:numCache>
                <c:formatCode>yyyy</c:formatCode>
                <c:ptCount val="9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44834</c:v>
                </c:pt>
                <c:pt idx="93">
                  <c:v>44926</c:v>
                </c:pt>
                <c:pt idx="94">
                  <c:v>45016</c:v>
                </c:pt>
                <c:pt idx="95">
                  <c:v>45107</c:v>
                </c:pt>
                <c:pt idx="96">
                  <c:v>45199</c:v>
                </c:pt>
                <c:pt idx="97">
                  <c:v>45291</c:v>
                </c:pt>
              </c:numCache>
            </c:numRef>
          </c:cat>
          <c:val>
            <c:numRef>
              <c:f>Commodities!$W$20:$W$117</c:f>
              <c:numCache>
                <c:formatCode>General</c:formatCode>
                <c:ptCount val="98"/>
                <c:pt idx="91" formatCode="0.0">
                  <c:v>376.41210000000001</c:v>
                </c:pt>
                <c:pt idx="92" formatCode="0.0">
                  <c:v>354.9873</c:v>
                </c:pt>
                <c:pt idx="93" formatCode="0.0">
                  <c:v>371.72039999999998</c:v>
                </c:pt>
                <c:pt idx="94" formatCode="0.0">
                  <c:v>362.81459999999998</c:v>
                </c:pt>
                <c:pt idx="95" formatCode="0.0">
                  <c:v>336.52330000000001</c:v>
                </c:pt>
                <c:pt idx="96" formatCode="0.0">
                  <c:v>330.27159999999998</c:v>
                </c:pt>
                <c:pt idx="97" formatCode="0.0">
                  <c:v>325.95229999999998</c:v>
                </c:pt>
              </c:numCache>
            </c:numRef>
          </c:val>
          <c:smooth val="0"/>
          <c:extLst>
            <c:ext xmlns:c16="http://schemas.microsoft.com/office/drawing/2014/chart" uri="{C3380CC4-5D6E-409C-BE32-E72D297353CC}">
              <c16:uniqueId val="{0000001A-97CD-4723-89C0-F772A9B0881D}"/>
            </c:ext>
          </c:extLst>
        </c:ser>
        <c:dLbls>
          <c:showLegendKey val="0"/>
          <c:showVal val="0"/>
          <c:showCatName val="0"/>
          <c:showSerName val="0"/>
          <c:showPercent val="0"/>
          <c:showBubbleSize val="0"/>
        </c:dLbls>
        <c:smooth val="0"/>
        <c:axId val="1768785920"/>
        <c:axId val="1768787008"/>
      </c:lineChart>
      <c:dateAx>
        <c:axId val="176878592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787008"/>
        <c:crosses val="autoZero"/>
        <c:auto val="1"/>
        <c:lblOffset val="100"/>
        <c:baseTimeUnit val="months"/>
        <c:majorUnit val="12"/>
        <c:minorUnit val="1"/>
      </c:dateAx>
      <c:valAx>
        <c:axId val="1768787008"/>
        <c:scaling>
          <c:orientation val="minMax"/>
          <c:max val="400"/>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785920"/>
        <c:crosses val="autoZero"/>
        <c:crossBetween val="between"/>
        <c:majorUnit val="40"/>
      </c:valAx>
      <c:spPr>
        <a:noFill/>
        <a:ln>
          <a:noFill/>
        </a:ln>
        <a:effectLst/>
      </c:spPr>
    </c:plotArea>
    <c:legend>
      <c:legendPos val="b"/>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1174303732866725"/>
          <c:y val="0.8752442442442443"/>
          <c:w val="0.77902814231554385"/>
          <c:h val="0.1247557557557557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4.2497000239980799E-2"/>
          <c:w val="0.88461960155100949"/>
          <c:h val="0.84012087087087106"/>
        </c:manualLayout>
      </c:layout>
      <c:lineChart>
        <c:grouping val="standard"/>
        <c:varyColors val="0"/>
        <c:ser>
          <c:idx val="0"/>
          <c:order val="0"/>
          <c:tx>
            <c:strRef>
              <c:f>Usluge!$E$5</c:f>
              <c:strCache>
                <c:ptCount val="1"/>
                <c:pt idx="0">
                  <c:v>y</c:v>
                </c:pt>
              </c:strCache>
            </c:strRef>
          </c:tx>
          <c:spPr>
            <a:ln w="12700" cap="rnd">
              <a:solidFill>
                <a:srgbClr val="7F3F98"/>
              </a:solidFill>
              <a:prstDash val="sysDash"/>
              <a:round/>
            </a:ln>
            <a:effectLst/>
          </c:spPr>
          <c:marker>
            <c:symbol val="none"/>
          </c:marker>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Usluge!$E$126:$E$170</c:f>
              <c:numCache>
                <c:formatCode>0.0</c:formatCode>
                <c:ptCount val="45"/>
                <c:pt idx="0">
                  <c:v>72.719050311000004</c:v>
                </c:pt>
                <c:pt idx="1">
                  <c:v>70.955342001000005</c:v>
                </c:pt>
                <c:pt idx="2">
                  <c:v>82.351611079999998</c:v>
                </c:pt>
                <c:pt idx="3">
                  <c:v>84.929338608999998</c:v>
                </c:pt>
                <c:pt idx="4">
                  <c:v>84.997173544000006</c:v>
                </c:pt>
                <c:pt idx="5">
                  <c:v>87.303561333999994</c:v>
                </c:pt>
                <c:pt idx="6">
                  <c:v>90.423968344000002</c:v>
                </c:pt>
                <c:pt idx="7">
                  <c:v>92.662521197999993</c:v>
                </c:pt>
                <c:pt idx="8">
                  <c:v>88.117580554</c:v>
                </c:pt>
                <c:pt idx="9">
                  <c:v>94.358394572999998</c:v>
                </c:pt>
                <c:pt idx="10">
                  <c:v>91.916336913999999</c:v>
                </c:pt>
                <c:pt idx="11">
                  <c:v>101.006218202</c:v>
                </c:pt>
                <c:pt idx="12">
                  <c:v>81.266252120000004</c:v>
                </c:pt>
                <c:pt idx="13">
                  <c:v>80.520067835000006</c:v>
                </c:pt>
                <c:pt idx="14">
                  <c:v>86.760881854000004</c:v>
                </c:pt>
                <c:pt idx="15">
                  <c:v>70.073487846000006</c:v>
                </c:pt>
                <c:pt idx="16">
                  <c:v>89.406444319000002</c:v>
                </c:pt>
                <c:pt idx="17">
                  <c:v>97.478801583000006</c:v>
                </c:pt>
                <c:pt idx="18">
                  <c:v>95.036743923000003</c:v>
                </c:pt>
                <c:pt idx="19">
                  <c:v>97.071791973000003</c:v>
                </c:pt>
                <c:pt idx="20">
                  <c:v>95.375918597999998</c:v>
                </c:pt>
                <c:pt idx="21">
                  <c:v>100.531373657</c:v>
                </c:pt>
                <c:pt idx="22">
                  <c:v>93.612210288</c:v>
                </c:pt>
                <c:pt idx="23">
                  <c:v>101.95590729200001</c:v>
                </c:pt>
                <c:pt idx="24">
                  <c:v>84.793668738999997</c:v>
                </c:pt>
                <c:pt idx="25">
                  <c:v>83.504804974999999</c:v>
                </c:pt>
                <c:pt idx="26">
                  <c:v>92.391181458000005</c:v>
                </c:pt>
                <c:pt idx="27">
                  <c:v>100.32786885199999</c:v>
                </c:pt>
                <c:pt idx="28">
                  <c:v>100.734878462</c:v>
                </c:pt>
                <c:pt idx="29">
                  <c:v>103.651780667</c:v>
                </c:pt>
                <c:pt idx="30">
                  <c:v>106.229508197</c:v>
                </c:pt>
                <c:pt idx="31">
                  <c:v>105.211984172</c:v>
                </c:pt>
                <c:pt idx="32">
                  <c:v>100.32786885199999</c:v>
                </c:pt>
                <c:pt idx="33">
                  <c:v>105.415488977</c:v>
                </c:pt>
                <c:pt idx="34">
                  <c:v>103.651780667</c:v>
                </c:pt>
                <c:pt idx="35">
                  <c:v>113.759185981</c:v>
                </c:pt>
                <c:pt idx="36">
                  <c:v>89.067269644000007</c:v>
                </c:pt>
                <c:pt idx="37">
                  <c:v>90.627473148999997</c:v>
                </c:pt>
                <c:pt idx="38">
                  <c:v>109.689089881</c:v>
                </c:pt>
                <c:pt idx="39">
                  <c:v>107.518371962</c:v>
                </c:pt>
                <c:pt idx="40">
                  <c:v>107.654041832</c:v>
                </c:pt>
                <c:pt idx="41">
                  <c:v>108.671565856</c:v>
                </c:pt>
                <c:pt idx="42">
                  <c:v>110.50310910100001</c:v>
                </c:pt>
                <c:pt idx="43">
                  <c:v>110.028264556</c:v>
                </c:pt>
                <c:pt idx="44">
                  <c:v>105.551158847</c:v>
                </c:pt>
              </c:numCache>
            </c:numRef>
          </c:val>
          <c:smooth val="0"/>
          <c:extLst>
            <c:ext xmlns:c16="http://schemas.microsoft.com/office/drawing/2014/chart" uri="{C3380CC4-5D6E-409C-BE32-E72D297353CC}">
              <c16:uniqueId val="{00000000-7BD0-48C5-9E85-4315878FCDCE}"/>
            </c:ext>
          </c:extLst>
        </c:ser>
        <c:ser>
          <c:idx val="1"/>
          <c:order val="1"/>
          <c:tx>
            <c:strRef>
              <c:f>Usluge!$F$5</c:f>
              <c:strCache>
                <c:ptCount val="1"/>
                <c:pt idx="0">
                  <c:v>sa</c:v>
                </c:pt>
              </c:strCache>
            </c:strRef>
          </c:tx>
          <c:spPr>
            <a:ln w="22225" cap="rnd">
              <a:solidFill>
                <a:srgbClr val="25AAE1"/>
              </a:solidFill>
              <a:round/>
            </a:ln>
            <a:effectLst/>
          </c:spPr>
          <c:marker>
            <c:symbol val="none"/>
          </c:marker>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Usluge!$F$126:$F$170</c:f>
              <c:numCache>
                <c:formatCode>0.0</c:formatCode>
                <c:ptCount val="45"/>
                <c:pt idx="0">
                  <c:v>82.961316449999998</c:v>
                </c:pt>
                <c:pt idx="1">
                  <c:v>83.604281869000005</c:v>
                </c:pt>
                <c:pt idx="2">
                  <c:v>85.512139922000003</c:v>
                </c:pt>
                <c:pt idx="3">
                  <c:v>83.863497770999999</c:v>
                </c:pt>
                <c:pt idx="4">
                  <c:v>84.312378616000004</c:v>
                </c:pt>
                <c:pt idx="5">
                  <c:v>85.994956701999996</c:v>
                </c:pt>
                <c:pt idx="6">
                  <c:v>86.861335541000003</c:v>
                </c:pt>
                <c:pt idx="7">
                  <c:v>87.138081710999998</c:v>
                </c:pt>
                <c:pt idx="8">
                  <c:v>88.494224642000006</c:v>
                </c:pt>
                <c:pt idx="9">
                  <c:v>89.449871904000005</c:v>
                </c:pt>
                <c:pt idx="10">
                  <c:v>90.830078864000001</c:v>
                </c:pt>
                <c:pt idx="11">
                  <c:v>92.140673174</c:v>
                </c:pt>
                <c:pt idx="12">
                  <c:v>92.358892163999997</c:v>
                </c:pt>
                <c:pt idx="13">
                  <c:v>92.020367684999997</c:v>
                </c:pt>
                <c:pt idx="14">
                  <c:v>90.315621872999998</c:v>
                </c:pt>
                <c:pt idx="15">
                  <c:v>69.289141954000002</c:v>
                </c:pt>
                <c:pt idx="16">
                  <c:v>89.171920197999995</c:v>
                </c:pt>
                <c:pt idx="17">
                  <c:v>95.106734082000003</c:v>
                </c:pt>
                <c:pt idx="18">
                  <c:v>91.234632731999994</c:v>
                </c:pt>
                <c:pt idx="19">
                  <c:v>92.735078442000002</c:v>
                </c:pt>
                <c:pt idx="20">
                  <c:v>95.026483701999993</c:v>
                </c:pt>
                <c:pt idx="21">
                  <c:v>94.907227168000006</c:v>
                </c:pt>
                <c:pt idx="22">
                  <c:v>94.206313952000002</c:v>
                </c:pt>
                <c:pt idx="23">
                  <c:v>92.178880340000006</c:v>
                </c:pt>
                <c:pt idx="24">
                  <c:v>96.943721449999998</c:v>
                </c:pt>
                <c:pt idx="25">
                  <c:v>97.402840987999994</c:v>
                </c:pt>
                <c:pt idx="26">
                  <c:v>95.020506517000001</c:v>
                </c:pt>
                <c:pt idx="27">
                  <c:v>99.331079223000003</c:v>
                </c:pt>
                <c:pt idx="28">
                  <c:v>100.614756396</c:v>
                </c:pt>
                <c:pt idx="29">
                  <c:v>101.077877898</c:v>
                </c:pt>
                <c:pt idx="30">
                  <c:v>101.14654879699999</c:v>
                </c:pt>
                <c:pt idx="31">
                  <c:v>101.403885714</c:v>
                </c:pt>
                <c:pt idx="32">
                  <c:v>100.06615359</c:v>
                </c:pt>
                <c:pt idx="33">
                  <c:v>100.992958622</c:v>
                </c:pt>
                <c:pt idx="34">
                  <c:v>103.088470716</c:v>
                </c:pt>
                <c:pt idx="35">
                  <c:v>103.10623944300001</c:v>
                </c:pt>
                <c:pt idx="36">
                  <c:v>102.428072026</c:v>
                </c:pt>
                <c:pt idx="37">
                  <c:v>105.480105303</c:v>
                </c:pt>
                <c:pt idx="38">
                  <c:v>112.35434619</c:v>
                </c:pt>
                <c:pt idx="39">
                  <c:v>105.486061693</c:v>
                </c:pt>
                <c:pt idx="40">
                  <c:v>106.423089284</c:v>
                </c:pt>
                <c:pt idx="41">
                  <c:v>105.753487318</c:v>
                </c:pt>
                <c:pt idx="42">
                  <c:v>106.503638572</c:v>
                </c:pt>
                <c:pt idx="43">
                  <c:v>105.108276241</c:v>
                </c:pt>
                <c:pt idx="44">
                  <c:v>105.455799641</c:v>
                </c:pt>
              </c:numCache>
            </c:numRef>
          </c:val>
          <c:smooth val="0"/>
          <c:extLst>
            <c:ext xmlns:c16="http://schemas.microsoft.com/office/drawing/2014/chart" uri="{C3380CC4-5D6E-409C-BE32-E72D297353CC}">
              <c16:uniqueId val="{00000001-7BD0-48C5-9E85-4315878FCDCE}"/>
            </c:ext>
          </c:extLst>
        </c:ser>
        <c:ser>
          <c:idx val="2"/>
          <c:order val="2"/>
          <c:tx>
            <c:strRef>
              <c:f>Usluge!$G$5</c:f>
              <c:strCache>
                <c:ptCount val="1"/>
                <c:pt idx="0">
                  <c:v>t</c:v>
                </c:pt>
              </c:strCache>
            </c:strRef>
          </c:tx>
          <c:spPr>
            <a:ln w="25400" cap="rnd">
              <a:solidFill>
                <a:srgbClr val="FF0000"/>
              </a:solidFill>
              <a:round/>
            </a:ln>
            <a:effectLst/>
          </c:spPr>
          <c:marker>
            <c:symbol val="none"/>
          </c:marker>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Usluge!$G$126:$G$170</c:f>
              <c:numCache>
                <c:formatCode>0.0</c:formatCode>
                <c:ptCount val="45"/>
                <c:pt idx="0">
                  <c:v>82.528596936</c:v>
                </c:pt>
                <c:pt idx="1">
                  <c:v>83.273037551000002</c:v>
                </c:pt>
                <c:pt idx="2">
                  <c:v>83.994381035999993</c:v>
                </c:pt>
                <c:pt idx="3">
                  <c:v>84.612985781999996</c:v>
                </c:pt>
                <c:pt idx="4">
                  <c:v>85.159573730000005</c:v>
                </c:pt>
                <c:pt idx="5">
                  <c:v>85.743263562999999</c:v>
                </c:pt>
                <c:pt idx="6">
                  <c:v>86.485900580000006</c:v>
                </c:pt>
                <c:pt idx="7">
                  <c:v>87.473699525000001</c:v>
                </c:pt>
                <c:pt idx="8">
                  <c:v>88.641433562000003</c:v>
                </c:pt>
                <c:pt idx="9">
                  <c:v>89.817236092000002</c:v>
                </c:pt>
                <c:pt idx="10">
                  <c:v>90.801261478000001</c:v>
                </c:pt>
                <c:pt idx="11">
                  <c:v>91.460535778999997</c:v>
                </c:pt>
                <c:pt idx="12">
                  <c:v>91.720552235</c:v>
                </c:pt>
                <c:pt idx="13">
                  <c:v>91.590018341000004</c:v>
                </c:pt>
                <c:pt idx="14">
                  <c:v>91.211017072999994</c:v>
                </c:pt>
                <c:pt idx="15">
                  <c:v>90.872817780000005</c:v>
                </c:pt>
                <c:pt idx="16">
                  <c:v>90.858678760000004</c:v>
                </c:pt>
                <c:pt idx="17">
                  <c:v>91.282491128000004</c:v>
                </c:pt>
                <c:pt idx="18">
                  <c:v>92.019178608000004</c:v>
                </c:pt>
                <c:pt idx="19">
                  <c:v>92.869883168000001</c:v>
                </c:pt>
                <c:pt idx="20">
                  <c:v>93.689684123000006</c:v>
                </c:pt>
                <c:pt idx="21">
                  <c:v>94.406329111000005</c:v>
                </c:pt>
                <c:pt idx="22">
                  <c:v>95.042710278000001</c:v>
                </c:pt>
                <c:pt idx="23">
                  <c:v>95.667145341999998</c:v>
                </c:pt>
                <c:pt idx="24">
                  <c:v>96.401582465000004</c:v>
                </c:pt>
                <c:pt idx="25">
                  <c:v>97.295512524000003</c:v>
                </c:pt>
                <c:pt idx="26">
                  <c:v>98.353896923999997</c:v>
                </c:pt>
                <c:pt idx="27">
                  <c:v>99.390990278999993</c:v>
                </c:pt>
                <c:pt idx="28">
                  <c:v>100.167032968</c:v>
                </c:pt>
                <c:pt idx="29">
                  <c:v>100.641153045</c:v>
                </c:pt>
                <c:pt idx="30">
                  <c:v>100.912943157</c:v>
                </c:pt>
                <c:pt idx="31">
                  <c:v>101.062494722</c:v>
                </c:pt>
                <c:pt idx="32">
                  <c:v>101.230526916</c:v>
                </c:pt>
                <c:pt idx="33">
                  <c:v>101.597441424</c:v>
                </c:pt>
                <c:pt idx="34">
                  <c:v>102.22408610700001</c:v>
                </c:pt>
                <c:pt idx="35">
                  <c:v>103.052795621</c:v>
                </c:pt>
                <c:pt idx="36">
                  <c:v>103.92973055900001</c:v>
                </c:pt>
                <c:pt idx="37">
                  <c:v>104.737576324</c:v>
                </c:pt>
                <c:pt idx="38">
                  <c:v>105.37242745</c:v>
                </c:pt>
                <c:pt idx="39">
                  <c:v>105.774263221</c:v>
                </c:pt>
                <c:pt idx="40">
                  <c:v>105.96601320400001</c:v>
                </c:pt>
                <c:pt idx="41">
                  <c:v>105.973691316</c:v>
                </c:pt>
                <c:pt idx="42">
                  <c:v>105.87127854000001</c:v>
                </c:pt>
                <c:pt idx="43">
                  <c:v>105.79470056700001</c:v>
                </c:pt>
                <c:pt idx="44">
                  <c:v>105.788757057</c:v>
                </c:pt>
              </c:numCache>
            </c:numRef>
          </c:val>
          <c:smooth val="0"/>
          <c:extLst>
            <c:ext xmlns:c16="http://schemas.microsoft.com/office/drawing/2014/chart" uri="{C3380CC4-5D6E-409C-BE32-E72D297353CC}">
              <c16:uniqueId val="{00000002-7BD0-48C5-9E85-4315878FCDCE}"/>
            </c:ext>
          </c:extLst>
        </c:ser>
        <c:ser>
          <c:idx val="3"/>
          <c:order val="3"/>
          <c:tx>
            <c:strRef>
              <c:f>Usluge!$H$5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5.881928326318478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D0-48C5-9E85-4315878FCDCE}"/>
                </c:ext>
              </c:extLst>
            </c:dLbl>
            <c:dLbl>
              <c:idx val="12"/>
              <c:layout>
                <c:manualLayout>
                  <c:x val="5.8729399646851088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D0-48C5-9E85-4315878FCDCE}"/>
                </c:ext>
              </c:extLst>
            </c:dLbl>
            <c:dLbl>
              <c:idx val="24"/>
              <c:layout>
                <c:manualLayout>
                  <c:x val="6.2273729274712177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D0-48C5-9E85-4315878FCDCE}"/>
                </c:ext>
              </c:extLst>
            </c:dLbl>
            <c:dLbl>
              <c:idx val="36"/>
              <c:layout>
                <c:manualLayout>
                  <c:x val="2.184414805601503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BD0-48C5-9E85-4315878FCDCE}"/>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Usluge!$H$126:$H$170</c:f>
              <c:numCache>
                <c:formatCode>General</c:formatCode>
                <c:ptCount val="45"/>
                <c:pt idx="0">
                  <c:v>60</c:v>
                </c:pt>
                <c:pt idx="12">
                  <c:v>60</c:v>
                </c:pt>
                <c:pt idx="24">
                  <c:v>60</c:v>
                </c:pt>
                <c:pt idx="36">
                  <c:v>60</c:v>
                </c:pt>
              </c:numCache>
            </c:numRef>
          </c:val>
          <c:smooth val="0"/>
          <c:extLst>
            <c:ext xmlns:c16="http://schemas.microsoft.com/office/drawing/2014/chart" uri="{C3380CC4-5D6E-409C-BE32-E72D297353CC}">
              <c16:uniqueId val="{00000007-7BD0-48C5-9E85-4315878FCDCE}"/>
            </c:ext>
          </c:extLst>
        </c:ser>
        <c:ser>
          <c:idx val="4"/>
          <c:order val="4"/>
          <c:tx>
            <c:strRef>
              <c:f>Usluge!$I$5</c:f>
              <c:strCache>
                <c:ptCount val="1"/>
                <c:pt idx="0">
                  <c:v>Series5</c:v>
                </c:pt>
              </c:strCache>
            </c:strRef>
          </c:tx>
          <c:spPr>
            <a:ln w="28575" cap="rnd">
              <a:noFill/>
              <a:round/>
            </a:ln>
            <a:effectLst/>
          </c:spPr>
          <c:marker>
            <c:symbol val="none"/>
          </c:marker>
          <c:dLbls>
            <c:dLbl>
              <c:idx val="0"/>
              <c:tx>
                <c:rich>
                  <a:bodyPr/>
                  <a:lstStyle/>
                  <a:p>
                    <a:fld id="{36E4F115-B765-4A3B-8D24-C1D029699CE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7BD0-48C5-9E85-4315878FCDCE}"/>
                </c:ext>
              </c:extLst>
            </c:dLbl>
            <c:dLbl>
              <c:idx val="1"/>
              <c:tx>
                <c:rich>
                  <a:bodyPr/>
                  <a:lstStyle/>
                  <a:p>
                    <a:fld id="{D1A5B5A5-5064-4D88-B0C7-7B9F0235C42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7BD0-48C5-9E85-4315878FCDCE}"/>
                </c:ext>
              </c:extLst>
            </c:dLbl>
            <c:dLbl>
              <c:idx val="2"/>
              <c:tx>
                <c:rich>
                  <a:bodyPr/>
                  <a:lstStyle/>
                  <a:p>
                    <a:fld id="{C0584519-76F7-44D3-B784-79020635A38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7BD0-48C5-9E85-4315878FCDCE}"/>
                </c:ext>
              </c:extLst>
            </c:dLbl>
            <c:dLbl>
              <c:idx val="3"/>
              <c:tx>
                <c:rich>
                  <a:bodyPr/>
                  <a:lstStyle/>
                  <a:p>
                    <a:fld id="{54973717-ECCB-454D-A36E-2BDF0F18B08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7BD0-48C5-9E85-4315878FCDCE}"/>
                </c:ext>
              </c:extLst>
            </c:dLbl>
            <c:dLbl>
              <c:idx val="4"/>
              <c:tx>
                <c:rich>
                  <a:bodyPr/>
                  <a:lstStyle/>
                  <a:p>
                    <a:fld id="{97284A85-92CD-4D74-B922-2FDA8E07542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7BD0-48C5-9E85-4315878FCDCE}"/>
                </c:ext>
              </c:extLst>
            </c:dLbl>
            <c:dLbl>
              <c:idx val="5"/>
              <c:tx>
                <c:rich>
                  <a:bodyPr/>
                  <a:lstStyle/>
                  <a:p>
                    <a:fld id="{2C9361D7-3333-4F00-AF36-1E4BC66AE6C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7BD0-48C5-9E85-4315878FCDCE}"/>
                </c:ext>
              </c:extLst>
            </c:dLbl>
            <c:dLbl>
              <c:idx val="6"/>
              <c:tx>
                <c:rich>
                  <a:bodyPr/>
                  <a:lstStyle/>
                  <a:p>
                    <a:fld id="{15CE7BA3-125A-47CE-AFF0-CBBDAB55A62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7BD0-48C5-9E85-4315878FCDCE}"/>
                </c:ext>
              </c:extLst>
            </c:dLbl>
            <c:dLbl>
              <c:idx val="7"/>
              <c:tx>
                <c:rich>
                  <a:bodyPr/>
                  <a:lstStyle/>
                  <a:p>
                    <a:fld id="{0B117ACD-536B-4F78-8569-A763B127EA9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7BD0-48C5-9E85-4315878FCDCE}"/>
                </c:ext>
              </c:extLst>
            </c:dLbl>
            <c:dLbl>
              <c:idx val="8"/>
              <c:tx>
                <c:rich>
                  <a:bodyPr/>
                  <a:lstStyle/>
                  <a:p>
                    <a:fld id="{499077FF-A4C3-49FE-A776-166B411D3C5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7BD0-48C5-9E85-4315878FCDCE}"/>
                </c:ext>
              </c:extLst>
            </c:dLbl>
            <c:dLbl>
              <c:idx val="9"/>
              <c:tx>
                <c:rich>
                  <a:bodyPr/>
                  <a:lstStyle/>
                  <a:p>
                    <a:fld id="{74AECD67-27F4-4244-8407-64E3406907E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7BD0-48C5-9E85-4315878FCDCE}"/>
                </c:ext>
              </c:extLst>
            </c:dLbl>
            <c:dLbl>
              <c:idx val="10"/>
              <c:tx>
                <c:rich>
                  <a:bodyPr/>
                  <a:lstStyle/>
                  <a:p>
                    <a:fld id="{4767F140-EF94-416E-B053-EA5637D3ED9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7BD0-48C5-9E85-4315878FCDCE}"/>
                </c:ext>
              </c:extLst>
            </c:dLbl>
            <c:dLbl>
              <c:idx val="11"/>
              <c:tx>
                <c:rich>
                  <a:bodyPr/>
                  <a:lstStyle/>
                  <a:p>
                    <a:fld id="{2642DD52-5B05-46B8-9932-A1A1A76E4D8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7BD0-48C5-9E85-4315878FCDCE}"/>
                </c:ext>
              </c:extLst>
            </c:dLbl>
            <c:dLbl>
              <c:idx val="12"/>
              <c:tx>
                <c:rich>
                  <a:bodyPr/>
                  <a:lstStyle/>
                  <a:p>
                    <a:fld id="{EA5DCA55-B47F-428E-AD32-4F8856CC2E9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7BD0-48C5-9E85-4315878FCDCE}"/>
                </c:ext>
              </c:extLst>
            </c:dLbl>
            <c:dLbl>
              <c:idx val="13"/>
              <c:tx>
                <c:rich>
                  <a:bodyPr/>
                  <a:lstStyle/>
                  <a:p>
                    <a:fld id="{D40803FE-A0F3-4A79-80D1-6E3F20DB708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7BD0-48C5-9E85-4315878FCDCE}"/>
                </c:ext>
              </c:extLst>
            </c:dLbl>
            <c:dLbl>
              <c:idx val="14"/>
              <c:tx>
                <c:rich>
                  <a:bodyPr/>
                  <a:lstStyle/>
                  <a:p>
                    <a:fld id="{665605C8-B74A-402D-91F4-0D670DFD949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7BD0-48C5-9E85-4315878FCDCE}"/>
                </c:ext>
              </c:extLst>
            </c:dLbl>
            <c:dLbl>
              <c:idx val="15"/>
              <c:tx>
                <c:rich>
                  <a:bodyPr/>
                  <a:lstStyle/>
                  <a:p>
                    <a:fld id="{61E69D37-8CD8-4B9F-8208-FFE5AFC119F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7BD0-48C5-9E85-4315878FCDCE}"/>
                </c:ext>
              </c:extLst>
            </c:dLbl>
            <c:dLbl>
              <c:idx val="16"/>
              <c:tx>
                <c:rich>
                  <a:bodyPr/>
                  <a:lstStyle/>
                  <a:p>
                    <a:fld id="{5300093F-06DD-4F3A-9EB1-6CB73402569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7BD0-48C5-9E85-4315878FCDCE}"/>
                </c:ext>
              </c:extLst>
            </c:dLbl>
            <c:dLbl>
              <c:idx val="17"/>
              <c:tx>
                <c:rich>
                  <a:bodyPr/>
                  <a:lstStyle/>
                  <a:p>
                    <a:fld id="{E9E755BF-2609-40EA-A833-6921DB42F7D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7BD0-48C5-9E85-4315878FCDCE}"/>
                </c:ext>
              </c:extLst>
            </c:dLbl>
            <c:dLbl>
              <c:idx val="18"/>
              <c:tx>
                <c:rich>
                  <a:bodyPr/>
                  <a:lstStyle/>
                  <a:p>
                    <a:fld id="{BE8FF39C-C729-4084-86D4-67E3EDEB3CD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7BD0-48C5-9E85-4315878FCDCE}"/>
                </c:ext>
              </c:extLst>
            </c:dLbl>
            <c:dLbl>
              <c:idx val="19"/>
              <c:tx>
                <c:rich>
                  <a:bodyPr/>
                  <a:lstStyle/>
                  <a:p>
                    <a:fld id="{39F19B9A-9C97-495B-B1B2-4FAC0137F51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7BD0-48C5-9E85-4315878FCDCE}"/>
                </c:ext>
              </c:extLst>
            </c:dLbl>
            <c:dLbl>
              <c:idx val="20"/>
              <c:tx>
                <c:rich>
                  <a:bodyPr/>
                  <a:lstStyle/>
                  <a:p>
                    <a:fld id="{D3B00495-CA0D-47B2-A59C-360FF330176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7BD0-48C5-9E85-4315878FCDCE}"/>
                </c:ext>
              </c:extLst>
            </c:dLbl>
            <c:dLbl>
              <c:idx val="21"/>
              <c:tx>
                <c:rich>
                  <a:bodyPr/>
                  <a:lstStyle/>
                  <a:p>
                    <a:fld id="{0F7AA129-77DF-44B2-9B68-77FE5CCC43F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7BD0-48C5-9E85-4315878FCDCE}"/>
                </c:ext>
              </c:extLst>
            </c:dLbl>
            <c:dLbl>
              <c:idx val="22"/>
              <c:tx>
                <c:rich>
                  <a:bodyPr/>
                  <a:lstStyle/>
                  <a:p>
                    <a:fld id="{28318249-F1E6-4BA3-B1D9-0D4CAA3107C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7BD0-48C5-9E85-4315878FCDCE}"/>
                </c:ext>
              </c:extLst>
            </c:dLbl>
            <c:dLbl>
              <c:idx val="23"/>
              <c:tx>
                <c:rich>
                  <a:bodyPr/>
                  <a:lstStyle/>
                  <a:p>
                    <a:fld id="{9EC2E5BD-BC0D-4033-BB9C-D63CDA10F75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7BD0-48C5-9E85-4315878FCDCE}"/>
                </c:ext>
              </c:extLst>
            </c:dLbl>
            <c:dLbl>
              <c:idx val="24"/>
              <c:tx>
                <c:rich>
                  <a:bodyPr/>
                  <a:lstStyle/>
                  <a:p>
                    <a:fld id="{196A57EB-5C1C-4358-AE10-AC296538BF1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7BD0-48C5-9E85-4315878FCDCE}"/>
                </c:ext>
              </c:extLst>
            </c:dLbl>
            <c:dLbl>
              <c:idx val="25"/>
              <c:tx>
                <c:rich>
                  <a:bodyPr/>
                  <a:lstStyle/>
                  <a:p>
                    <a:fld id="{10229D86-6BBB-4DE6-A43D-C7561E9BC0B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7BD0-48C5-9E85-4315878FCDCE}"/>
                </c:ext>
              </c:extLst>
            </c:dLbl>
            <c:dLbl>
              <c:idx val="26"/>
              <c:tx>
                <c:rich>
                  <a:bodyPr/>
                  <a:lstStyle/>
                  <a:p>
                    <a:fld id="{360130D4-D878-4759-A4E0-D68EEE2A6A3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7BD0-48C5-9E85-4315878FCDCE}"/>
                </c:ext>
              </c:extLst>
            </c:dLbl>
            <c:dLbl>
              <c:idx val="27"/>
              <c:tx>
                <c:rich>
                  <a:bodyPr/>
                  <a:lstStyle/>
                  <a:p>
                    <a:fld id="{4B373DB6-F7F4-4608-AC9D-E1D1F6DF630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7BD0-48C5-9E85-4315878FCDCE}"/>
                </c:ext>
              </c:extLst>
            </c:dLbl>
            <c:dLbl>
              <c:idx val="28"/>
              <c:tx>
                <c:rich>
                  <a:bodyPr/>
                  <a:lstStyle/>
                  <a:p>
                    <a:fld id="{8F8310F1-F8D0-4306-970F-AA8ED5AEFE6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7BD0-48C5-9E85-4315878FCDCE}"/>
                </c:ext>
              </c:extLst>
            </c:dLbl>
            <c:dLbl>
              <c:idx val="29"/>
              <c:tx>
                <c:rich>
                  <a:bodyPr/>
                  <a:lstStyle/>
                  <a:p>
                    <a:fld id="{1D31D742-EAAB-47BB-A009-C0779595CA2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7BD0-48C5-9E85-4315878FCDCE}"/>
                </c:ext>
              </c:extLst>
            </c:dLbl>
            <c:dLbl>
              <c:idx val="30"/>
              <c:tx>
                <c:rich>
                  <a:bodyPr/>
                  <a:lstStyle/>
                  <a:p>
                    <a:fld id="{94807212-E470-4D63-90D2-9FE09CD8433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7BD0-48C5-9E85-4315878FCDCE}"/>
                </c:ext>
              </c:extLst>
            </c:dLbl>
            <c:dLbl>
              <c:idx val="31"/>
              <c:tx>
                <c:rich>
                  <a:bodyPr/>
                  <a:lstStyle/>
                  <a:p>
                    <a:fld id="{11605DDF-FCFF-485F-96A8-AC3FFF33D0C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7BD0-48C5-9E85-4315878FCDCE}"/>
                </c:ext>
              </c:extLst>
            </c:dLbl>
            <c:dLbl>
              <c:idx val="32"/>
              <c:tx>
                <c:rich>
                  <a:bodyPr/>
                  <a:lstStyle/>
                  <a:p>
                    <a:fld id="{F9940A0B-3775-40A6-9D1F-0701D7C9B99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7BD0-48C5-9E85-4315878FCDCE}"/>
                </c:ext>
              </c:extLst>
            </c:dLbl>
            <c:dLbl>
              <c:idx val="33"/>
              <c:tx>
                <c:rich>
                  <a:bodyPr/>
                  <a:lstStyle/>
                  <a:p>
                    <a:fld id="{4BAE3F7A-E9DF-4584-AB86-343ECA00660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7BD0-48C5-9E85-4315878FCDCE}"/>
                </c:ext>
              </c:extLst>
            </c:dLbl>
            <c:dLbl>
              <c:idx val="34"/>
              <c:tx>
                <c:rich>
                  <a:bodyPr/>
                  <a:lstStyle/>
                  <a:p>
                    <a:fld id="{91FEB27A-4069-43A9-A213-593188009A9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7BD0-48C5-9E85-4315878FCDCE}"/>
                </c:ext>
              </c:extLst>
            </c:dLbl>
            <c:dLbl>
              <c:idx val="35"/>
              <c:tx>
                <c:rich>
                  <a:bodyPr/>
                  <a:lstStyle/>
                  <a:p>
                    <a:fld id="{64718D46-1081-4A89-8AE8-55E455B4AA9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7BD0-48C5-9E85-4315878FCDCE}"/>
                </c:ext>
              </c:extLst>
            </c:dLbl>
            <c:dLbl>
              <c:idx val="36"/>
              <c:tx>
                <c:rich>
                  <a:bodyPr/>
                  <a:lstStyle/>
                  <a:p>
                    <a:fld id="{F326DACE-73FC-416A-9911-00D8DBFBBEB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7BD0-48C5-9E85-4315878FCDCE}"/>
                </c:ext>
              </c:extLst>
            </c:dLbl>
            <c:dLbl>
              <c:idx val="37"/>
              <c:tx>
                <c:rich>
                  <a:bodyPr/>
                  <a:lstStyle/>
                  <a:p>
                    <a:fld id="{B3857BBA-EBE8-4181-B3F9-980FBC568A6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7BD0-48C5-9E85-4315878FCDCE}"/>
                </c:ext>
              </c:extLst>
            </c:dLbl>
            <c:dLbl>
              <c:idx val="38"/>
              <c:tx>
                <c:rich>
                  <a:bodyPr/>
                  <a:lstStyle/>
                  <a:p>
                    <a:fld id="{BF7DAE94-0DA6-40BD-98CD-A9D57E02765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7BD0-48C5-9E85-4315878FCDCE}"/>
                </c:ext>
              </c:extLst>
            </c:dLbl>
            <c:dLbl>
              <c:idx val="39"/>
              <c:tx>
                <c:rich>
                  <a:bodyPr/>
                  <a:lstStyle/>
                  <a:p>
                    <a:fld id="{20CD1BB6-7E81-4BCB-AA15-7E44BBE3CA9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7BD0-48C5-9E85-4315878FCDCE}"/>
                </c:ext>
              </c:extLst>
            </c:dLbl>
            <c:dLbl>
              <c:idx val="40"/>
              <c:tx>
                <c:rich>
                  <a:bodyPr/>
                  <a:lstStyle/>
                  <a:p>
                    <a:fld id="{B3FF06CE-FCFC-42BD-B8D0-CCBB5EB9F5A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7BD0-48C5-9E85-4315878FCDCE}"/>
                </c:ext>
              </c:extLst>
            </c:dLbl>
            <c:dLbl>
              <c:idx val="41"/>
              <c:tx>
                <c:rich>
                  <a:bodyPr/>
                  <a:lstStyle/>
                  <a:p>
                    <a:fld id="{B7992458-76BD-41D9-9A82-D445F47D6C9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7BD0-48C5-9E85-4315878FCDCE}"/>
                </c:ext>
              </c:extLst>
            </c:dLbl>
            <c:dLbl>
              <c:idx val="42"/>
              <c:tx>
                <c:rich>
                  <a:bodyPr/>
                  <a:lstStyle/>
                  <a:p>
                    <a:fld id="{0F5E84AF-E31A-497E-9F7B-11948AB648B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2-7BD0-48C5-9E85-4315878FCDCE}"/>
                </c:ext>
              </c:extLst>
            </c:dLbl>
            <c:dLbl>
              <c:idx val="43"/>
              <c:tx>
                <c:rich>
                  <a:bodyPr/>
                  <a:lstStyle/>
                  <a:p>
                    <a:fld id="{35B7E0DF-8512-40A8-9492-BD61454A506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3-7BD0-48C5-9E85-4315878FCDCE}"/>
                </c:ext>
              </c:extLst>
            </c:dLbl>
            <c:dLbl>
              <c:idx val="44"/>
              <c:tx>
                <c:rich>
                  <a:bodyPr/>
                  <a:lstStyle/>
                  <a:p>
                    <a:fld id="{72E53BDA-840D-486D-9338-04559405542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4-7BD0-48C5-9E85-4315878FCDCE}"/>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Usluge!$I$126:$I$170</c:f>
              <c:numCache>
                <c:formatCode>General</c:formatCode>
                <c:ptCount val="45"/>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pt idx="39">
                  <c:v>60</c:v>
                </c:pt>
                <c:pt idx="40">
                  <c:v>60</c:v>
                </c:pt>
                <c:pt idx="41">
                  <c:v>60</c:v>
                </c:pt>
                <c:pt idx="42">
                  <c:v>60</c:v>
                </c:pt>
                <c:pt idx="43">
                  <c:v>60</c:v>
                </c:pt>
                <c:pt idx="44">
                  <c:v>60</c:v>
                </c:pt>
              </c:numCache>
            </c:numRef>
          </c:val>
          <c:smooth val="0"/>
          <c:extLst>
            <c:ext xmlns:c15="http://schemas.microsoft.com/office/drawing/2012/chart" uri="{02D57815-91ED-43cb-92C2-25804820EDAC}">
              <c15:datalabelsRange>
                <c15:f>Usluge!$J$126:$J$170</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5-7BD0-48C5-9E85-4315878FCDCE}"/>
            </c:ext>
          </c:extLst>
        </c:ser>
        <c:dLbls>
          <c:showLegendKey val="0"/>
          <c:showVal val="0"/>
          <c:showCatName val="0"/>
          <c:showSerName val="0"/>
          <c:showPercent val="0"/>
          <c:showBubbleSize val="0"/>
        </c:dLbls>
        <c:smooth val="0"/>
        <c:axId val="2092186640"/>
        <c:axId val="2092182288"/>
      </c:lineChart>
      <c:dateAx>
        <c:axId val="209218664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82288"/>
        <c:crosses val="autoZero"/>
        <c:auto val="1"/>
        <c:lblOffset val="0"/>
        <c:baseTimeUnit val="months"/>
      </c:dateAx>
      <c:valAx>
        <c:axId val="2092182288"/>
        <c:scaling>
          <c:orientation val="minMax"/>
          <c:max val="115"/>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664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33333333333E-2"/>
          <c:y val="4.3644144144144144E-2"/>
          <c:w val="0.86257083333333318"/>
          <c:h val="0.8328986486486486"/>
        </c:manualLayout>
      </c:layout>
      <c:lineChart>
        <c:grouping val="standard"/>
        <c:varyColors val="0"/>
        <c:ser>
          <c:idx val="0"/>
          <c:order val="0"/>
          <c:tx>
            <c:strRef>
              <c:f>'BoP_izvoz usluga'!$S$5</c:f>
              <c:strCache>
                <c:ptCount val="1"/>
                <c:pt idx="0">
                  <c:v>y</c:v>
                </c:pt>
              </c:strCache>
            </c:strRef>
          </c:tx>
          <c:spPr>
            <a:ln w="12700" cap="rnd">
              <a:solidFill>
                <a:srgbClr val="7F3F98"/>
              </a:solidFill>
              <a:prstDash val="sysDash"/>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usluga'!$S$90:$S$133</c:f>
              <c:numCache>
                <c:formatCode>0.0</c:formatCode>
                <c:ptCount val="44"/>
                <c:pt idx="0">
                  <c:v>63.846422547300861</c:v>
                </c:pt>
                <c:pt idx="1">
                  <c:v>70.228795958656264</c:v>
                </c:pt>
                <c:pt idx="2">
                  <c:v>75.924999675320464</c:v>
                </c:pt>
                <c:pt idx="3">
                  <c:v>79.162915144007854</c:v>
                </c:pt>
                <c:pt idx="4">
                  <c:v>73.662208429595012</c:v>
                </c:pt>
                <c:pt idx="5">
                  <c:v>73.307199167864098</c:v>
                </c:pt>
                <c:pt idx="6">
                  <c:v>82.056951415672359</c:v>
                </c:pt>
                <c:pt idx="7">
                  <c:v>71.704844217988537</c:v>
                </c:pt>
                <c:pt idx="8">
                  <c:v>72.809058046684001</c:v>
                </c:pt>
                <c:pt idx="9">
                  <c:v>83.244171034593037</c:v>
                </c:pt>
                <c:pt idx="10">
                  <c:v>84.162688633438506</c:v>
                </c:pt>
                <c:pt idx="11">
                  <c:v>89.00443544610026</c:v>
                </c:pt>
                <c:pt idx="12">
                  <c:v>78.761551203033889</c:v>
                </c:pt>
                <c:pt idx="13">
                  <c:v>85.137290921278478</c:v>
                </c:pt>
                <c:pt idx="14">
                  <c:v>74.302421760381122</c:v>
                </c:pt>
                <c:pt idx="15">
                  <c:v>73.115028527098488</c:v>
                </c:pt>
                <c:pt idx="16">
                  <c:v>67.919800146656456</c:v>
                </c:pt>
                <c:pt idx="17">
                  <c:v>74.830623528555734</c:v>
                </c:pt>
                <c:pt idx="18">
                  <c:v>70.746883443129349</c:v>
                </c:pt>
                <c:pt idx="19">
                  <c:v>64.954358597354116</c:v>
                </c:pt>
                <c:pt idx="20">
                  <c:v>71.251918116790762</c:v>
                </c:pt>
                <c:pt idx="21">
                  <c:v>80.454433829952052</c:v>
                </c:pt>
                <c:pt idx="22">
                  <c:v>77.45275209188425</c:v>
                </c:pt>
                <c:pt idx="23">
                  <c:v>110.93638564268757</c:v>
                </c:pt>
                <c:pt idx="24">
                  <c:v>77.034957568911253</c:v>
                </c:pt>
                <c:pt idx="25">
                  <c:v>80.234721908351105</c:v>
                </c:pt>
                <c:pt idx="26">
                  <c:v>96.352608855789796</c:v>
                </c:pt>
                <c:pt idx="27">
                  <c:v>93.693582471774619</c:v>
                </c:pt>
                <c:pt idx="28">
                  <c:v>89.066391561128711</c:v>
                </c:pt>
                <c:pt idx="29">
                  <c:v>97.426526370921053</c:v>
                </c:pt>
                <c:pt idx="30">
                  <c:v>110.3647852514118</c:v>
                </c:pt>
                <c:pt idx="31">
                  <c:v>95.699738464214235</c:v>
                </c:pt>
                <c:pt idx="32">
                  <c:v>101.00746445381725</c:v>
                </c:pt>
                <c:pt idx="33">
                  <c:v>108.65331445862797</c:v>
                </c:pt>
                <c:pt idx="34">
                  <c:v>110.79378321399309</c:v>
                </c:pt>
                <c:pt idx="35">
                  <c:v>139.67212542105912</c:v>
                </c:pt>
                <c:pt idx="36">
                  <c:v>112.04241161813357</c:v>
                </c:pt>
                <c:pt idx="37">
                  <c:v>112.36774779939442</c:v>
                </c:pt>
                <c:pt idx="38">
                  <c:v>128.57705044603424</c:v>
                </c:pt>
                <c:pt idx="39">
                  <c:v>125.32145966630937</c:v>
                </c:pt>
                <c:pt idx="40">
                  <c:v>136.31892317666458</c:v>
                </c:pt>
                <c:pt idx="41">
                  <c:v>138.44628489376061</c:v>
                </c:pt>
                <c:pt idx="42">
                  <c:v>150.85767175240849</c:v>
                </c:pt>
                <c:pt idx="43">
                  <c:v>155.04062935050732</c:v>
                </c:pt>
              </c:numCache>
            </c:numRef>
          </c:val>
          <c:smooth val="0"/>
          <c:extLst>
            <c:ext xmlns:c16="http://schemas.microsoft.com/office/drawing/2014/chart" uri="{C3380CC4-5D6E-409C-BE32-E72D297353CC}">
              <c16:uniqueId val="{00000000-45AB-4327-93C7-54DC41DC5580}"/>
            </c:ext>
          </c:extLst>
        </c:ser>
        <c:ser>
          <c:idx val="1"/>
          <c:order val="1"/>
          <c:tx>
            <c:strRef>
              <c:f>'BoP_izvoz usluga'!$T$5</c:f>
              <c:strCache>
                <c:ptCount val="1"/>
                <c:pt idx="0">
                  <c:v>sa</c:v>
                </c:pt>
              </c:strCache>
            </c:strRef>
          </c:tx>
          <c:spPr>
            <a:ln w="22225" cap="rnd">
              <a:solidFill>
                <a:srgbClr val="25AAE1"/>
              </a:solidFill>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usluga'!$T$90:$T$133</c:f>
              <c:numCache>
                <c:formatCode>0.0</c:formatCode>
                <c:ptCount val="44"/>
                <c:pt idx="0">
                  <c:v>66.056940634734005</c:v>
                </c:pt>
                <c:pt idx="1">
                  <c:v>74.444208209207147</c:v>
                </c:pt>
                <c:pt idx="2">
                  <c:v>75.220736100476302</c:v>
                </c:pt>
                <c:pt idx="3">
                  <c:v>76.941038107504625</c:v>
                </c:pt>
                <c:pt idx="4">
                  <c:v>75.994388890359119</c:v>
                </c:pt>
                <c:pt idx="5">
                  <c:v>78.259060398886064</c:v>
                </c:pt>
                <c:pt idx="6">
                  <c:v>78.863411562284668</c:v>
                </c:pt>
                <c:pt idx="7">
                  <c:v>73.748581449365631</c:v>
                </c:pt>
                <c:pt idx="8">
                  <c:v>79.802223812582511</c:v>
                </c:pt>
                <c:pt idx="9">
                  <c:v>75.931470377115218</c:v>
                </c:pt>
                <c:pt idx="10">
                  <c:v>85.8638829166634</c:v>
                </c:pt>
                <c:pt idx="11">
                  <c:v>76.848181325212266</c:v>
                </c:pt>
                <c:pt idx="12">
                  <c:v>84.320947291998664</c:v>
                </c:pt>
                <c:pt idx="13">
                  <c:v>81.869783679503058</c:v>
                </c:pt>
                <c:pt idx="14">
                  <c:v>72.895918558122972</c:v>
                </c:pt>
                <c:pt idx="15">
                  <c:v>72.603461215867497</c:v>
                </c:pt>
                <c:pt idx="16">
                  <c:v>73.235648002390391</c:v>
                </c:pt>
                <c:pt idx="17">
                  <c:v>75.400135970916608</c:v>
                </c:pt>
                <c:pt idx="18">
                  <c:v>65.283948509918943</c:v>
                </c:pt>
                <c:pt idx="19">
                  <c:v>72.865793094977207</c:v>
                </c:pt>
                <c:pt idx="20">
                  <c:v>75.171527333133426</c:v>
                </c:pt>
                <c:pt idx="21">
                  <c:v>74.206099744893109</c:v>
                </c:pt>
                <c:pt idx="22">
                  <c:v>80.451894441219324</c:v>
                </c:pt>
                <c:pt idx="23">
                  <c:v>90.253245973580391</c:v>
                </c:pt>
                <c:pt idx="24">
                  <c:v>85.713520772973453</c:v>
                </c:pt>
                <c:pt idx="25">
                  <c:v>85.732519841605239</c:v>
                </c:pt>
                <c:pt idx="26">
                  <c:v>94.752820397865648</c:v>
                </c:pt>
                <c:pt idx="27">
                  <c:v>91.431396087091727</c:v>
                </c:pt>
                <c:pt idx="28">
                  <c:v>93.236222977728147</c:v>
                </c:pt>
                <c:pt idx="29">
                  <c:v>99.092432530557986</c:v>
                </c:pt>
                <c:pt idx="30">
                  <c:v>101.83198314101676</c:v>
                </c:pt>
                <c:pt idx="31">
                  <c:v>101.72354600943686</c:v>
                </c:pt>
                <c:pt idx="32">
                  <c:v>106.84893605932845</c:v>
                </c:pt>
                <c:pt idx="33">
                  <c:v>105.22734535071763</c:v>
                </c:pt>
                <c:pt idx="34">
                  <c:v>114.11142954330963</c:v>
                </c:pt>
                <c:pt idx="35">
                  <c:v>113.90984564262659</c:v>
                </c:pt>
                <c:pt idx="36">
                  <c:v>122.04627384714772</c:v>
                </c:pt>
                <c:pt idx="37">
                  <c:v>118.82136341074832</c:v>
                </c:pt>
                <c:pt idx="38">
                  <c:v>121.38407745460673</c:v>
                </c:pt>
                <c:pt idx="39">
                  <c:v>125.53656004601277</c:v>
                </c:pt>
                <c:pt idx="40">
                  <c:v>141.17147975243321</c:v>
                </c:pt>
                <c:pt idx="41">
                  <c:v>140.97871856298252</c:v>
                </c:pt>
                <c:pt idx="42">
                  <c:v>146.0133760784733</c:v>
                </c:pt>
                <c:pt idx="43">
                  <c:v>164.17476230375928</c:v>
                </c:pt>
              </c:numCache>
            </c:numRef>
          </c:val>
          <c:smooth val="0"/>
          <c:extLst>
            <c:ext xmlns:c16="http://schemas.microsoft.com/office/drawing/2014/chart" uri="{C3380CC4-5D6E-409C-BE32-E72D297353CC}">
              <c16:uniqueId val="{00000001-45AB-4327-93C7-54DC41DC5580}"/>
            </c:ext>
          </c:extLst>
        </c:ser>
        <c:ser>
          <c:idx val="2"/>
          <c:order val="2"/>
          <c:tx>
            <c:strRef>
              <c:f>'BoP_izvoz usluga'!$U$5</c:f>
              <c:strCache>
                <c:ptCount val="1"/>
                <c:pt idx="0">
                  <c:v>t</c:v>
                </c:pt>
              </c:strCache>
            </c:strRef>
          </c:tx>
          <c:spPr>
            <a:ln w="25400" cap="rnd">
              <a:solidFill>
                <a:srgbClr val="FF0000"/>
              </a:solidFill>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usluga'!$U$90:$U$133</c:f>
              <c:numCache>
                <c:formatCode>0.0</c:formatCode>
                <c:ptCount val="44"/>
                <c:pt idx="0">
                  <c:v>69.04769065450418</c:v>
                </c:pt>
                <c:pt idx="1">
                  <c:v>71.826539579769403</c:v>
                </c:pt>
                <c:pt idx="2">
                  <c:v>74.313864579564878</c:v>
                </c:pt>
                <c:pt idx="3">
                  <c:v>76.192133814082837</c:v>
                </c:pt>
                <c:pt idx="4">
                  <c:v>77.072722577458677</c:v>
                </c:pt>
                <c:pt idx="5">
                  <c:v>77.322298496983933</c:v>
                </c:pt>
                <c:pt idx="6">
                  <c:v>77.36118073754109</c:v>
                </c:pt>
                <c:pt idx="7">
                  <c:v>77.569451349646769</c:v>
                </c:pt>
                <c:pt idx="8">
                  <c:v>78.379816346701872</c:v>
                </c:pt>
                <c:pt idx="9">
                  <c:v>79.557476986880076</c:v>
                </c:pt>
                <c:pt idx="10">
                  <c:v>80.609746196677776</c:v>
                </c:pt>
                <c:pt idx="11">
                  <c:v>80.917614832186359</c:v>
                </c:pt>
                <c:pt idx="12">
                  <c:v>80.238539760271848</c:v>
                </c:pt>
                <c:pt idx="13">
                  <c:v>78.656630380353022</c:v>
                </c:pt>
                <c:pt idx="14">
                  <c:v>76.617760553288392</c:v>
                </c:pt>
                <c:pt idx="15">
                  <c:v>74.803496778643392</c:v>
                </c:pt>
                <c:pt idx="16">
                  <c:v>73.469377844898915</c:v>
                </c:pt>
                <c:pt idx="17">
                  <c:v>72.852248136776765</c:v>
                </c:pt>
                <c:pt idx="18">
                  <c:v>72.857708150928005</c:v>
                </c:pt>
                <c:pt idx="19">
                  <c:v>73.641337306100283</c:v>
                </c:pt>
                <c:pt idx="20">
                  <c:v>74.82390068636208</c:v>
                </c:pt>
                <c:pt idx="21">
                  <c:v>76.580136770209236</c:v>
                </c:pt>
                <c:pt idx="22">
                  <c:v>79.117374019147377</c:v>
                </c:pt>
                <c:pt idx="23">
                  <c:v>82.106689877894212</c:v>
                </c:pt>
                <c:pt idx="24">
                  <c:v>85.122672086714886</c:v>
                </c:pt>
                <c:pt idx="25">
                  <c:v>87.950483374035883</c:v>
                </c:pt>
                <c:pt idx="26">
                  <c:v>90.554433463789337</c:v>
                </c:pt>
                <c:pt idx="27">
                  <c:v>93.068653147859948</c:v>
                </c:pt>
                <c:pt idx="28">
                  <c:v>95.468658562268132</c:v>
                </c:pt>
                <c:pt idx="29">
                  <c:v>97.896386566711683</c:v>
                </c:pt>
                <c:pt idx="30">
                  <c:v>100.26821282857271</c:v>
                </c:pt>
                <c:pt idx="31">
                  <c:v>102.83594465925877</c:v>
                </c:pt>
                <c:pt idx="32">
                  <c:v>105.73694857257307</c:v>
                </c:pt>
                <c:pt idx="33">
                  <c:v>108.87924585043091</c:v>
                </c:pt>
                <c:pt idx="34">
                  <c:v>111.74073258289228</c:v>
                </c:pt>
                <c:pt idx="35">
                  <c:v>114.50823732716948</c:v>
                </c:pt>
                <c:pt idx="36">
                  <c:v>117.43749719777739</c:v>
                </c:pt>
                <c:pt idx="37">
                  <c:v>120.51565064044142</c:v>
                </c:pt>
                <c:pt idx="38">
                  <c:v>124.36363661077176</c:v>
                </c:pt>
                <c:pt idx="39">
                  <c:v>129.50129687474899</c:v>
                </c:pt>
                <c:pt idx="40">
                  <c:v>135.98780580216714</c:v>
                </c:pt>
                <c:pt idx="41">
                  <c:v>143.20671884481015</c:v>
                </c:pt>
                <c:pt idx="42">
                  <c:v>150.05070961353545</c:v>
                </c:pt>
                <c:pt idx="43">
                  <c:v>155.4463752085816</c:v>
                </c:pt>
              </c:numCache>
            </c:numRef>
          </c:val>
          <c:smooth val="0"/>
          <c:extLst>
            <c:ext xmlns:c16="http://schemas.microsoft.com/office/drawing/2014/chart" uri="{C3380CC4-5D6E-409C-BE32-E72D297353CC}">
              <c16:uniqueId val="{00000002-45AB-4327-93C7-54DC41DC5580}"/>
            </c:ext>
          </c:extLst>
        </c:ser>
        <c:ser>
          <c:idx val="3"/>
          <c:order val="3"/>
          <c:tx>
            <c:strRef>
              <c:f>'BoP_izvoz usluga'!$V$5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6.3131363276112837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AB-4327-93C7-54DC41DC5580}"/>
                </c:ext>
              </c:extLst>
            </c:dLbl>
            <c:dLbl>
              <c:idx val="12"/>
              <c:layout>
                <c:manualLayout>
                  <c:x val="6.7737221191614544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AB-4327-93C7-54DC41DC5580}"/>
                </c:ext>
              </c:extLst>
            </c:dLbl>
            <c:dLbl>
              <c:idx val="24"/>
              <c:layout>
                <c:manualLayout>
                  <c:x val="6.0297685923061513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5AB-4327-93C7-54DC41DC5580}"/>
                </c:ext>
              </c:extLst>
            </c:dLbl>
            <c:dLbl>
              <c:idx val="36"/>
              <c:layout>
                <c:manualLayout>
                  <c:x val="1.4345012585024965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5AB-4327-93C7-54DC41DC558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usluga'!$V$90:$V$133</c:f>
              <c:numCache>
                <c:formatCode>General</c:formatCode>
                <c:ptCount val="44"/>
                <c:pt idx="0">
                  <c:v>40</c:v>
                </c:pt>
                <c:pt idx="12">
                  <c:v>40</c:v>
                </c:pt>
                <c:pt idx="24">
                  <c:v>40</c:v>
                </c:pt>
                <c:pt idx="36">
                  <c:v>40</c:v>
                </c:pt>
              </c:numCache>
            </c:numRef>
          </c:val>
          <c:smooth val="0"/>
          <c:extLst>
            <c:ext xmlns:c16="http://schemas.microsoft.com/office/drawing/2014/chart" uri="{C3380CC4-5D6E-409C-BE32-E72D297353CC}">
              <c16:uniqueId val="{00000007-45AB-4327-93C7-54DC41DC5580}"/>
            </c:ext>
          </c:extLst>
        </c:ser>
        <c:ser>
          <c:idx val="4"/>
          <c:order val="4"/>
          <c:tx>
            <c:strRef>
              <c:f>'BoP_izvoz usluga'!$W$5</c:f>
              <c:strCache>
                <c:ptCount val="1"/>
                <c:pt idx="0">
                  <c:v>Series5</c:v>
                </c:pt>
              </c:strCache>
            </c:strRef>
          </c:tx>
          <c:spPr>
            <a:ln w="28575" cap="rnd">
              <a:noFill/>
              <a:round/>
            </a:ln>
            <a:effectLst/>
          </c:spPr>
          <c:marker>
            <c:symbol val="none"/>
          </c:marker>
          <c:dLbls>
            <c:dLbl>
              <c:idx val="0"/>
              <c:tx>
                <c:rich>
                  <a:bodyPr/>
                  <a:lstStyle/>
                  <a:p>
                    <a:fld id="{D179D15B-9A3B-4BFA-B6C4-E1528E876DE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45AB-4327-93C7-54DC41DC5580}"/>
                </c:ext>
              </c:extLst>
            </c:dLbl>
            <c:dLbl>
              <c:idx val="1"/>
              <c:tx>
                <c:rich>
                  <a:bodyPr/>
                  <a:lstStyle/>
                  <a:p>
                    <a:fld id="{38DD35C0-37BA-4191-A09E-8DE536A6D80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45AB-4327-93C7-54DC41DC5580}"/>
                </c:ext>
              </c:extLst>
            </c:dLbl>
            <c:dLbl>
              <c:idx val="2"/>
              <c:tx>
                <c:rich>
                  <a:bodyPr/>
                  <a:lstStyle/>
                  <a:p>
                    <a:fld id="{BEC5CAFA-8B81-4E99-B62D-70822EAC2AA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45AB-4327-93C7-54DC41DC5580}"/>
                </c:ext>
              </c:extLst>
            </c:dLbl>
            <c:dLbl>
              <c:idx val="3"/>
              <c:tx>
                <c:rich>
                  <a:bodyPr/>
                  <a:lstStyle/>
                  <a:p>
                    <a:fld id="{E8C49F0E-83B0-4477-BB89-D19B24E4C6C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45AB-4327-93C7-54DC41DC5580}"/>
                </c:ext>
              </c:extLst>
            </c:dLbl>
            <c:dLbl>
              <c:idx val="4"/>
              <c:tx>
                <c:rich>
                  <a:bodyPr/>
                  <a:lstStyle/>
                  <a:p>
                    <a:fld id="{CC76C3CD-A264-4715-A09E-8B5B4976507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45AB-4327-93C7-54DC41DC5580}"/>
                </c:ext>
              </c:extLst>
            </c:dLbl>
            <c:dLbl>
              <c:idx val="5"/>
              <c:tx>
                <c:rich>
                  <a:bodyPr/>
                  <a:lstStyle/>
                  <a:p>
                    <a:fld id="{A2FA7C5B-C0AA-4D9E-89E8-35D405417F3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45AB-4327-93C7-54DC41DC5580}"/>
                </c:ext>
              </c:extLst>
            </c:dLbl>
            <c:dLbl>
              <c:idx val="6"/>
              <c:tx>
                <c:rich>
                  <a:bodyPr/>
                  <a:lstStyle/>
                  <a:p>
                    <a:fld id="{E2B2AB0C-ECDD-499F-ACCD-D2BDDA2E856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45AB-4327-93C7-54DC41DC5580}"/>
                </c:ext>
              </c:extLst>
            </c:dLbl>
            <c:dLbl>
              <c:idx val="7"/>
              <c:tx>
                <c:rich>
                  <a:bodyPr/>
                  <a:lstStyle/>
                  <a:p>
                    <a:fld id="{7222837D-2EA6-4D9A-8A54-27663636723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45AB-4327-93C7-54DC41DC5580}"/>
                </c:ext>
              </c:extLst>
            </c:dLbl>
            <c:dLbl>
              <c:idx val="8"/>
              <c:tx>
                <c:rich>
                  <a:bodyPr/>
                  <a:lstStyle/>
                  <a:p>
                    <a:fld id="{74EF20BA-528D-45C5-AF24-B7EC68E2FC8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45AB-4327-93C7-54DC41DC5580}"/>
                </c:ext>
              </c:extLst>
            </c:dLbl>
            <c:dLbl>
              <c:idx val="9"/>
              <c:tx>
                <c:rich>
                  <a:bodyPr/>
                  <a:lstStyle/>
                  <a:p>
                    <a:fld id="{341C5FD6-5F0B-42F9-955A-3EB228E0D8C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45AB-4327-93C7-54DC41DC5580}"/>
                </c:ext>
              </c:extLst>
            </c:dLbl>
            <c:dLbl>
              <c:idx val="10"/>
              <c:tx>
                <c:rich>
                  <a:bodyPr/>
                  <a:lstStyle/>
                  <a:p>
                    <a:fld id="{AAEABC26-330E-4090-971A-41B8381AE5A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45AB-4327-93C7-54DC41DC5580}"/>
                </c:ext>
              </c:extLst>
            </c:dLbl>
            <c:dLbl>
              <c:idx val="11"/>
              <c:tx>
                <c:rich>
                  <a:bodyPr/>
                  <a:lstStyle/>
                  <a:p>
                    <a:fld id="{613939B4-27F5-4679-8757-B50155E37A1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45AB-4327-93C7-54DC41DC5580}"/>
                </c:ext>
              </c:extLst>
            </c:dLbl>
            <c:dLbl>
              <c:idx val="12"/>
              <c:tx>
                <c:rich>
                  <a:bodyPr/>
                  <a:lstStyle/>
                  <a:p>
                    <a:fld id="{8EB9BB69-01BD-4D07-9EAC-9F16895645C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45AB-4327-93C7-54DC41DC5580}"/>
                </c:ext>
              </c:extLst>
            </c:dLbl>
            <c:dLbl>
              <c:idx val="13"/>
              <c:tx>
                <c:rich>
                  <a:bodyPr/>
                  <a:lstStyle/>
                  <a:p>
                    <a:fld id="{2C3358A9-F3FF-4B94-832E-87D9A9ADA03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45AB-4327-93C7-54DC41DC5580}"/>
                </c:ext>
              </c:extLst>
            </c:dLbl>
            <c:dLbl>
              <c:idx val="14"/>
              <c:tx>
                <c:rich>
                  <a:bodyPr/>
                  <a:lstStyle/>
                  <a:p>
                    <a:fld id="{A0FDEB70-5EF3-4A21-A4C3-5217B8560A5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45AB-4327-93C7-54DC41DC5580}"/>
                </c:ext>
              </c:extLst>
            </c:dLbl>
            <c:dLbl>
              <c:idx val="15"/>
              <c:tx>
                <c:rich>
                  <a:bodyPr/>
                  <a:lstStyle/>
                  <a:p>
                    <a:fld id="{155FB3D5-1EF3-4047-AD7D-17E24FFEE7A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45AB-4327-93C7-54DC41DC5580}"/>
                </c:ext>
              </c:extLst>
            </c:dLbl>
            <c:dLbl>
              <c:idx val="16"/>
              <c:tx>
                <c:rich>
                  <a:bodyPr/>
                  <a:lstStyle/>
                  <a:p>
                    <a:fld id="{377468C2-68BE-4ED6-9A2A-B021863BE05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45AB-4327-93C7-54DC41DC5580}"/>
                </c:ext>
              </c:extLst>
            </c:dLbl>
            <c:dLbl>
              <c:idx val="17"/>
              <c:tx>
                <c:rich>
                  <a:bodyPr/>
                  <a:lstStyle/>
                  <a:p>
                    <a:fld id="{CA32E14B-744F-4112-B66D-7750A8BF62A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45AB-4327-93C7-54DC41DC5580}"/>
                </c:ext>
              </c:extLst>
            </c:dLbl>
            <c:dLbl>
              <c:idx val="18"/>
              <c:tx>
                <c:rich>
                  <a:bodyPr/>
                  <a:lstStyle/>
                  <a:p>
                    <a:fld id="{6FFAB1A8-4AC5-4285-AE1B-CB3D4C7EF7B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45AB-4327-93C7-54DC41DC5580}"/>
                </c:ext>
              </c:extLst>
            </c:dLbl>
            <c:dLbl>
              <c:idx val="19"/>
              <c:tx>
                <c:rich>
                  <a:bodyPr/>
                  <a:lstStyle/>
                  <a:p>
                    <a:fld id="{47351039-23EB-4BAB-AE75-53780D2F21A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45AB-4327-93C7-54DC41DC5580}"/>
                </c:ext>
              </c:extLst>
            </c:dLbl>
            <c:dLbl>
              <c:idx val="20"/>
              <c:tx>
                <c:rich>
                  <a:bodyPr/>
                  <a:lstStyle/>
                  <a:p>
                    <a:fld id="{4438ADE0-9536-492D-9244-62B93AA2CA3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45AB-4327-93C7-54DC41DC5580}"/>
                </c:ext>
              </c:extLst>
            </c:dLbl>
            <c:dLbl>
              <c:idx val="21"/>
              <c:tx>
                <c:rich>
                  <a:bodyPr/>
                  <a:lstStyle/>
                  <a:p>
                    <a:fld id="{109133BE-768A-496F-A792-9103D4CD68A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45AB-4327-93C7-54DC41DC5580}"/>
                </c:ext>
              </c:extLst>
            </c:dLbl>
            <c:dLbl>
              <c:idx val="22"/>
              <c:tx>
                <c:rich>
                  <a:bodyPr/>
                  <a:lstStyle/>
                  <a:p>
                    <a:fld id="{F7047E02-CA08-4D66-908F-EB0BB26D64F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45AB-4327-93C7-54DC41DC5580}"/>
                </c:ext>
              </c:extLst>
            </c:dLbl>
            <c:dLbl>
              <c:idx val="23"/>
              <c:tx>
                <c:rich>
                  <a:bodyPr/>
                  <a:lstStyle/>
                  <a:p>
                    <a:fld id="{4D4AE538-57D4-4BD7-8A98-6A9A3546E59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45AB-4327-93C7-54DC41DC5580}"/>
                </c:ext>
              </c:extLst>
            </c:dLbl>
            <c:dLbl>
              <c:idx val="24"/>
              <c:tx>
                <c:rich>
                  <a:bodyPr/>
                  <a:lstStyle/>
                  <a:p>
                    <a:fld id="{1C2EAE3F-2251-4FDF-8350-84BB17200A2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45AB-4327-93C7-54DC41DC5580}"/>
                </c:ext>
              </c:extLst>
            </c:dLbl>
            <c:dLbl>
              <c:idx val="25"/>
              <c:tx>
                <c:rich>
                  <a:bodyPr/>
                  <a:lstStyle/>
                  <a:p>
                    <a:fld id="{8DFBE6AF-7968-41A2-B569-1DB5B8CE5F4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45AB-4327-93C7-54DC41DC5580}"/>
                </c:ext>
              </c:extLst>
            </c:dLbl>
            <c:dLbl>
              <c:idx val="26"/>
              <c:tx>
                <c:rich>
                  <a:bodyPr/>
                  <a:lstStyle/>
                  <a:p>
                    <a:fld id="{09F749CE-EEFB-4345-A711-10E01A78013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45AB-4327-93C7-54DC41DC5580}"/>
                </c:ext>
              </c:extLst>
            </c:dLbl>
            <c:dLbl>
              <c:idx val="27"/>
              <c:tx>
                <c:rich>
                  <a:bodyPr/>
                  <a:lstStyle/>
                  <a:p>
                    <a:fld id="{5EA19CE6-35C1-4387-AE67-28EF1A36042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45AB-4327-93C7-54DC41DC5580}"/>
                </c:ext>
              </c:extLst>
            </c:dLbl>
            <c:dLbl>
              <c:idx val="28"/>
              <c:tx>
                <c:rich>
                  <a:bodyPr/>
                  <a:lstStyle/>
                  <a:p>
                    <a:fld id="{294D0670-B474-4314-BCEA-4C1AEBB9697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45AB-4327-93C7-54DC41DC5580}"/>
                </c:ext>
              </c:extLst>
            </c:dLbl>
            <c:dLbl>
              <c:idx val="29"/>
              <c:tx>
                <c:rich>
                  <a:bodyPr/>
                  <a:lstStyle/>
                  <a:p>
                    <a:fld id="{05A429AC-1341-4BDD-AA46-5EC482D2695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45AB-4327-93C7-54DC41DC5580}"/>
                </c:ext>
              </c:extLst>
            </c:dLbl>
            <c:dLbl>
              <c:idx val="30"/>
              <c:tx>
                <c:rich>
                  <a:bodyPr/>
                  <a:lstStyle/>
                  <a:p>
                    <a:fld id="{BC212E1E-5879-4B89-8324-45D27C76C79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45AB-4327-93C7-54DC41DC5580}"/>
                </c:ext>
              </c:extLst>
            </c:dLbl>
            <c:dLbl>
              <c:idx val="31"/>
              <c:tx>
                <c:rich>
                  <a:bodyPr/>
                  <a:lstStyle/>
                  <a:p>
                    <a:fld id="{3EB499F8-FE3B-452F-AF5C-A3F0A2E61CA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45AB-4327-93C7-54DC41DC5580}"/>
                </c:ext>
              </c:extLst>
            </c:dLbl>
            <c:dLbl>
              <c:idx val="32"/>
              <c:tx>
                <c:rich>
                  <a:bodyPr/>
                  <a:lstStyle/>
                  <a:p>
                    <a:fld id="{56298F65-41BA-436D-BDE2-8838538FC04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45AB-4327-93C7-54DC41DC5580}"/>
                </c:ext>
              </c:extLst>
            </c:dLbl>
            <c:dLbl>
              <c:idx val="33"/>
              <c:tx>
                <c:rich>
                  <a:bodyPr/>
                  <a:lstStyle/>
                  <a:p>
                    <a:fld id="{03A191EB-F031-4F8C-B102-83B1C303A15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45AB-4327-93C7-54DC41DC5580}"/>
                </c:ext>
              </c:extLst>
            </c:dLbl>
            <c:dLbl>
              <c:idx val="34"/>
              <c:tx>
                <c:rich>
                  <a:bodyPr/>
                  <a:lstStyle/>
                  <a:p>
                    <a:fld id="{D95E5F91-2980-42A1-88EB-7EBD5BAFB47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45AB-4327-93C7-54DC41DC5580}"/>
                </c:ext>
              </c:extLst>
            </c:dLbl>
            <c:dLbl>
              <c:idx val="35"/>
              <c:tx>
                <c:rich>
                  <a:bodyPr/>
                  <a:lstStyle/>
                  <a:p>
                    <a:fld id="{D0321841-5A63-4482-B281-90A3545E68A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45AB-4327-93C7-54DC41DC5580}"/>
                </c:ext>
              </c:extLst>
            </c:dLbl>
            <c:dLbl>
              <c:idx val="36"/>
              <c:tx>
                <c:rich>
                  <a:bodyPr/>
                  <a:lstStyle/>
                  <a:p>
                    <a:fld id="{EC37393C-C7A8-428B-8F52-98BCEBF4075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45AB-4327-93C7-54DC41DC5580}"/>
                </c:ext>
              </c:extLst>
            </c:dLbl>
            <c:dLbl>
              <c:idx val="37"/>
              <c:tx>
                <c:rich>
                  <a:bodyPr/>
                  <a:lstStyle/>
                  <a:p>
                    <a:fld id="{3A9DEFFB-BA53-4C07-A543-9750064D592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45AB-4327-93C7-54DC41DC5580}"/>
                </c:ext>
              </c:extLst>
            </c:dLbl>
            <c:dLbl>
              <c:idx val="38"/>
              <c:tx>
                <c:rich>
                  <a:bodyPr/>
                  <a:lstStyle/>
                  <a:p>
                    <a:fld id="{519D4469-5A32-43F2-9C9E-DE51909FF01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45AB-4327-93C7-54DC41DC5580}"/>
                </c:ext>
              </c:extLst>
            </c:dLbl>
            <c:dLbl>
              <c:idx val="39"/>
              <c:tx>
                <c:rich>
                  <a:bodyPr/>
                  <a:lstStyle/>
                  <a:p>
                    <a:fld id="{59870BBA-EC8F-41D0-A128-E023F73358C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45AB-4327-93C7-54DC41DC5580}"/>
                </c:ext>
              </c:extLst>
            </c:dLbl>
            <c:dLbl>
              <c:idx val="40"/>
              <c:tx>
                <c:rich>
                  <a:bodyPr/>
                  <a:lstStyle/>
                  <a:p>
                    <a:fld id="{6B086F83-A211-431D-90AD-D5F86A502D3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45AB-4327-93C7-54DC41DC5580}"/>
                </c:ext>
              </c:extLst>
            </c:dLbl>
            <c:dLbl>
              <c:idx val="41"/>
              <c:tx>
                <c:rich>
                  <a:bodyPr/>
                  <a:lstStyle/>
                  <a:p>
                    <a:fld id="{75E696D3-8938-4077-A305-50EDEB3E2D9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45AB-4327-93C7-54DC41DC5580}"/>
                </c:ext>
              </c:extLst>
            </c:dLbl>
            <c:dLbl>
              <c:idx val="42"/>
              <c:tx>
                <c:rich>
                  <a:bodyPr/>
                  <a:lstStyle/>
                  <a:p>
                    <a:fld id="{144DC77D-4E77-43F4-B400-6C7E5D2D830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2-45AB-4327-93C7-54DC41DC5580}"/>
                </c:ext>
              </c:extLst>
            </c:dLbl>
            <c:dLbl>
              <c:idx val="43"/>
              <c:tx>
                <c:rich>
                  <a:bodyPr/>
                  <a:lstStyle/>
                  <a:p>
                    <a:fld id="{D3375A87-0BE0-44DB-A013-DD72BF8B1D6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3-45AB-4327-93C7-54DC41DC5580}"/>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usluga'!$W$90:$W$133</c:f>
              <c:numCache>
                <c:formatCode>General</c:formatCode>
                <c:ptCount val="44"/>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pt idx="38">
                  <c:v>40</c:v>
                </c:pt>
                <c:pt idx="39">
                  <c:v>40</c:v>
                </c:pt>
                <c:pt idx="40">
                  <c:v>40</c:v>
                </c:pt>
                <c:pt idx="41">
                  <c:v>40</c:v>
                </c:pt>
                <c:pt idx="42">
                  <c:v>40</c:v>
                </c:pt>
                <c:pt idx="43">
                  <c:v>40</c:v>
                </c:pt>
              </c:numCache>
            </c:numRef>
          </c:val>
          <c:smooth val="0"/>
          <c:extLst>
            <c:ext xmlns:c15="http://schemas.microsoft.com/office/drawing/2012/chart" uri="{02D57815-91ED-43cb-92C2-25804820EDAC}">
              <c15:datalabelsRange>
                <c15:f>'BoP_izvoz usluga'!$J$90:$J$133</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4-45AB-4327-93C7-54DC41DC5580}"/>
            </c:ext>
          </c:extLst>
        </c:ser>
        <c:dLbls>
          <c:showLegendKey val="0"/>
          <c:showVal val="0"/>
          <c:showCatName val="0"/>
          <c:showSerName val="0"/>
          <c:showPercent val="0"/>
          <c:showBubbleSize val="0"/>
        </c:dLbls>
        <c:smooth val="0"/>
        <c:axId val="1828932656"/>
        <c:axId val="1828929936"/>
      </c:lineChart>
      <c:dateAx>
        <c:axId val="1828932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9936"/>
        <c:crosses val="autoZero"/>
        <c:auto val="1"/>
        <c:lblOffset val="0"/>
        <c:baseTimeUnit val="months"/>
      </c:dateAx>
      <c:valAx>
        <c:axId val="1828929936"/>
        <c:scaling>
          <c:orientation val="minMax"/>
          <c:max val="17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2656"/>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702970650144162"/>
          <c:h val="0.84243318318318317"/>
        </c:manualLayout>
      </c:layout>
      <c:lineChart>
        <c:grouping val="standard"/>
        <c:varyColors val="0"/>
        <c:ser>
          <c:idx val="0"/>
          <c:order val="0"/>
          <c:tx>
            <c:strRef>
              <c:f>'BoP_izvoz usluga'!$E$5</c:f>
              <c:strCache>
                <c:ptCount val="1"/>
                <c:pt idx="0">
                  <c:v>y</c:v>
                </c:pt>
              </c:strCache>
            </c:strRef>
          </c:tx>
          <c:spPr>
            <a:ln w="12700" cap="rnd">
              <a:solidFill>
                <a:srgbClr val="7F3F98"/>
              </a:solidFill>
              <a:prstDash val="sysDash"/>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usluga'!$E$90:$E$133</c:f>
              <c:numCache>
                <c:formatCode>0.0</c:formatCode>
                <c:ptCount val="44"/>
                <c:pt idx="0">
                  <c:v>91.466292757963814</c:v>
                </c:pt>
                <c:pt idx="1">
                  <c:v>83.626488302982693</c:v>
                </c:pt>
                <c:pt idx="2">
                  <c:v>87.701181868778619</c:v>
                </c:pt>
                <c:pt idx="3">
                  <c:v>91.539798050038812</c:v>
                </c:pt>
                <c:pt idx="4">
                  <c:v>106.76881398155787</c:v>
                </c:pt>
                <c:pt idx="5">
                  <c:v>96.184189727546766</c:v>
                </c:pt>
                <c:pt idx="6">
                  <c:v>120.82069218475482</c:v>
                </c:pt>
                <c:pt idx="7">
                  <c:v>115.65368118396975</c:v>
                </c:pt>
                <c:pt idx="8">
                  <c:v>105.61527570212901</c:v>
                </c:pt>
                <c:pt idx="9">
                  <c:v>114.56858844815305</c:v>
                </c:pt>
                <c:pt idx="10">
                  <c:v>99.158024245776602</c:v>
                </c:pt>
                <c:pt idx="11">
                  <c:v>103.73909840398309</c:v>
                </c:pt>
                <c:pt idx="12">
                  <c:v>93.964745291624737</c:v>
                </c:pt>
                <c:pt idx="13">
                  <c:v>86.030095925939847</c:v>
                </c:pt>
                <c:pt idx="14">
                  <c:v>82.88611682992088</c:v>
                </c:pt>
                <c:pt idx="15">
                  <c:v>63.855468861315778</c:v>
                </c:pt>
                <c:pt idx="16">
                  <c:v>54.967894041328478</c:v>
                </c:pt>
                <c:pt idx="17">
                  <c:v>57.995470632243617</c:v>
                </c:pt>
                <c:pt idx="18">
                  <c:v>67.984501977939814</c:v>
                </c:pt>
                <c:pt idx="19">
                  <c:v>68.087982037766452</c:v>
                </c:pt>
                <c:pt idx="20">
                  <c:v>78.668772650238537</c:v>
                </c:pt>
                <c:pt idx="21">
                  <c:v>81.818293236234879</c:v>
                </c:pt>
                <c:pt idx="22">
                  <c:v>87.903106666037985</c:v>
                </c:pt>
                <c:pt idx="23">
                  <c:v>94.1385604881647</c:v>
                </c:pt>
                <c:pt idx="24">
                  <c:v>73.649160898942412</c:v>
                </c:pt>
                <c:pt idx="25">
                  <c:v>74.297333477930152</c:v>
                </c:pt>
                <c:pt idx="26">
                  <c:v>89.556996376948277</c:v>
                </c:pt>
                <c:pt idx="27">
                  <c:v>84.174959222530745</c:v>
                </c:pt>
                <c:pt idx="28">
                  <c:v>91.252860783416949</c:v>
                </c:pt>
                <c:pt idx="29">
                  <c:v>111.31459195125156</c:v>
                </c:pt>
                <c:pt idx="30">
                  <c:v>106.37013696425028</c:v>
                </c:pt>
                <c:pt idx="31">
                  <c:v>104.29072748908523</c:v>
                </c:pt>
                <c:pt idx="32">
                  <c:v>101.2704262265198</c:v>
                </c:pt>
                <c:pt idx="33">
                  <c:v>103.843804051997</c:v>
                </c:pt>
                <c:pt idx="34">
                  <c:v>127.40115921769937</c:v>
                </c:pt>
                <c:pt idx="35">
                  <c:v>132.57784333942797</c:v>
                </c:pt>
                <c:pt idx="36">
                  <c:v>93.964384510286067</c:v>
                </c:pt>
                <c:pt idx="37">
                  <c:v>102.28205944573301</c:v>
                </c:pt>
                <c:pt idx="38">
                  <c:v>123.59822704871861</c:v>
                </c:pt>
                <c:pt idx="39">
                  <c:v>129.89045170924899</c:v>
                </c:pt>
                <c:pt idx="40">
                  <c:v>136.96162512093522</c:v>
                </c:pt>
                <c:pt idx="41">
                  <c:v>157.59213595321529</c:v>
                </c:pt>
                <c:pt idx="42">
                  <c:v>155.69701933791754</c:v>
                </c:pt>
                <c:pt idx="43">
                  <c:v>171.81818973212631</c:v>
                </c:pt>
              </c:numCache>
            </c:numRef>
          </c:val>
          <c:smooth val="0"/>
          <c:extLst>
            <c:ext xmlns:c16="http://schemas.microsoft.com/office/drawing/2014/chart" uri="{C3380CC4-5D6E-409C-BE32-E72D297353CC}">
              <c16:uniqueId val="{00000000-3DA9-4276-868F-3CAE5C0CC82E}"/>
            </c:ext>
          </c:extLst>
        </c:ser>
        <c:ser>
          <c:idx val="1"/>
          <c:order val="1"/>
          <c:tx>
            <c:strRef>
              <c:f>'BoP_izvoz usluga'!$F$5</c:f>
              <c:strCache>
                <c:ptCount val="1"/>
                <c:pt idx="0">
                  <c:v>sa</c:v>
                </c:pt>
              </c:strCache>
            </c:strRef>
          </c:tx>
          <c:spPr>
            <a:ln w="22225" cap="rnd">
              <a:solidFill>
                <a:srgbClr val="25AAE1"/>
              </a:solidFill>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usluga'!$F$90:$F$133</c:f>
              <c:numCache>
                <c:formatCode>0.0</c:formatCode>
                <c:ptCount val="44"/>
                <c:pt idx="0">
                  <c:v>105.15807204819326</c:v>
                </c:pt>
                <c:pt idx="1">
                  <c:v>98.119172433060996</c:v>
                </c:pt>
                <c:pt idx="2">
                  <c:v>96.527034536414149</c:v>
                </c:pt>
                <c:pt idx="3">
                  <c:v>94.061983990624171</c:v>
                </c:pt>
                <c:pt idx="4">
                  <c:v>105.62575427847074</c:v>
                </c:pt>
                <c:pt idx="5">
                  <c:v>100.93544869995381</c:v>
                </c:pt>
                <c:pt idx="6">
                  <c:v>107.81814436024536</c:v>
                </c:pt>
                <c:pt idx="7">
                  <c:v>107.84075739201739</c:v>
                </c:pt>
                <c:pt idx="8">
                  <c:v>103.09488837343694</c:v>
                </c:pt>
                <c:pt idx="9">
                  <c:v>102.62404565445361</c:v>
                </c:pt>
                <c:pt idx="10">
                  <c:v>98.65627470557294</c:v>
                </c:pt>
                <c:pt idx="11">
                  <c:v>96.267713508834717</c:v>
                </c:pt>
                <c:pt idx="12">
                  <c:v>107.59520662543939</c:v>
                </c:pt>
                <c:pt idx="13">
                  <c:v>92.157310591195539</c:v>
                </c:pt>
                <c:pt idx="14">
                  <c:v>88.746198209581536</c:v>
                </c:pt>
                <c:pt idx="15">
                  <c:v>66.174988242252795</c:v>
                </c:pt>
                <c:pt idx="16">
                  <c:v>57.449664095487307</c:v>
                </c:pt>
                <c:pt idx="17">
                  <c:v>56.71838259536694</c:v>
                </c:pt>
                <c:pt idx="18">
                  <c:v>60.670900674912573</c:v>
                </c:pt>
                <c:pt idx="19">
                  <c:v>66.527180818872267</c:v>
                </c:pt>
                <c:pt idx="20">
                  <c:v>73.605801395944425</c:v>
                </c:pt>
                <c:pt idx="21">
                  <c:v>76.701943957674942</c:v>
                </c:pt>
                <c:pt idx="22">
                  <c:v>87.167921480441663</c:v>
                </c:pt>
                <c:pt idx="23">
                  <c:v>82.500668388457925</c:v>
                </c:pt>
                <c:pt idx="24">
                  <c:v>86.282193731712482</c:v>
                </c:pt>
                <c:pt idx="25">
                  <c:v>88.955711992245512</c:v>
                </c:pt>
                <c:pt idx="26">
                  <c:v>93.28982967073371</c:v>
                </c:pt>
                <c:pt idx="27">
                  <c:v>87.923449934685863</c:v>
                </c:pt>
                <c:pt idx="28">
                  <c:v>93.375094749171197</c:v>
                </c:pt>
                <c:pt idx="29">
                  <c:v>107.41281555813853</c:v>
                </c:pt>
                <c:pt idx="30">
                  <c:v>99.714108368725377</c:v>
                </c:pt>
                <c:pt idx="31">
                  <c:v>97.317120638404162</c:v>
                </c:pt>
                <c:pt idx="32">
                  <c:v>96.46323828629545</c:v>
                </c:pt>
                <c:pt idx="33">
                  <c:v>99.978971895436544</c:v>
                </c:pt>
                <c:pt idx="34">
                  <c:v>119.53689574286656</c:v>
                </c:pt>
                <c:pt idx="35">
                  <c:v>115.90179792992527</c:v>
                </c:pt>
                <c:pt idx="36">
                  <c:v>108.39590429931486</c:v>
                </c:pt>
                <c:pt idx="37">
                  <c:v>123.43801945963271</c:v>
                </c:pt>
                <c:pt idx="38">
                  <c:v>127.86812620555456</c:v>
                </c:pt>
                <c:pt idx="39">
                  <c:v>137.48661314067064</c:v>
                </c:pt>
                <c:pt idx="40">
                  <c:v>141.08405244170982</c:v>
                </c:pt>
                <c:pt idx="41">
                  <c:v>153.32105961576659</c:v>
                </c:pt>
                <c:pt idx="42">
                  <c:v>149.80098844850991</c:v>
                </c:pt>
                <c:pt idx="43">
                  <c:v>156.25771913826458</c:v>
                </c:pt>
              </c:numCache>
            </c:numRef>
          </c:val>
          <c:smooth val="0"/>
          <c:extLst>
            <c:ext xmlns:c16="http://schemas.microsoft.com/office/drawing/2014/chart" uri="{C3380CC4-5D6E-409C-BE32-E72D297353CC}">
              <c16:uniqueId val="{00000001-3DA9-4276-868F-3CAE5C0CC82E}"/>
            </c:ext>
          </c:extLst>
        </c:ser>
        <c:ser>
          <c:idx val="2"/>
          <c:order val="2"/>
          <c:tx>
            <c:strRef>
              <c:f>'BoP_izvoz usluga'!$G$5</c:f>
              <c:strCache>
                <c:ptCount val="1"/>
                <c:pt idx="0">
                  <c:v>t</c:v>
                </c:pt>
              </c:strCache>
            </c:strRef>
          </c:tx>
          <c:spPr>
            <a:ln w="25400" cap="rnd">
              <a:solidFill>
                <a:srgbClr val="FF0000"/>
              </a:solidFill>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usluga'!$G$90:$G$133</c:f>
              <c:numCache>
                <c:formatCode>0.0</c:formatCode>
                <c:ptCount val="44"/>
                <c:pt idx="0">
                  <c:v>95.008639169195163</c:v>
                </c:pt>
                <c:pt idx="1">
                  <c:v>96.209982005343377</c:v>
                </c:pt>
                <c:pt idx="2">
                  <c:v>98.022040200775237</c:v>
                </c:pt>
                <c:pt idx="3">
                  <c:v>100.21023142275719</c:v>
                </c:pt>
                <c:pt idx="4">
                  <c:v>102.40842036726899</c:v>
                </c:pt>
                <c:pt idx="5">
                  <c:v>104.26563746505107</c:v>
                </c:pt>
                <c:pt idx="6">
                  <c:v>105.3957012992727</c:v>
                </c:pt>
                <c:pt idx="7">
                  <c:v>105.45170592962234</c:v>
                </c:pt>
                <c:pt idx="8">
                  <c:v>104.32366627177397</c:v>
                </c:pt>
                <c:pt idx="9">
                  <c:v>102.20380741687451</c:v>
                </c:pt>
                <c:pt idx="10">
                  <c:v>99.610670840953418</c:v>
                </c:pt>
                <c:pt idx="11">
                  <c:v>96.865507735159412</c:v>
                </c:pt>
                <c:pt idx="12">
                  <c:v>94.1024144661869</c:v>
                </c:pt>
                <c:pt idx="13">
                  <c:v>91.477693676662625</c:v>
                </c:pt>
                <c:pt idx="14">
                  <c:v>88.972087988482031</c:v>
                </c:pt>
                <c:pt idx="15">
                  <c:v>58.892732890778618</c:v>
                </c:pt>
                <c:pt idx="16">
                  <c:v>58.6692501920297</c:v>
                </c:pt>
                <c:pt idx="17">
                  <c:v>59.910463616307133</c:v>
                </c:pt>
                <c:pt idx="18">
                  <c:v>62.748445502344097</c:v>
                </c:pt>
                <c:pt idx="19">
                  <c:v>66.852693359335788</c:v>
                </c:pt>
                <c:pt idx="20">
                  <c:v>71.546556805161345</c:v>
                </c:pt>
                <c:pt idx="21">
                  <c:v>76.240622976357088</c:v>
                </c:pt>
                <c:pt idx="22">
                  <c:v>80.473278180019975</c:v>
                </c:pt>
                <c:pt idx="23">
                  <c:v>83.947708973131085</c:v>
                </c:pt>
                <c:pt idx="24">
                  <c:v>86.710317610862759</c:v>
                </c:pt>
                <c:pt idx="25">
                  <c:v>89.058591447771022</c:v>
                </c:pt>
                <c:pt idx="26">
                  <c:v>91.271478368694389</c:v>
                </c:pt>
                <c:pt idx="27">
                  <c:v>93.277244329516776</c:v>
                </c:pt>
                <c:pt idx="28">
                  <c:v>94.798591292827396</c:v>
                </c:pt>
                <c:pt idx="29">
                  <c:v>95.741481320555764</c:v>
                </c:pt>
                <c:pt idx="30">
                  <c:v>96.488351432933342</c:v>
                </c:pt>
                <c:pt idx="31">
                  <c:v>97.63281317288687</c:v>
                </c:pt>
                <c:pt idx="32">
                  <c:v>99.648887126226597</c:v>
                </c:pt>
                <c:pt idx="33">
                  <c:v>102.71032516171694</c:v>
                </c:pt>
                <c:pt idx="34">
                  <c:v>106.86725239156121</c:v>
                </c:pt>
                <c:pt idx="35">
                  <c:v>111.91106019196623</c:v>
                </c:pt>
                <c:pt idx="36">
                  <c:v>117.69642807337988</c:v>
                </c:pt>
                <c:pt idx="37">
                  <c:v>123.85930523476985</c:v>
                </c:pt>
                <c:pt idx="38">
                  <c:v>130.1468373347569</c:v>
                </c:pt>
                <c:pt idx="39">
                  <c:v>136.44527639348573</c:v>
                </c:pt>
                <c:pt idx="40">
                  <c:v>142.48246252179433</c:v>
                </c:pt>
                <c:pt idx="41">
                  <c:v>147.90860311930638</c:v>
                </c:pt>
                <c:pt idx="42">
                  <c:v>152.31174712637448</c:v>
                </c:pt>
                <c:pt idx="43">
                  <c:v>155.65412122053317</c:v>
                </c:pt>
              </c:numCache>
            </c:numRef>
          </c:val>
          <c:smooth val="1"/>
          <c:extLst>
            <c:ext xmlns:c16="http://schemas.microsoft.com/office/drawing/2014/chart" uri="{C3380CC4-5D6E-409C-BE32-E72D297353CC}">
              <c16:uniqueId val="{00000002-3DA9-4276-868F-3CAE5C0CC82E}"/>
            </c:ext>
          </c:extLst>
        </c:ser>
        <c:ser>
          <c:idx val="3"/>
          <c:order val="3"/>
          <c:tx>
            <c:strRef>
              <c:f>'BoP_izvoz usluga'!$H$5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5.7585242860502185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DA9-4276-868F-3CAE5C0CC82E}"/>
                </c:ext>
              </c:extLst>
            </c:dLbl>
            <c:dLbl>
              <c:idx val="12"/>
              <c:layout>
                <c:manualLayout>
                  <c:x val="5.8786786159085169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DA9-4276-868F-3CAE5C0CC82E}"/>
                </c:ext>
              </c:extLst>
            </c:dLbl>
            <c:dLbl>
              <c:idx val="24"/>
              <c:layout>
                <c:manualLayout>
                  <c:x val="5.9971607486565812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DA9-4276-868F-3CAE5C0CC82E}"/>
                </c:ext>
              </c:extLst>
            </c:dLbl>
            <c:dLbl>
              <c:idx val="36"/>
              <c:layout>
                <c:manualLayout>
                  <c:x val="9.8495893536782366E-3"/>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DA9-4276-868F-3CAE5C0CC82E}"/>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usluga'!$H$90:$H$133</c:f>
              <c:numCache>
                <c:formatCode>General</c:formatCode>
                <c:ptCount val="44"/>
                <c:pt idx="0">
                  <c:v>30</c:v>
                </c:pt>
                <c:pt idx="12">
                  <c:v>30</c:v>
                </c:pt>
                <c:pt idx="24">
                  <c:v>30</c:v>
                </c:pt>
                <c:pt idx="36">
                  <c:v>30</c:v>
                </c:pt>
              </c:numCache>
            </c:numRef>
          </c:val>
          <c:smooth val="0"/>
          <c:extLst>
            <c:ext xmlns:c16="http://schemas.microsoft.com/office/drawing/2014/chart" uri="{C3380CC4-5D6E-409C-BE32-E72D297353CC}">
              <c16:uniqueId val="{00000007-3DA9-4276-868F-3CAE5C0CC82E}"/>
            </c:ext>
          </c:extLst>
        </c:ser>
        <c:ser>
          <c:idx val="4"/>
          <c:order val="4"/>
          <c:tx>
            <c:strRef>
              <c:f>'BoP_izvoz usluga'!$I$5</c:f>
              <c:strCache>
                <c:ptCount val="1"/>
                <c:pt idx="0">
                  <c:v>Series5</c:v>
                </c:pt>
              </c:strCache>
            </c:strRef>
          </c:tx>
          <c:spPr>
            <a:ln w="28575" cap="rnd">
              <a:noFill/>
              <a:round/>
            </a:ln>
            <a:effectLst/>
          </c:spPr>
          <c:marker>
            <c:symbol val="none"/>
          </c:marker>
          <c:dLbls>
            <c:dLbl>
              <c:idx val="0"/>
              <c:tx>
                <c:rich>
                  <a:bodyPr/>
                  <a:lstStyle/>
                  <a:p>
                    <a:fld id="{E92720F3-364C-4692-925A-E3D078B1B94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3DA9-4276-868F-3CAE5C0CC82E}"/>
                </c:ext>
              </c:extLst>
            </c:dLbl>
            <c:dLbl>
              <c:idx val="1"/>
              <c:tx>
                <c:rich>
                  <a:bodyPr/>
                  <a:lstStyle/>
                  <a:p>
                    <a:fld id="{FC055732-4330-4992-95CE-DBBE46523EA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3DA9-4276-868F-3CAE5C0CC82E}"/>
                </c:ext>
              </c:extLst>
            </c:dLbl>
            <c:dLbl>
              <c:idx val="2"/>
              <c:tx>
                <c:rich>
                  <a:bodyPr/>
                  <a:lstStyle/>
                  <a:p>
                    <a:fld id="{988EC5C6-33F6-4011-A3C3-F0DDDC4CBA7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3DA9-4276-868F-3CAE5C0CC82E}"/>
                </c:ext>
              </c:extLst>
            </c:dLbl>
            <c:dLbl>
              <c:idx val="3"/>
              <c:tx>
                <c:rich>
                  <a:bodyPr/>
                  <a:lstStyle/>
                  <a:p>
                    <a:fld id="{C19E4E18-34DE-4187-AB09-20E69B40B4F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3DA9-4276-868F-3CAE5C0CC82E}"/>
                </c:ext>
              </c:extLst>
            </c:dLbl>
            <c:dLbl>
              <c:idx val="4"/>
              <c:tx>
                <c:rich>
                  <a:bodyPr/>
                  <a:lstStyle/>
                  <a:p>
                    <a:fld id="{EEA3729C-C782-4630-BF58-FE9B66A0A1E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3DA9-4276-868F-3CAE5C0CC82E}"/>
                </c:ext>
              </c:extLst>
            </c:dLbl>
            <c:dLbl>
              <c:idx val="5"/>
              <c:tx>
                <c:rich>
                  <a:bodyPr/>
                  <a:lstStyle/>
                  <a:p>
                    <a:fld id="{8BF7B1A6-54AB-4C3D-B3C9-4B7A08384EC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3DA9-4276-868F-3CAE5C0CC82E}"/>
                </c:ext>
              </c:extLst>
            </c:dLbl>
            <c:dLbl>
              <c:idx val="6"/>
              <c:tx>
                <c:rich>
                  <a:bodyPr/>
                  <a:lstStyle/>
                  <a:p>
                    <a:fld id="{CDF27D14-33C1-46C4-AE4C-E3EEB2FA365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3DA9-4276-868F-3CAE5C0CC82E}"/>
                </c:ext>
              </c:extLst>
            </c:dLbl>
            <c:dLbl>
              <c:idx val="7"/>
              <c:tx>
                <c:rich>
                  <a:bodyPr/>
                  <a:lstStyle/>
                  <a:p>
                    <a:fld id="{19B539D1-ABB2-421A-8654-7383B209F91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3DA9-4276-868F-3CAE5C0CC82E}"/>
                </c:ext>
              </c:extLst>
            </c:dLbl>
            <c:dLbl>
              <c:idx val="8"/>
              <c:tx>
                <c:rich>
                  <a:bodyPr/>
                  <a:lstStyle/>
                  <a:p>
                    <a:fld id="{B236AA90-EF15-4F7B-BA9E-282148CF360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3DA9-4276-868F-3CAE5C0CC82E}"/>
                </c:ext>
              </c:extLst>
            </c:dLbl>
            <c:dLbl>
              <c:idx val="9"/>
              <c:tx>
                <c:rich>
                  <a:bodyPr/>
                  <a:lstStyle/>
                  <a:p>
                    <a:fld id="{7530D290-BC31-4FCA-927A-2C903FDCC62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3DA9-4276-868F-3CAE5C0CC82E}"/>
                </c:ext>
              </c:extLst>
            </c:dLbl>
            <c:dLbl>
              <c:idx val="10"/>
              <c:tx>
                <c:rich>
                  <a:bodyPr/>
                  <a:lstStyle/>
                  <a:p>
                    <a:fld id="{6D55E000-3021-4258-BBA3-E1752230132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3DA9-4276-868F-3CAE5C0CC82E}"/>
                </c:ext>
              </c:extLst>
            </c:dLbl>
            <c:dLbl>
              <c:idx val="11"/>
              <c:tx>
                <c:rich>
                  <a:bodyPr/>
                  <a:lstStyle/>
                  <a:p>
                    <a:fld id="{1FB12B7D-AB4F-4CF0-AC1F-0F08D0180F9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3DA9-4276-868F-3CAE5C0CC82E}"/>
                </c:ext>
              </c:extLst>
            </c:dLbl>
            <c:dLbl>
              <c:idx val="12"/>
              <c:tx>
                <c:rich>
                  <a:bodyPr/>
                  <a:lstStyle/>
                  <a:p>
                    <a:fld id="{DD4272BC-FA13-4CA0-85E0-CF5254A24F7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3DA9-4276-868F-3CAE5C0CC82E}"/>
                </c:ext>
              </c:extLst>
            </c:dLbl>
            <c:dLbl>
              <c:idx val="13"/>
              <c:tx>
                <c:rich>
                  <a:bodyPr/>
                  <a:lstStyle/>
                  <a:p>
                    <a:fld id="{375D3319-D894-4550-B3DB-CEFBAD1DCE2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3DA9-4276-868F-3CAE5C0CC82E}"/>
                </c:ext>
              </c:extLst>
            </c:dLbl>
            <c:dLbl>
              <c:idx val="14"/>
              <c:tx>
                <c:rich>
                  <a:bodyPr/>
                  <a:lstStyle/>
                  <a:p>
                    <a:fld id="{6B75D513-9B67-4229-B852-4F9DA13C1B4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3DA9-4276-868F-3CAE5C0CC82E}"/>
                </c:ext>
              </c:extLst>
            </c:dLbl>
            <c:dLbl>
              <c:idx val="15"/>
              <c:tx>
                <c:rich>
                  <a:bodyPr/>
                  <a:lstStyle/>
                  <a:p>
                    <a:fld id="{2D7C5729-9E7B-45AB-AB01-8BC72328364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3DA9-4276-868F-3CAE5C0CC82E}"/>
                </c:ext>
              </c:extLst>
            </c:dLbl>
            <c:dLbl>
              <c:idx val="16"/>
              <c:tx>
                <c:rich>
                  <a:bodyPr/>
                  <a:lstStyle/>
                  <a:p>
                    <a:fld id="{7485B07A-2B68-4F9E-8155-0F985EAFB45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3DA9-4276-868F-3CAE5C0CC82E}"/>
                </c:ext>
              </c:extLst>
            </c:dLbl>
            <c:dLbl>
              <c:idx val="17"/>
              <c:tx>
                <c:rich>
                  <a:bodyPr/>
                  <a:lstStyle/>
                  <a:p>
                    <a:fld id="{15ECF348-D229-4126-8A79-53AD7EFCC5F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3DA9-4276-868F-3CAE5C0CC82E}"/>
                </c:ext>
              </c:extLst>
            </c:dLbl>
            <c:dLbl>
              <c:idx val="18"/>
              <c:tx>
                <c:rich>
                  <a:bodyPr/>
                  <a:lstStyle/>
                  <a:p>
                    <a:fld id="{E0C059D7-CE81-4661-BF4F-A6E6A054F9E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3DA9-4276-868F-3CAE5C0CC82E}"/>
                </c:ext>
              </c:extLst>
            </c:dLbl>
            <c:dLbl>
              <c:idx val="19"/>
              <c:tx>
                <c:rich>
                  <a:bodyPr/>
                  <a:lstStyle/>
                  <a:p>
                    <a:fld id="{DA7BA247-CE20-49CE-BA96-E35C851EA5F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3DA9-4276-868F-3CAE5C0CC82E}"/>
                </c:ext>
              </c:extLst>
            </c:dLbl>
            <c:dLbl>
              <c:idx val="20"/>
              <c:tx>
                <c:rich>
                  <a:bodyPr/>
                  <a:lstStyle/>
                  <a:p>
                    <a:fld id="{23CF43CE-4A7D-489F-B1E6-456357E1905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3DA9-4276-868F-3CAE5C0CC82E}"/>
                </c:ext>
              </c:extLst>
            </c:dLbl>
            <c:dLbl>
              <c:idx val="21"/>
              <c:tx>
                <c:rich>
                  <a:bodyPr/>
                  <a:lstStyle/>
                  <a:p>
                    <a:fld id="{A849FE78-74FB-4860-8877-55F98B6342F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3DA9-4276-868F-3CAE5C0CC82E}"/>
                </c:ext>
              </c:extLst>
            </c:dLbl>
            <c:dLbl>
              <c:idx val="22"/>
              <c:tx>
                <c:rich>
                  <a:bodyPr/>
                  <a:lstStyle/>
                  <a:p>
                    <a:fld id="{D1C5B74E-A825-426E-975F-88D7DEDD93C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3DA9-4276-868F-3CAE5C0CC82E}"/>
                </c:ext>
              </c:extLst>
            </c:dLbl>
            <c:dLbl>
              <c:idx val="23"/>
              <c:tx>
                <c:rich>
                  <a:bodyPr/>
                  <a:lstStyle/>
                  <a:p>
                    <a:fld id="{25B147FA-2834-4202-BDE1-F355536DC9E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3DA9-4276-868F-3CAE5C0CC82E}"/>
                </c:ext>
              </c:extLst>
            </c:dLbl>
            <c:dLbl>
              <c:idx val="24"/>
              <c:tx>
                <c:rich>
                  <a:bodyPr/>
                  <a:lstStyle/>
                  <a:p>
                    <a:fld id="{7C7F68F8-F1AC-4A93-A9B1-EF7D350D975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3DA9-4276-868F-3CAE5C0CC82E}"/>
                </c:ext>
              </c:extLst>
            </c:dLbl>
            <c:dLbl>
              <c:idx val="25"/>
              <c:tx>
                <c:rich>
                  <a:bodyPr/>
                  <a:lstStyle/>
                  <a:p>
                    <a:fld id="{713FACCD-C4B0-489C-9C1F-795EBB987BB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3DA9-4276-868F-3CAE5C0CC82E}"/>
                </c:ext>
              </c:extLst>
            </c:dLbl>
            <c:dLbl>
              <c:idx val="26"/>
              <c:tx>
                <c:rich>
                  <a:bodyPr/>
                  <a:lstStyle/>
                  <a:p>
                    <a:fld id="{3E51D197-1A72-4D0F-8EE2-00DD84D4B08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3DA9-4276-868F-3CAE5C0CC82E}"/>
                </c:ext>
              </c:extLst>
            </c:dLbl>
            <c:dLbl>
              <c:idx val="27"/>
              <c:tx>
                <c:rich>
                  <a:bodyPr/>
                  <a:lstStyle/>
                  <a:p>
                    <a:fld id="{C9F02223-72A6-4541-A704-8BBC5A7FA6A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3DA9-4276-868F-3CAE5C0CC82E}"/>
                </c:ext>
              </c:extLst>
            </c:dLbl>
            <c:dLbl>
              <c:idx val="28"/>
              <c:tx>
                <c:rich>
                  <a:bodyPr/>
                  <a:lstStyle/>
                  <a:p>
                    <a:fld id="{BFBDE14D-72FE-4C04-A2D8-B5D14726D26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3DA9-4276-868F-3CAE5C0CC82E}"/>
                </c:ext>
              </c:extLst>
            </c:dLbl>
            <c:dLbl>
              <c:idx val="29"/>
              <c:tx>
                <c:rich>
                  <a:bodyPr/>
                  <a:lstStyle/>
                  <a:p>
                    <a:fld id="{131C2D8D-4B1D-40AC-84AB-B492DB48F83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3DA9-4276-868F-3CAE5C0CC82E}"/>
                </c:ext>
              </c:extLst>
            </c:dLbl>
            <c:dLbl>
              <c:idx val="30"/>
              <c:tx>
                <c:rich>
                  <a:bodyPr/>
                  <a:lstStyle/>
                  <a:p>
                    <a:fld id="{98C57FA8-C906-464D-95E6-49CFA3AC0B4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3DA9-4276-868F-3CAE5C0CC82E}"/>
                </c:ext>
              </c:extLst>
            </c:dLbl>
            <c:dLbl>
              <c:idx val="31"/>
              <c:tx>
                <c:rich>
                  <a:bodyPr/>
                  <a:lstStyle/>
                  <a:p>
                    <a:fld id="{1285373E-D520-46BB-A528-F7E3CA488A4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3DA9-4276-868F-3CAE5C0CC82E}"/>
                </c:ext>
              </c:extLst>
            </c:dLbl>
            <c:dLbl>
              <c:idx val="32"/>
              <c:tx>
                <c:rich>
                  <a:bodyPr/>
                  <a:lstStyle/>
                  <a:p>
                    <a:fld id="{1F1E145A-3150-447D-B7CE-C63312DD4BA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3DA9-4276-868F-3CAE5C0CC82E}"/>
                </c:ext>
              </c:extLst>
            </c:dLbl>
            <c:dLbl>
              <c:idx val="33"/>
              <c:tx>
                <c:rich>
                  <a:bodyPr/>
                  <a:lstStyle/>
                  <a:p>
                    <a:fld id="{C884F1E5-F956-4D51-9A1D-6E2673FA465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3DA9-4276-868F-3CAE5C0CC82E}"/>
                </c:ext>
              </c:extLst>
            </c:dLbl>
            <c:dLbl>
              <c:idx val="34"/>
              <c:tx>
                <c:rich>
                  <a:bodyPr/>
                  <a:lstStyle/>
                  <a:p>
                    <a:fld id="{32506510-5F2B-4C7A-9006-6ECD1295511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3DA9-4276-868F-3CAE5C0CC82E}"/>
                </c:ext>
              </c:extLst>
            </c:dLbl>
            <c:dLbl>
              <c:idx val="35"/>
              <c:tx>
                <c:rich>
                  <a:bodyPr/>
                  <a:lstStyle/>
                  <a:p>
                    <a:fld id="{27587FE2-E519-423E-B6AA-00C034E4B43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3DA9-4276-868F-3CAE5C0CC82E}"/>
                </c:ext>
              </c:extLst>
            </c:dLbl>
            <c:dLbl>
              <c:idx val="36"/>
              <c:tx>
                <c:rich>
                  <a:bodyPr/>
                  <a:lstStyle/>
                  <a:p>
                    <a:fld id="{145AB121-AD6A-4A1F-9440-7BB1B4E5D66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3DA9-4276-868F-3CAE5C0CC82E}"/>
                </c:ext>
              </c:extLst>
            </c:dLbl>
            <c:dLbl>
              <c:idx val="37"/>
              <c:tx>
                <c:rich>
                  <a:bodyPr/>
                  <a:lstStyle/>
                  <a:p>
                    <a:fld id="{0BBD8629-62EB-434D-86A2-D389580FEE1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3DA9-4276-868F-3CAE5C0CC82E}"/>
                </c:ext>
              </c:extLst>
            </c:dLbl>
            <c:dLbl>
              <c:idx val="38"/>
              <c:tx>
                <c:rich>
                  <a:bodyPr/>
                  <a:lstStyle/>
                  <a:p>
                    <a:fld id="{D340CD6D-0A88-48EA-8758-D7CC708818F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3DA9-4276-868F-3CAE5C0CC82E}"/>
                </c:ext>
              </c:extLst>
            </c:dLbl>
            <c:dLbl>
              <c:idx val="39"/>
              <c:tx>
                <c:rich>
                  <a:bodyPr/>
                  <a:lstStyle/>
                  <a:p>
                    <a:fld id="{BDBDA858-F6EA-4349-8A1B-CC918E9C8F9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3DA9-4276-868F-3CAE5C0CC82E}"/>
                </c:ext>
              </c:extLst>
            </c:dLbl>
            <c:dLbl>
              <c:idx val="40"/>
              <c:tx>
                <c:rich>
                  <a:bodyPr/>
                  <a:lstStyle/>
                  <a:p>
                    <a:fld id="{C663C7D6-A903-4329-9CEC-FB218DD36F6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3DA9-4276-868F-3CAE5C0CC82E}"/>
                </c:ext>
              </c:extLst>
            </c:dLbl>
            <c:dLbl>
              <c:idx val="41"/>
              <c:tx>
                <c:rich>
                  <a:bodyPr/>
                  <a:lstStyle/>
                  <a:p>
                    <a:fld id="{95924926-4D32-4A6C-8D80-1E761FE46C5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3DA9-4276-868F-3CAE5C0CC82E}"/>
                </c:ext>
              </c:extLst>
            </c:dLbl>
            <c:dLbl>
              <c:idx val="42"/>
              <c:tx>
                <c:rich>
                  <a:bodyPr/>
                  <a:lstStyle/>
                  <a:p>
                    <a:fld id="{281D0823-4E1B-4411-B569-F2FC8EF8B2D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2-3DA9-4276-868F-3CAE5C0CC82E}"/>
                </c:ext>
              </c:extLst>
            </c:dLbl>
            <c:dLbl>
              <c:idx val="43"/>
              <c:tx>
                <c:rich>
                  <a:bodyPr/>
                  <a:lstStyle/>
                  <a:p>
                    <a:fld id="{1C855DEA-D17E-46DA-97A2-21A9335F052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3-3DA9-4276-868F-3CAE5C0CC82E}"/>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usluga'!$I$90:$I$133</c:f>
              <c:numCache>
                <c:formatCode>General</c:formatCode>
                <c:ptCount val="44"/>
                <c:pt idx="0">
                  <c:v>30</c:v>
                </c:pt>
                <c:pt idx="1">
                  <c:v>30</c:v>
                </c:pt>
                <c:pt idx="2">
                  <c:v>30</c:v>
                </c:pt>
                <c:pt idx="3">
                  <c:v>30</c:v>
                </c:pt>
                <c:pt idx="4">
                  <c:v>30</c:v>
                </c:pt>
                <c:pt idx="5">
                  <c:v>30</c:v>
                </c:pt>
                <c:pt idx="6">
                  <c:v>30</c:v>
                </c:pt>
                <c:pt idx="7">
                  <c:v>30</c:v>
                </c:pt>
                <c:pt idx="8">
                  <c:v>30</c:v>
                </c:pt>
                <c:pt idx="9">
                  <c:v>30</c:v>
                </c:pt>
                <c:pt idx="10">
                  <c:v>30</c:v>
                </c:pt>
                <c:pt idx="11">
                  <c:v>30</c:v>
                </c:pt>
                <c:pt idx="12">
                  <c:v>30</c:v>
                </c:pt>
                <c:pt idx="13">
                  <c:v>30</c:v>
                </c:pt>
                <c:pt idx="14">
                  <c:v>30</c:v>
                </c:pt>
                <c:pt idx="15">
                  <c:v>30</c:v>
                </c:pt>
                <c:pt idx="16">
                  <c:v>30</c:v>
                </c:pt>
                <c:pt idx="17">
                  <c:v>30</c:v>
                </c:pt>
                <c:pt idx="18">
                  <c:v>30</c:v>
                </c:pt>
                <c:pt idx="19">
                  <c:v>30</c:v>
                </c:pt>
                <c:pt idx="20">
                  <c:v>30</c:v>
                </c:pt>
                <c:pt idx="21">
                  <c:v>30</c:v>
                </c:pt>
                <c:pt idx="22">
                  <c:v>30</c:v>
                </c:pt>
                <c:pt idx="23">
                  <c:v>30</c:v>
                </c:pt>
                <c:pt idx="24">
                  <c:v>30</c:v>
                </c:pt>
                <c:pt idx="25">
                  <c:v>30</c:v>
                </c:pt>
                <c:pt idx="26">
                  <c:v>30</c:v>
                </c:pt>
                <c:pt idx="27">
                  <c:v>30</c:v>
                </c:pt>
                <c:pt idx="28">
                  <c:v>30</c:v>
                </c:pt>
                <c:pt idx="29">
                  <c:v>30</c:v>
                </c:pt>
                <c:pt idx="30">
                  <c:v>30</c:v>
                </c:pt>
                <c:pt idx="31">
                  <c:v>30</c:v>
                </c:pt>
                <c:pt idx="32">
                  <c:v>30</c:v>
                </c:pt>
                <c:pt idx="33">
                  <c:v>30</c:v>
                </c:pt>
                <c:pt idx="34">
                  <c:v>30</c:v>
                </c:pt>
                <c:pt idx="35">
                  <c:v>30</c:v>
                </c:pt>
                <c:pt idx="36">
                  <c:v>30</c:v>
                </c:pt>
                <c:pt idx="37">
                  <c:v>30</c:v>
                </c:pt>
                <c:pt idx="38">
                  <c:v>30</c:v>
                </c:pt>
                <c:pt idx="39">
                  <c:v>30</c:v>
                </c:pt>
                <c:pt idx="40">
                  <c:v>30</c:v>
                </c:pt>
                <c:pt idx="41">
                  <c:v>30</c:v>
                </c:pt>
                <c:pt idx="42">
                  <c:v>30</c:v>
                </c:pt>
                <c:pt idx="43">
                  <c:v>30</c:v>
                </c:pt>
              </c:numCache>
            </c:numRef>
          </c:val>
          <c:smooth val="0"/>
          <c:extLst>
            <c:ext xmlns:c15="http://schemas.microsoft.com/office/drawing/2012/chart" uri="{02D57815-91ED-43cb-92C2-25804820EDAC}">
              <c15:datalabelsRange>
                <c15:f>'BoP_izvoz usluga'!$J$90:$J$133</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4-3DA9-4276-868F-3CAE5C0CC82E}"/>
            </c:ext>
          </c:extLst>
        </c:ser>
        <c:dLbls>
          <c:showLegendKey val="0"/>
          <c:showVal val="0"/>
          <c:showCatName val="0"/>
          <c:showSerName val="0"/>
          <c:showPercent val="0"/>
          <c:showBubbleSize val="0"/>
        </c:dLbls>
        <c:smooth val="0"/>
        <c:axId val="1828933200"/>
        <c:axId val="1828928304"/>
      </c:lineChart>
      <c:dateAx>
        <c:axId val="18289332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8304"/>
        <c:crosses val="autoZero"/>
        <c:auto val="1"/>
        <c:lblOffset val="0"/>
        <c:baseTimeUnit val="months"/>
      </c:dateAx>
      <c:valAx>
        <c:axId val="1828928304"/>
        <c:scaling>
          <c:orientation val="minMax"/>
          <c:max val="175"/>
          <c:min val="3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320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1151726726726725"/>
        </c:manualLayout>
      </c:layout>
      <c:lineChart>
        <c:grouping val="standard"/>
        <c:varyColors val="0"/>
        <c:ser>
          <c:idx val="0"/>
          <c:order val="0"/>
          <c:tx>
            <c:strRef>
              <c:f>Usluge!$S$5</c:f>
              <c:strCache>
                <c:ptCount val="1"/>
                <c:pt idx="0">
                  <c:v>y</c:v>
                </c:pt>
              </c:strCache>
            </c:strRef>
          </c:tx>
          <c:spPr>
            <a:ln w="12700" cap="rnd">
              <a:solidFill>
                <a:srgbClr val="7F3F98"/>
              </a:solidFill>
              <a:prstDash val="sysDash"/>
              <a:round/>
            </a:ln>
            <a:effectLst/>
          </c:spPr>
          <c:marker>
            <c:symbol val="none"/>
          </c:marker>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Usluge!$S$126:$S$170</c:f>
              <c:numCache>
                <c:formatCode>0.0</c:formatCode>
                <c:ptCount val="45"/>
                <c:pt idx="0">
                  <c:v>81.033662770000007</c:v>
                </c:pt>
                <c:pt idx="1">
                  <c:v>89.345893318999998</c:v>
                </c:pt>
                <c:pt idx="2">
                  <c:v>93.330736067999993</c:v>
                </c:pt>
                <c:pt idx="3">
                  <c:v>114.156446058</c:v>
                </c:pt>
                <c:pt idx="4">
                  <c:v>144.09473649399999</c:v>
                </c:pt>
                <c:pt idx="5">
                  <c:v>145.34113003100001</c:v>
                </c:pt>
                <c:pt idx="6">
                  <c:v>169.06671175100001</c:v>
                </c:pt>
                <c:pt idx="7">
                  <c:v>191.53766709199999</c:v>
                </c:pt>
                <c:pt idx="8">
                  <c:v>133.19224789699999</c:v>
                </c:pt>
                <c:pt idx="9">
                  <c:v>124.314009431</c:v>
                </c:pt>
                <c:pt idx="10">
                  <c:v>94.688714023000003</c:v>
                </c:pt>
                <c:pt idx="11">
                  <c:v>100.82453387</c:v>
                </c:pt>
                <c:pt idx="12">
                  <c:v>101.37892759899999</c:v>
                </c:pt>
                <c:pt idx="13">
                  <c:v>107.281434573</c:v>
                </c:pt>
                <c:pt idx="14">
                  <c:v>50.660795866000001</c:v>
                </c:pt>
                <c:pt idx="15">
                  <c:v>6.1240586439999998</c:v>
                </c:pt>
                <c:pt idx="16">
                  <c:v>25.093703713</c:v>
                </c:pt>
                <c:pt idx="17">
                  <c:v>82.354739949000006</c:v>
                </c:pt>
                <c:pt idx="18">
                  <c:v>108.40859890999999</c:v>
                </c:pt>
                <c:pt idx="19">
                  <c:v>158.875628949</c:v>
                </c:pt>
                <c:pt idx="20">
                  <c:v>102.632377858</c:v>
                </c:pt>
                <c:pt idx="21">
                  <c:v>77.738173559000003</c:v>
                </c:pt>
                <c:pt idx="22">
                  <c:v>50.752386238</c:v>
                </c:pt>
                <c:pt idx="23">
                  <c:v>40.382092098000001</c:v>
                </c:pt>
                <c:pt idx="24">
                  <c:v>66.058416426999997</c:v>
                </c:pt>
                <c:pt idx="25">
                  <c:v>69.799802264999997</c:v>
                </c:pt>
                <c:pt idx="26">
                  <c:v>61.460667962999999</c:v>
                </c:pt>
                <c:pt idx="27">
                  <c:v>58.604312686</c:v>
                </c:pt>
                <c:pt idx="28">
                  <c:v>86.121118343000006</c:v>
                </c:pt>
                <c:pt idx="29">
                  <c:v>114.727599502</c:v>
                </c:pt>
                <c:pt idx="30">
                  <c:v>173.498627247</c:v>
                </c:pt>
                <c:pt idx="31">
                  <c:v>195.88548998300001</c:v>
                </c:pt>
                <c:pt idx="32">
                  <c:v>123.544973739</c:v>
                </c:pt>
                <c:pt idx="33">
                  <c:v>91.929241660000002</c:v>
                </c:pt>
                <c:pt idx="34">
                  <c:v>77.110272308999996</c:v>
                </c:pt>
                <c:pt idx="35">
                  <c:v>81.259477876000005</c:v>
                </c:pt>
                <c:pt idx="36">
                  <c:v>91.482142261000007</c:v>
                </c:pt>
                <c:pt idx="37">
                  <c:v>85.535803013999995</c:v>
                </c:pt>
                <c:pt idx="38">
                  <c:v>94.345990724000004</c:v>
                </c:pt>
                <c:pt idx="39">
                  <c:v>103.214513852</c:v>
                </c:pt>
                <c:pt idx="40">
                  <c:v>132.011363217</c:v>
                </c:pt>
                <c:pt idx="41">
                  <c:v>139.13997683100001</c:v>
                </c:pt>
                <c:pt idx="42">
                  <c:v>174.62067092300001</c:v>
                </c:pt>
                <c:pt idx="43">
                  <c:v>214.78342523500001</c:v>
                </c:pt>
                <c:pt idx="44">
                  <c:v>170.323256211</c:v>
                </c:pt>
              </c:numCache>
            </c:numRef>
          </c:val>
          <c:smooth val="0"/>
          <c:extLst>
            <c:ext xmlns:c16="http://schemas.microsoft.com/office/drawing/2014/chart" uri="{C3380CC4-5D6E-409C-BE32-E72D297353CC}">
              <c16:uniqueId val="{00000000-E746-405F-A180-7C007218068C}"/>
            </c:ext>
          </c:extLst>
        </c:ser>
        <c:ser>
          <c:idx val="1"/>
          <c:order val="1"/>
          <c:tx>
            <c:strRef>
              <c:f>Usluge!$T$5</c:f>
              <c:strCache>
                <c:ptCount val="1"/>
                <c:pt idx="0">
                  <c:v>sa</c:v>
                </c:pt>
              </c:strCache>
            </c:strRef>
          </c:tx>
          <c:spPr>
            <a:ln w="22225" cap="rnd">
              <a:solidFill>
                <a:srgbClr val="25AAE1"/>
              </a:solidFill>
              <a:round/>
            </a:ln>
            <a:effectLst/>
          </c:spPr>
          <c:marker>
            <c:symbol val="none"/>
          </c:marker>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Usluge!$T$126:$T$170</c:f>
              <c:numCache>
                <c:formatCode>0.0</c:formatCode>
                <c:ptCount val="45"/>
                <c:pt idx="0">
                  <c:v>104.24555368199999</c:v>
                </c:pt>
                <c:pt idx="1">
                  <c:v>114.791713992</c:v>
                </c:pt>
                <c:pt idx="2">
                  <c:v>118.53160813300001</c:v>
                </c:pt>
                <c:pt idx="3">
                  <c:v>130.46622324800001</c:v>
                </c:pt>
                <c:pt idx="4">
                  <c:v>131.016225625</c:v>
                </c:pt>
                <c:pt idx="5">
                  <c:v>127.229032378</c:v>
                </c:pt>
                <c:pt idx="6">
                  <c:v>124.99544480599999</c:v>
                </c:pt>
                <c:pt idx="7">
                  <c:v>118.51746225399999</c:v>
                </c:pt>
                <c:pt idx="8">
                  <c:v>121.607126897</c:v>
                </c:pt>
                <c:pt idx="9">
                  <c:v>125.796963437</c:v>
                </c:pt>
                <c:pt idx="10">
                  <c:v>132.46195784299999</c:v>
                </c:pt>
                <c:pt idx="11">
                  <c:v>133.57659570800001</c:v>
                </c:pt>
                <c:pt idx="12">
                  <c:v>128.63565867200001</c:v>
                </c:pt>
                <c:pt idx="13">
                  <c:v>118.666348369</c:v>
                </c:pt>
                <c:pt idx="14">
                  <c:v>65.985819617000004</c:v>
                </c:pt>
                <c:pt idx="15">
                  <c:v>7.1582561069999997</c:v>
                </c:pt>
                <c:pt idx="16">
                  <c:v>22.952322736999999</c:v>
                </c:pt>
                <c:pt idx="17">
                  <c:v>74.233262203999999</c:v>
                </c:pt>
                <c:pt idx="18">
                  <c:v>80.291344706999993</c:v>
                </c:pt>
                <c:pt idx="19">
                  <c:v>96.059361527999997</c:v>
                </c:pt>
                <c:pt idx="20">
                  <c:v>91.716255809000003</c:v>
                </c:pt>
                <c:pt idx="21">
                  <c:v>77.061451966999996</c:v>
                </c:pt>
                <c:pt idx="22">
                  <c:v>70.959104386999996</c:v>
                </c:pt>
                <c:pt idx="23">
                  <c:v>54.008856100999999</c:v>
                </c:pt>
                <c:pt idx="24">
                  <c:v>81.275834231000005</c:v>
                </c:pt>
                <c:pt idx="25">
                  <c:v>91.082540617999996</c:v>
                </c:pt>
                <c:pt idx="26">
                  <c:v>81.295788166999998</c:v>
                </c:pt>
                <c:pt idx="27">
                  <c:v>70.297454703</c:v>
                </c:pt>
                <c:pt idx="28">
                  <c:v>81.436690533000004</c:v>
                </c:pt>
                <c:pt idx="29">
                  <c:v>103.86422835</c:v>
                </c:pt>
                <c:pt idx="30">
                  <c:v>128.30157756</c:v>
                </c:pt>
                <c:pt idx="31">
                  <c:v>117.364609161</c:v>
                </c:pt>
                <c:pt idx="32">
                  <c:v>107.76399560900001</c:v>
                </c:pt>
                <c:pt idx="33">
                  <c:v>88.711194284000001</c:v>
                </c:pt>
                <c:pt idx="34">
                  <c:v>108.91596672599999</c:v>
                </c:pt>
                <c:pt idx="35">
                  <c:v>108.89067119400001</c:v>
                </c:pt>
                <c:pt idx="36">
                  <c:v>112.870438557</c:v>
                </c:pt>
                <c:pt idx="37">
                  <c:v>112.63646679199999</c:v>
                </c:pt>
                <c:pt idx="38">
                  <c:v>125.680248232</c:v>
                </c:pt>
                <c:pt idx="39">
                  <c:v>125.01644863600001</c:v>
                </c:pt>
                <c:pt idx="40">
                  <c:v>127.62241244000001</c:v>
                </c:pt>
                <c:pt idx="41">
                  <c:v>127.38128534000001</c:v>
                </c:pt>
                <c:pt idx="42">
                  <c:v>126.968101421</c:v>
                </c:pt>
                <c:pt idx="43">
                  <c:v>128.22458642000001</c:v>
                </c:pt>
                <c:pt idx="44">
                  <c:v>145.733507213</c:v>
                </c:pt>
              </c:numCache>
            </c:numRef>
          </c:val>
          <c:smooth val="0"/>
          <c:extLst>
            <c:ext xmlns:c16="http://schemas.microsoft.com/office/drawing/2014/chart" uri="{C3380CC4-5D6E-409C-BE32-E72D297353CC}">
              <c16:uniqueId val="{00000001-E746-405F-A180-7C007218068C}"/>
            </c:ext>
          </c:extLst>
        </c:ser>
        <c:ser>
          <c:idx val="2"/>
          <c:order val="2"/>
          <c:tx>
            <c:strRef>
              <c:f>Usluge!$U$5</c:f>
              <c:strCache>
                <c:ptCount val="1"/>
                <c:pt idx="0">
                  <c:v>t</c:v>
                </c:pt>
              </c:strCache>
            </c:strRef>
          </c:tx>
          <c:spPr>
            <a:ln w="25400" cap="rnd">
              <a:solidFill>
                <a:srgbClr val="FF0000"/>
              </a:solidFill>
              <a:round/>
            </a:ln>
            <a:effectLst/>
          </c:spPr>
          <c:marker>
            <c:symbol val="none"/>
          </c:marker>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Usluge!$U$126:$U$170</c:f>
              <c:numCache>
                <c:formatCode>0.0</c:formatCode>
                <c:ptCount val="45"/>
                <c:pt idx="0">
                  <c:v>112.079996208</c:v>
                </c:pt>
                <c:pt idx="1">
                  <c:v>115.700312909</c:v>
                </c:pt>
                <c:pt idx="2">
                  <c:v>120.27128273</c:v>
                </c:pt>
                <c:pt idx="3">
                  <c:v>124.28119804400001</c:v>
                </c:pt>
                <c:pt idx="4">
                  <c:v>126.492824902</c:v>
                </c:pt>
                <c:pt idx="5">
                  <c:v>126.51524366</c:v>
                </c:pt>
                <c:pt idx="6">
                  <c:v>125.260690285</c:v>
                </c:pt>
                <c:pt idx="7">
                  <c:v>124.443251742</c:v>
                </c:pt>
                <c:pt idx="8">
                  <c:v>125.285057318</c:v>
                </c:pt>
                <c:pt idx="9">
                  <c:v>127.515923844</c:v>
                </c:pt>
                <c:pt idx="10">
                  <c:v>129.598649911</c:v>
                </c:pt>
                <c:pt idx="11">
                  <c:v>129.17670090300001</c:v>
                </c:pt>
                <c:pt idx="12">
                  <c:v>124.785170311</c:v>
                </c:pt>
                <c:pt idx="13">
                  <c:v>116.51231169099999</c:v>
                </c:pt>
                <c:pt idx="14">
                  <c:v>105.94757495499999</c:v>
                </c:pt>
                <c:pt idx="15">
                  <c:v>95.515534842999998</c:v>
                </c:pt>
                <c:pt idx="16">
                  <c:v>87.219233848000002</c:v>
                </c:pt>
                <c:pt idx="17">
                  <c:v>81.895303369000004</c:v>
                </c:pt>
                <c:pt idx="18">
                  <c:v>79.023428499999994</c:v>
                </c:pt>
                <c:pt idx="19">
                  <c:v>77.660510273</c:v>
                </c:pt>
                <c:pt idx="20">
                  <c:v>76.969908975999999</c:v>
                </c:pt>
                <c:pt idx="21">
                  <c:v>76.398156514999997</c:v>
                </c:pt>
                <c:pt idx="22">
                  <c:v>75.998180751000007</c:v>
                </c:pt>
                <c:pt idx="23">
                  <c:v>76.278747027999998</c:v>
                </c:pt>
                <c:pt idx="24">
                  <c:v>77.786400520000001</c:v>
                </c:pt>
                <c:pt idx="25">
                  <c:v>80.601045002000006</c:v>
                </c:pt>
                <c:pt idx="26">
                  <c:v>84.937752067999995</c:v>
                </c:pt>
                <c:pt idx="27">
                  <c:v>90.543291922999998</c:v>
                </c:pt>
                <c:pt idx="28">
                  <c:v>96.696236131000006</c:v>
                </c:pt>
                <c:pt idx="29">
                  <c:v>102.486055691</c:v>
                </c:pt>
                <c:pt idx="30">
                  <c:v>106.99421939200001</c:v>
                </c:pt>
                <c:pt idx="31">
                  <c:v>109.648759154</c:v>
                </c:pt>
                <c:pt idx="32">
                  <c:v>110.27357059000001</c:v>
                </c:pt>
                <c:pt idx="33">
                  <c:v>109.829774958</c:v>
                </c:pt>
                <c:pt idx="34">
                  <c:v>109.60217367200001</c:v>
                </c:pt>
                <c:pt idx="35">
                  <c:v>110.562436803</c:v>
                </c:pt>
                <c:pt idx="36">
                  <c:v>113.11360691900001</c:v>
                </c:pt>
                <c:pt idx="37">
                  <c:v>116.84124481800001</c:v>
                </c:pt>
                <c:pt idx="38">
                  <c:v>120.518503045</c:v>
                </c:pt>
                <c:pt idx="39">
                  <c:v>123.392041687</c:v>
                </c:pt>
                <c:pt idx="40">
                  <c:v>125.832134287</c:v>
                </c:pt>
                <c:pt idx="41">
                  <c:v>128.342501306</c:v>
                </c:pt>
                <c:pt idx="42">
                  <c:v>131.38923705900001</c:v>
                </c:pt>
                <c:pt idx="43">
                  <c:v>134.825808102</c:v>
                </c:pt>
                <c:pt idx="44">
                  <c:v>138.06790364599999</c:v>
                </c:pt>
              </c:numCache>
            </c:numRef>
          </c:val>
          <c:smooth val="0"/>
          <c:extLst>
            <c:ext xmlns:c16="http://schemas.microsoft.com/office/drawing/2014/chart" uri="{C3380CC4-5D6E-409C-BE32-E72D297353CC}">
              <c16:uniqueId val="{00000002-E746-405F-A180-7C007218068C}"/>
            </c:ext>
          </c:extLst>
        </c:ser>
        <c:ser>
          <c:idx val="3"/>
          <c:order val="3"/>
          <c:tx>
            <c:strRef>
              <c:f>Usluge!$V$5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5.9287051794563596E-2"/>
                  <c:y val="6.089789789789790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46-405F-A180-7C007218068C}"/>
                </c:ext>
              </c:extLst>
            </c:dLbl>
            <c:dLbl>
              <c:idx val="12"/>
              <c:layout>
                <c:manualLayout>
                  <c:x val="6.3079455490815894E-2"/>
                  <c:y val="6.089789789789790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746-405F-A180-7C007218068C}"/>
                </c:ext>
              </c:extLst>
            </c:dLbl>
            <c:dLbl>
              <c:idx val="24"/>
              <c:layout>
                <c:manualLayout>
                  <c:x val="6.2105400674104458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746-405F-A180-7C007218068C}"/>
                </c:ext>
              </c:extLst>
            </c:dLbl>
            <c:dLbl>
              <c:idx val="36"/>
              <c:layout>
                <c:manualLayout>
                  <c:x val="2.1790818592741457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746-405F-A180-7C007218068C}"/>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Usluge!$V$126:$V$170</c:f>
              <c:numCache>
                <c:formatCode>General</c:formatCode>
                <c:ptCount val="45"/>
                <c:pt idx="0">
                  <c:v>0</c:v>
                </c:pt>
                <c:pt idx="12">
                  <c:v>0</c:v>
                </c:pt>
                <c:pt idx="24">
                  <c:v>0</c:v>
                </c:pt>
                <c:pt idx="36">
                  <c:v>0</c:v>
                </c:pt>
              </c:numCache>
            </c:numRef>
          </c:val>
          <c:smooth val="0"/>
          <c:extLst>
            <c:ext xmlns:c16="http://schemas.microsoft.com/office/drawing/2014/chart" uri="{C3380CC4-5D6E-409C-BE32-E72D297353CC}">
              <c16:uniqueId val="{00000007-E746-405F-A180-7C007218068C}"/>
            </c:ext>
          </c:extLst>
        </c:ser>
        <c:ser>
          <c:idx val="4"/>
          <c:order val="4"/>
          <c:tx>
            <c:strRef>
              <c:f>Usluge!$W$5</c:f>
              <c:strCache>
                <c:ptCount val="1"/>
                <c:pt idx="0">
                  <c:v>Series5</c:v>
                </c:pt>
              </c:strCache>
            </c:strRef>
          </c:tx>
          <c:spPr>
            <a:ln w="28575" cap="rnd">
              <a:noFill/>
              <a:round/>
            </a:ln>
            <a:effectLst/>
          </c:spPr>
          <c:marker>
            <c:symbol val="none"/>
          </c:marker>
          <c:dLbls>
            <c:dLbl>
              <c:idx val="0"/>
              <c:tx>
                <c:rich>
                  <a:bodyPr/>
                  <a:lstStyle/>
                  <a:p>
                    <a:fld id="{3952F99A-AF07-4C1C-A265-33C228F6C13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E746-405F-A180-7C007218068C}"/>
                </c:ext>
              </c:extLst>
            </c:dLbl>
            <c:dLbl>
              <c:idx val="1"/>
              <c:tx>
                <c:rich>
                  <a:bodyPr/>
                  <a:lstStyle/>
                  <a:p>
                    <a:fld id="{451E3736-9679-4892-8A3E-BFC1EC4109A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E746-405F-A180-7C007218068C}"/>
                </c:ext>
              </c:extLst>
            </c:dLbl>
            <c:dLbl>
              <c:idx val="2"/>
              <c:tx>
                <c:rich>
                  <a:bodyPr/>
                  <a:lstStyle/>
                  <a:p>
                    <a:fld id="{082DEE22-7D22-42A7-9B90-F03147CE407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E746-405F-A180-7C007218068C}"/>
                </c:ext>
              </c:extLst>
            </c:dLbl>
            <c:dLbl>
              <c:idx val="3"/>
              <c:tx>
                <c:rich>
                  <a:bodyPr/>
                  <a:lstStyle/>
                  <a:p>
                    <a:fld id="{5743D2C9-A285-448F-B447-05276A12810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E746-405F-A180-7C007218068C}"/>
                </c:ext>
              </c:extLst>
            </c:dLbl>
            <c:dLbl>
              <c:idx val="4"/>
              <c:tx>
                <c:rich>
                  <a:bodyPr/>
                  <a:lstStyle/>
                  <a:p>
                    <a:fld id="{604BBA7D-1FB3-47B4-B049-02C6E0A8317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E746-405F-A180-7C007218068C}"/>
                </c:ext>
              </c:extLst>
            </c:dLbl>
            <c:dLbl>
              <c:idx val="5"/>
              <c:tx>
                <c:rich>
                  <a:bodyPr/>
                  <a:lstStyle/>
                  <a:p>
                    <a:fld id="{D7F3B601-F743-491E-BEDB-4C1E008DB45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E746-405F-A180-7C007218068C}"/>
                </c:ext>
              </c:extLst>
            </c:dLbl>
            <c:dLbl>
              <c:idx val="6"/>
              <c:tx>
                <c:rich>
                  <a:bodyPr/>
                  <a:lstStyle/>
                  <a:p>
                    <a:fld id="{0AB950FE-DCD0-4A24-90DB-6D4420330553}"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E746-405F-A180-7C007218068C}"/>
                </c:ext>
              </c:extLst>
            </c:dLbl>
            <c:dLbl>
              <c:idx val="7"/>
              <c:tx>
                <c:rich>
                  <a:bodyPr/>
                  <a:lstStyle/>
                  <a:p>
                    <a:fld id="{EF90C947-5080-4C3C-A2A5-A9E13339C7B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E746-405F-A180-7C007218068C}"/>
                </c:ext>
              </c:extLst>
            </c:dLbl>
            <c:dLbl>
              <c:idx val="8"/>
              <c:tx>
                <c:rich>
                  <a:bodyPr/>
                  <a:lstStyle/>
                  <a:p>
                    <a:fld id="{F103B0ED-7A0F-4E93-A676-C8C8DBAD918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E746-405F-A180-7C007218068C}"/>
                </c:ext>
              </c:extLst>
            </c:dLbl>
            <c:dLbl>
              <c:idx val="9"/>
              <c:tx>
                <c:rich>
                  <a:bodyPr/>
                  <a:lstStyle/>
                  <a:p>
                    <a:fld id="{8F6E9F2C-02CF-4438-90F2-2230D1CF121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E746-405F-A180-7C007218068C}"/>
                </c:ext>
              </c:extLst>
            </c:dLbl>
            <c:dLbl>
              <c:idx val="10"/>
              <c:tx>
                <c:rich>
                  <a:bodyPr/>
                  <a:lstStyle/>
                  <a:p>
                    <a:fld id="{B5DE5F47-8FE5-4930-A9F0-122ACE99257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E746-405F-A180-7C007218068C}"/>
                </c:ext>
              </c:extLst>
            </c:dLbl>
            <c:dLbl>
              <c:idx val="11"/>
              <c:tx>
                <c:rich>
                  <a:bodyPr/>
                  <a:lstStyle/>
                  <a:p>
                    <a:fld id="{82B309F1-AC90-46D4-8076-2A619973D2B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E746-405F-A180-7C007218068C}"/>
                </c:ext>
              </c:extLst>
            </c:dLbl>
            <c:dLbl>
              <c:idx val="12"/>
              <c:tx>
                <c:rich>
                  <a:bodyPr/>
                  <a:lstStyle/>
                  <a:p>
                    <a:fld id="{FD299156-22DC-4DBD-83D2-7F932C56B1F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E746-405F-A180-7C007218068C}"/>
                </c:ext>
              </c:extLst>
            </c:dLbl>
            <c:dLbl>
              <c:idx val="13"/>
              <c:tx>
                <c:rich>
                  <a:bodyPr/>
                  <a:lstStyle/>
                  <a:p>
                    <a:fld id="{FBC5F31A-2A50-43CF-9D68-71FBBEF1FC3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E746-405F-A180-7C007218068C}"/>
                </c:ext>
              </c:extLst>
            </c:dLbl>
            <c:dLbl>
              <c:idx val="14"/>
              <c:tx>
                <c:rich>
                  <a:bodyPr/>
                  <a:lstStyle/>
                  <a:p>
                    <a:fld id="{BA7279AC-490F-45D0-A056-C8FD5ED7FCA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E746-405F-A180-7C007218068C}"/>
                </c:ext>
              </c:extLst>
            </c:dLbl>
            <c:dLbl>
              <c:idx val="15"/>
              <c:tx>
                <c:rich>
                  <a:bodyPr/>
                  <a:lstStyle/>
                  <a:p>
                    <a:fld id="{6A990127-8246-46FB-9EC4-E36899CD353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E746-405F-A180-7C007218068C}"/>
                </c:ext>
              </c:extLst>
            </c:dLbl>
            <c:dLbl>
              <c:idx val="16"/>
              <c:tx>
                <c:rich>
                  <a:bodyPr/>
                  <a:lstStyle/>
                  <a:p>
                    <a:fld id="{9F99069A-3928-40D9-B384-552A36FC43F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E746-405F-A180-7C007218068C}"/>
                </c:ext>
              </c:extLst>
            </c:dLbl>
            <c:dLbl>
              <c:idx val="17"/>
              <c:tx>
                <c:rich>
                  <a:bodyPr/>
                  <a:lstStyle/>
                  <a:p>
                    <a:fld id="{1A01688A-7C5F-4B42-835B-08519E923E8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E746-405F-A180-7C007218068C}"/>
                </c:ext>
              </c:extLst>
            </c:dLbl>
            <c:dLbl>
              <c:idx val="18"/>
              <c:tx>
                <c:rich>
                  <a:bodyPr/>
                  <a:lstStyle/>
                  <a:p>
                    <a:fld id="{C8FC46D2-99F1-493F-856D-60BAA5B7DFA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E746-405F-A180-7C007218068C}"/>
                </c:ext>
              </c:extLst>
            </c:dLbl>
            <c:dLbl>
              <c:idx val="19"/>
              <c:tx>
                <c:rich>
                  <a:bodyPr/>
                  <a:lstStyle/>
                  <a:p>
                    <a:fld id="{66217D84-7E9A-4325-888E-F2F3EEC2AEF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E746-405F-A180-7C007218068C}"/>
                </c:ext>
              </c:extLst>
            </c:dLbl>
            <c:dLbl>
              <c:idx val="20"/>
              <c:tx>
                <c:rich>
                  <a:bodyPr/>
                  <a:lstStyle/>
                  <a:p>
                    <a:fld id="{17413680-5E77-4D83-99C5-FB51FD842D8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E746-405F-A180-7C007218068C}"/>
                </c:ext>
              </c:extLst>
            </c:dLbl>
            <c:dLbl>
              <c:idx val="21"/>
              <c:tx>
                <c:rich>
                  <a:bodyPr/>
                  <a:lstStyle/>
                  <a:p>
                    <a:fld id="{8B78FBAD-D7A4-4B6D-9464-18AA57BDAAF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E746-405F-A180-7C007218068C}"/>
                </c:ext>
              </c:extLst>
            </c:dLbl>
            <c:dLbl>
              <c:idx val="22"/>
              <c:tx>
                <c:rich>
                  <a:bodyPr/>
                  <a:lstStyle/>
                  <a:p>
                    <a:fld id="{0530CB47-7B1C-4659-A356-3199F362F62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E746-405F-A180-7C007218068C}"/>
                </c:ext>
              </c:extLst>
            </c:dLbl>
            <c:dLbl>
              <c:idx val="23"/>
              <c:tx>
                <c:rich>
                  <a:bodyPr/>
                  <a:lstStyle/>
                  <a:p>
                    <a:fld id="{C8D3C42E-B864-40AA-92B1-B51D1489E75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E746-405F-A180-7C007218068C}"/>
                </c:ext>
              </c:extLst>
            </c:dLbl>
            <c:dLbl>
              <c:idx val="24"/>
              <c:tx>
                <c:rich>
                  <a:bodyPr/>
                  <a:lstStyle/>
                  <a:p>
                    <a:fld id="{D44066C3-AB1E-49C5-9183-21E97FCE562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E746-405F-A180-7C007218068C}"/>
                </c:ext>
              </c:extLst>
            </c:dLbl>
            <c:dLbl>
              <c:idx val="25"/>
              <c:tx>
                <c:rich>
                  <a:bodyPr/>
                  <a:lstStyle/>
                  <a:p>
                    <a:fld id="{E6DA40F6-D838-48D6-BB61-D1FC704F922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E746-405F-A180-7C007218068C}"/>
                </c:ext>
              </c:extLst>
            </c:dLbl>
            <c:dLbl>
              <c:idx val="26"/>
              <c:tx>
                <c:rich>
                  <a:bodyPr/>
                  <a:lstStyle/>
                  <a:p>
                    <a:fld id="{EE5737D5-8437-4B52-972B-B51C2F6503B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E746-405F-A180-7C007218068C}"/>
                </c:ext>
              </c:extLst>
            </c:dLbl>
            <c:dLbl>
              <c:idx val="27"/>
              <c:tx>
                <c:rich>
                  <a:bodyPr/>
                  <a:lstStyle/>
                  <a:p>
                    <a:fld id="{6DAEA6D6-1990-433F-A834-35354F0332D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E746-405F-A180-7C007218068C}"/>
                </c:ext>
              </c:extLst>
            </c:dLbl>
            <c:dLbl>
              <c:idx val="28"/>
              <c:tx>
                <c:rich>
                  <a:bodyPr/>
                  <a:lstStyle/>
                  <a:p>
                    <a:fld id="{E4ECE882-2EC3-494B-A85D-B34670B33DE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E746-405F-A180-7C007218068C}"/>
                </c:ext>
              </c:extLst>
            </c:dLbl>
            <c:dLbl>
              <c:idx val="29"/>
              <c:tx>
                <c:rich>
                  <a:bodyPr/>
                  <a:lstStyle/>
                  <a:p>
                    <a:fld id="{10EECAD3-9164-4356-8752-969CB3FDA66A}"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E746-405F-A180-7C007218068C}"/>
                </c:ext>
              </c:extLst>
            </c:dLbl>
            <c:dLbl>
              <c:idx val="30"/>
              <c:tx>
                <c:rich>
                  <a:bodyPr/>
                  <a:lstStyle/>
                  <a:p>
                    <a:fld id="{62ADBCC5-E3F5-4FEF-81B4-12A584B1DD75}"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E746-405F-A180-7C007218068C}"/>
                </c:ext>
              </c:extLst>
            </c:dLbl>
            <c:dLbl>
              <c:idx val="31"/>
              <c:tx>
                <c:rich>
                  <a:bodyPr/>
                  <a:lstStyle/>
                  <a:p>
                    <a:fld id="{1D051667-9C0A-4456-806C-7CC594BF8E8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E746-405F-A180-7C007218068C}"/>
                </c:ext>
              </c:extLst>
            </c:dLbl>
            <c:dLbl>
              <c:idx val="32"/>
              <c:tx>
                <c:rich>
                  <a:bodyPr/>
                  <a:lstStyle/>
                  <a:p>
                    <a:fld id="{CF252906-2C9B-4781-97B4-5ED9F48725A2}"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E746-405F-A180-7C007218068C}"/>
                </c:ext>
              </c:extLst>
            </c:dLbl>
            <c:dLbl>
              <c:idx val="33"/>
              <c:tx>
                <c:rich>
                  <a:bodyPr/>
                  <a:lstStyle/>
                  <a:p>
                    <a:fld id="{592F6AFF-B080-4C37-98D9-44A75E60A87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E746-405F-A180-7C007218068C}"/>
                </c:ext>
              </c:extLst>
            </c:dLbl>
            <c:dLbl>
              <c:idx val="34"/>
              <c:tx>
                <c:rich>
                  <a:bodyPr/>
                  <a:lstStyle/>
                  <a:p>
                    <a:fld id="{CCF5E61B-3B79-40FE-B96F-917B0EC5721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E746-405F-A180-7C007218068C}"/>
                </c:ext>
              </c:extLst>
            </c:dLbl>
            <c:dLbl>
              <c:idx val="35"/>
              <c:tx>
                <c:rich>
                  <a:bodyPr/>
                  <a:lstStyle/>
                  <a:p>
                    <a:fld id="{A5FE0FB5-DFAA-403C-B49A-B6509F62362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E746-405F-A180-7C007218068C}"/>
                </c:ext>
              </c:extLst>
            </c:dLbl>
            <c:dLbl>
              <c:idx val="36"/>
              <c:tx>
                <c:rich>
                  <a:bodyPr/>
                  <a:lstStyle/>
                  <a:p>
                    <a:fld id="{BF5F3841-B7DC-4796-AEED-C51581F23A7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E746-405F-A180-7C007218068C}"/>
                </c:ext>
              </c:extLst>
            </c:dLbl>
            <c:dLbl>
              <c:idx val="37"/>
              <c:tx>
                <c:rich>
                  <a:bodyPr/>
                  <a:lstStyle/>
                  <a:p>
                    <a:fld id="{3C1830C1-163A-4C51-8411-F125129BE44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E746-405F-A180-7C007218068C}"/>
                </c:ext>
              </c:extLst>
            </c:dLbl>
            <c:dLbl>
              <c:idx val="38"/>
              <c:tx>
                <c:rich>
                  <a:bodyPr/>
                  <a:lstStyle/>
                  <a:p>
                    <a:fld id="{83BE8500-5980-4F96-9BF3-EA53C81ECE6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E746-405F-A180-7C007218068C}"/>
                </c:ext>
              </c:extLst>
            </c:dLbl>
            <c:dLbl>
              <c:idx val="39"/>
              <c:tx>
                <c:rich>
                  <a:bodyPr/>
                  <a:lstStyle/>
                  <a:p>
                    <a:fld id="{FD2CB33C-E850-4EF1-BA3A-ABD409BD952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E746-405F-A180-7C007218068C}"/>
                </c:ext>
              </c:extLst>
            </c:dLbl>
            <c:dLbl>
              <c:idx val="40"/>
              <c:tx>
                <c:rich>
                  <a:bodyPr/>
                  <a:lstStyle/>
                  <a:p>
                    <a:fld id="{59111C0F-E5BB-44E4-83ED-7D10BA46CA4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E746-405F-A180-7C007218068C}"/>
                </c:ext>
              </c:extLst>
            </c:dLbl>
            <c:dLbl>
              <c:idx val="41"/>
              <c:tx>
                <c:rich>
                  <a:bodyPr/>
                  <a:lstStyle/>
                  <a:p>
                    <a:fld id="{694E6B13-C109-4484-8E9A-4C9B2EAB5D1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E746-405F-A180-7C007218068C}"/>
                </c:ext>
              </c:extLst>
            </c:dLbl>
            <c:dLbl>
              <c:idx val="42"/>
              <c:tx>
                <c:rich>
                  <a:bodyPr/>
                  <a:lstStyle/>
                  <a:p>
                    <a:fld id="{5A7F2560-7669-4767-99C0-93E7081A00E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2-E746-405F-A180-7C007218068C}"/>
                </c:ext>
              </c:extLst>
            </c:dLbl>
            <c:dLbl>
              <c:idx val="43"/>
              <c:tx>
                <c:rich>
                  <a:bodyPr/>
                  <a:lstStyle/>
                  <a:p>
                    <a:fld id="{D7B6687E-88A2-4B98-80AE-83F83D034E75}"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3-E746-405F-A180-7C007218068C}"/>
                </c:ext>
              </c:extLst>
            </c:dLbl>
            <c:dLbl>
              <c:idx val="44"/>
              <c:tx>
                <c:rich>
                  <a:bodyPr/>
                  <a:lstStyle/>
                  <a:p>
                    <a:fld id="{95A41296-CF38-40D8-8814-57C27DA73C1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4-E746-405F-A180-7C007218068C}"/>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Usluge!$A$126:$A$170</c:f>
              <c:numCache>
                <c:formatCode>yyyy</c:formatCode>
                <c:ptCount val="45"/>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numCache>
            </c:numRef>
          </c:cat>
          <c:val>
            <c:numRef>
              <c:f>Usluge!$W$126:$W$170</c:f>
              <c:numCache>
                <c:formatCode>General</c:formatCode>
                <c:ptCount val="4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numCache>
            </c:numRef>
          </c:val>
          <c:smooth val="0"/>
          <c:extLst>
            <c:ext xmlns:c15="http://schemas.microsoft.com/office/drawing/2012/chart" uri="{02D57815-91ED-43cb-92C2-25804820EDAC}">
              <c15:datalabelsRange>
                <c15:f>Usluge!$J$126:$J$170</c15:f>
                <c15:dlblRangeCache>
                  <c:ptCount val="45"/>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5-E746-405F-A180-7C007218068C}"/>
            </c:ext>
          </c:extLst>
        </c:ser>
        <c:dLbls>
          <c:showLegendKey val="0"/>
          <c:showVal val="0"/>
          <c:showCatName val="0"/>
          <c:showSerName val="0"/>
          <c:showPercent val="0"/>
          <c:showBubbleSize val="0"/>
        </c:dLbls>
        <c:smooth val="0"/>
        <c:axId val="1828917968"/>
        <c:axId val="1828917424"/>
      </c:lineChart>
      <c:dateAx>
        <c:axId val="182891796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17424"/>
        <c:crosses val="autoZero"/>
        <c:auto val="1"/>
        <c:lblOffset val="0"/>
        <c:baseTimeUnit val="months"/>
        <c:majorUnit val="12"/>
        <c:majorTimeUnit val="months"/>
      </c:dateAx>
      <c:valAx>
        <c:axId val="1828917424"/>
        <c:scaling>
          <c:orientation val="minMax"/>
          <c:max val="22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17968"/>
        <c:crosses val="autoZero"/>
        <c:crossBetween val="midCat"/>
        <c:majorUnit val="5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259167550669125"/>
          <c:h val="0.84243318318318317"/>
        </c:manualLayout>
      </c:layout>
      <c:lineChart>
        <c:grouping val="standard"/>
        <c:varyColors val="0"/>
        <c:ser>
          <c:idx val="0"/>
          <c:order val="0"/>
          <c:tx>
            <c:strRef>
              <c:f>'BoP_izvoz usluga'!$L$5</c:f>
              <c:strCache>
                <c:ptCount val="1"/>
                <c:pt idx="0">
                  <c:v>y</c:v>
                </c:pt>
              </c:strCache>
            </c:strRef>
          </c:tx>
          <c:spPr>
            <a:ln w="12700" cap="rnd">
              <a:solidFill>
                <a:srgbClr val="7F3F98"/>
              </a:solidFill>
              <a:prstDash val="sysDash"/>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usluga'!$L$90:$L$133</c:f>
              <c:numCache>
                <c:formatCode>0.0</c:formatCode>
                <c:ptCount val="44"/>
                <c:pt idx="0">
                  <c:v>76.281542213999998</c:v>
                </c:pt>
                <c:pt idx="1">
                  <c:v>51.194759861000001</c:v>
                </c:pt>
                <c:pt idx="2">
                  <c:v>62.618110975999997</c:v>
                </c:pt>
                <c:pt idx="3">
                  <c:v>72.617075248000006</c:v>
                </c:pt>
                <c:pt idx="4">
                  <c:v>80.191888266999996</c:v>
                </c:pt>
                <c:pt idx="5">
                  <c:v>79.334970010999996</c:v>
                </c:pt>
                <c:pt idx="6">
                  <c:v>132.84343583899999</c:v>
                </c:pt>
                <c:pt idx="7">
                  <c:v>135.63615128000001</c:v>
                </c:pt>
                <c:pt idx="8">
                  <c:v>93.230291782999998</c:v>
                </c:pt>
                <c:pt idx="9">
                  <c:v>93.258159555999995</c:v>
                </c:pt>
                <c:pt idx="10">
                  <c:v>90.159089188999999</c:v>
                </c:pt>
                <c:pt idx="11">
                  <c:v>112.24312691199999</c:v>
                </c:pt>
                <c:pt idx="12">
                  <c:v>86.402010844000003</c:v>
                </c:pt>
                <c:pt idx="13">
                  <c:v>61.283572294999999</c:v>
                </c:pt>
                <c:pt idx="14">
                  <c:v>57.139064374</c:v>
                </c:pt>
                <c:pt idx="15">
                  <c:v>31.688595588999998</c:v>
                </c:pt>
                <c:pt idx="16">
                  <c:v>48.063525171999999</c:v>
                </c:pt>
                <c:pt idx="17">
                  <c:v>62.193700638000003</c:v>
                </c:pt>
                <c:pt idx="18">
                  <c:v>85.903103662999996</c:v>
                </c:pt>
                <c:pt idx="19">
                  <c:v>69.586124670000004</c:v>
                </c:pt>
                <c:pt idx="20">
                  <c:v>65.885364121999999</c:v>
                </c:pt>
                <c:pt idx="21">
                  <c:v>75.056619075</c:v>
                </c:pt>
                <c:pt idx="22">
                  <c:v>76.902369203000006</c:v>
                </c:pt>
                <c:pt idx="23">
                  <c:v>95.204009907</c:v>
                </c:pt>
                <c:pt idx="24">
                  <c:v>73.138770854000001</c:v>
                </c:pt>
                <c:pt idx="25">
                  <c:v>63.396696884000001</c:v>
                </c:pt>
                <c:pt idx="26">
                  <c:v>72.588797166000006</c:v>
                </c:pt>
                <c:pt idx="27">
                  <c:v>68.563449723000005</c:v>
                </c:pt>
                <c:pt idx="28">
                  <c:v>90.130653683999995</c:v>
                </c:pt>
                <c:pt idx="29">
                  <c:v>93.653600806</c:v>
                </c:pt>
                <c:pt idx="30">
                  <c:v>144.91015984500001</c:v>
                </c:pt>
                <c:pt idx="31">
                  <c:v>148.817790153</c:v>
                </c:pt>
                <c:pt idx="32">
                  <c:v>109.368596028</c:v>
                </c:pt>
                <c:pt idx="33">
                  <c:v>96.799839383000005</c:v>
                </c:pt>
                <c:pt idx="34">
                  <c:v>103.506327329</c:v>
                </c:pt>
                <c:pt idx="35">
                  <c:v>135.125318144</c:v>
                </c:pt>
                <c:pt idx="36">
                  <c:v>94.010973363999994</c:v>
                </c:pt>
                <c:pt idx="37">
                  <c:v>72.557453228</c:v>
                </c:pt>
                <c:pt idx="38">
                  <c:v>133.59081663800001</c:v>
                </c:pt>
                <c:pt idx="39">
                  <c:v>102.514000235</c:v>
                </c:pt>
                <c:pt idx="40">
                  <c:v>143.48684325599999</c:v>
                </c:pt>
                <c:pt idx="41">
                  <c:v>146.96747849900001</c:v>
                </c:pt>
                <c:pt idx="42">
                  <c:v>232.69814155099999</c:v>
                </c:pt>
                <c:pt idx="43">
                  <c:v>220.93560810400001</c:v>
                </c:pt>
              </c:numCache>
            </c:numRef>
          </c:val>
          <c:smooth val="0"/>
          <c:extLst>
            <c:ext xmlns:c16="http://schemas.microsoft.com/office/drawing/2014/chart" uri="{C3380CC4-5D6E-409C-BE32-E72D297353CC}">
              <c16:uniqueId val="{00000000-187F-441D-8987-ABC1230D7714}"/>
            </c:ext>
          </c:extLst>
        </c:ser>
        <c:ser>
          <c:idx val="1"/>
          <c:order val="1"/>
          <c:tx>
            <c:strRef>
              <c:f>'BoP_izvoz usluga'!$M$5</c:f>
              <c:strCache>
                <c:ptCount val="1"/>
                <c:pt idx="0">
                  <c:v>sa</c:v>
                </c:pt>
              </c:strCache>
            </c:strRef>
          </c:tx>
          <c:spPr>
            <a:ln w="22225" cap="rnd">
              <a:solidFill>
                <a:srgbClr val="25AAE1"/>
              </a:solidFill>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usluga'!$M$90:$M$133</c:f>
              <c:numCache>
                <c:formatCode>0.0</c:formatCode>
                <c:ptCount val="44"/>
                <c:pt idx="0">
                  <c:v>82.584926010999993</c:v>
                </c:pt>
                <c:pt idx="1">
                  <c:v>83.203168871000003</c:v>
                </c:pt>
                <c:pt idx="2">
                  <c:v>89.172735661999994</c:v>
                </c:pt>
                <c:pt idx="3">
                  <c:v>87.209438874</c:v>
                </c:pt>
                <c:pt idx="4">
                  <c:v>85.462416673999996</c:v>
                </c:pt>
                <c:pt idx="5">
                  <c:v>89.437566927999995</c:v>
                </c:pt>
                <c:pt idx="6">
                  <c:v>90.581284600999993</c:v>
                </c:pt>
                <c:pt idx="7">
                  <c:v>93.554734955000001</c:v>
                </c:pt>
                <c:pt idx="8">
                  <c:v>92.753144141999996</c:v>
                </c:pt>
                <c:pt idx="9">
                  <c:v>87.970248042999998</c:v>
                </c:pt>
                <c:pt idx="10">
                  <c:v>95.049674324999998</c:v>
                </c:pt>
                <c:pt idx="11">
                  <c:v>93.991875764</c:v>
                </c:pt>
                <c:pt idx="12">
                  <c:v>95.581085373999997</c:v>
                </c:pt>
                <c:pt idx="13">
                  <c:v>95.844030016999994</c:v>
                </c:pt>
                <c:pt idx="14">
                  <c:v>75.037848167999996</c:v>
                </c:pt>
                <c:pt idx="15">
                  <c:v>38.476748436999998</c:v>
                </c:pt>
                <c:pt idx="16">
                  <c:v>55.106385025999998</c:v>
                </c:pt>
                <c:pt idx="17">
                  <c:v>64.403689783000004</c:v>
                </c:pt>
                <c:pt idx="18">
                  <c:v>60.010908417000003</c:v>
                </c:pt>
                <c:pt idx="19">
                  <c:v>49.028814003999997</c:v>
                </c:pt>
                <c:pt idx="20">
                  <c:v>64.165486606000002</c:v>
                </c:pt>
                <c:pt idx="21">
                  <c:v>76.248500144999994</c:v>
                </c:pt>
                <c:pt idx="22">
                  <c:v>77.865499311999997</c:v>
                </c:pt>
                <c:pt idx="23">
                  <c:v>76.272886158999995</c:v>
                </c:pt>
                <c:pt idx="24">
                  <c:v>87.392037990000006</c:v>
                </c:pt>
                <c:pt idx="25">
                  <c:v>101.70160242599999</c:v>
                </c:pt>
                <c:pt idx="26">
                  <c:v>92.578394982999995</c:v>
                </c:pt>
                <c:pt idx="27">
                  <c:v>86.095183782999996</c:v>
                </c:pt>
                <c:pt idx="28">
                  <c:v>98.662825991000005</c:v>
                </c:pt>
                <c:pt idx="29">
                  <c:v>97.813289906999998</c:v>
                </c:pt>
                <c:pt idx="30">
                  <c:v>104.172194359</c:v>
                </c:pt>
                <c:pt idx="31">
                  <c:v>101.654508333</c:v>
                </c:pt>
                <c:pt idx="32">
                  <c:v>106.17857506199999</c:v>
                </c:pt>
                <c:pt idx="33">
                  <c:v>103.124091677</c:v>
                </c:pt>
                <c:pt idx="34">
                  <c:v>101.04107285400001</c:v>
                </c:pt>
                <c:pt idx="35">
                  <c:v>111.499551569</c:v>
                </c:pt>
                <c:pt idx="36">
                  <c:v>108.308540417</c:v>
                </c:pt>
                <c:pt idx="37">
                  <c:v>115.834850352</c:v>
                </c:pt>
                <c:pt idx="38">
                  <c:v>169.80623999299999</c:v>
                </c:pt>
                <c:pt idx="39">
                  <c:v>136.04119015000001</c:v>
                </c:pt>
                <c:pt idx="40">
                  <c:v>149.84311422900001</c:v>
                </c:pt>
                <c:pt idx="41">
                  <c:v>151.65201033400001</c:v>
                </c:pt>
                <c:pt idx="42">
                  <c:v>173.60850397999999</c:v>
                </c:pt>
                <c:pt idx="43">
                  <c:v>147.649347783</c:v>
                </c:pt>
              </c:numCache>
            </c:numRef>
          </c:val>
          <c:smooth val="0"/>
          <c:extLst>
            <c:ext xmlns:c16="http://schemas.microsoft.com/office/drawing/2014/chart" uri="{C3380CC4-5D6E-409C-BE32-E72D297353CC}">
              <c16:uniqueId val="{00000001-187F-441D-8987-ABC1230D7714}"/>
            </c:ext>
          </c:extLst>
        </c:ser>
        <c:ser>
          <c:idx val="2"/>
          <c:order val="2"/>
          <c:tx>
            <c:strRef>
              <c:f>'BoP_izvoz usluga'!$N$5</c:f>
              <c:strCache>
                <c:ptCount val="1"/>
                <c:pt idx="0">
                  <c:v>t</c:v>
                </c:pt>
              </c:strCache>
            </c:strRef>
          </c:tx>
          <c:spPr>
            <a:ln w="25400" cap="rnd">
              <a:solidFill>
                <a:srgbClr val="FF0000"/>
              </a:solidFill>
              <a:round/>
            </a:ln>
            <a:effectLst/>
          </c:spPr>
          <c:marker>
            <c:symbol val="none"/>
          </c:marker>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usluga'!$N$90:$N$133</c:f>
              <c:numCache>
                <c:formatCode>0.0</c:formatCode>
                <c:ptCount val="44"/>
                <c:pt idx="0">
                  <c:v>83.041463027999995</c:v>
                </c:pt>
                <c:pt idx="1">
                  <c:v>84.164786180999997</c:v>
                </c:pt>
                <c:pt idx="2">
                  <c:v>85.540578792999995</c:v>
                </c:pt>
                <c:pt idx="3">
                  <c:v>86.995788359000002</c:v>
                </c:pt>
                <c:pt idx="4">
                  <c:v>88.299145959000001</c:v>
                </c:pt>
                <c:pt idx="5">
                  <c:v>89.406002428999997</c:v>
                </c:pt>
                <c:pt idx="6">
                  <c:v>90.481570422999994</c:v>
                </c:pt>
                <c:pt idx="7">
                  <c:v>91.634082230999994</c:v>
                </c:pt>
                <c:pt idx="8">
                  <c:v>92.783176409000006</c:v>
                </c:pt>
                <c:pt idx="9">
                  <c:v>93.515012447999993</c:v>
                </c:pt>
                <c:pt idx="10">
                  <c:v>93.099349726</c:v>
                </c:pt>
                <c:pt idx="11">
                  <c:v>91.080547342000003</c:v>
                </c:pt>
                <c:pt idx="12">
                  <c:v>87.401304265999997</c:v>
                </c:pt>
                <c:pt idx="13">
                  <c:v>82.217986839999995</c:v>
                </c:pt>
                <c:pt idx="14">
                  <c:v>76.231480602999994</c:v>
                </c:pt>
                <c:pt idx="15">
                  <c:v>70.307797937999993</c:v>
                </c:pt>
                <c:pt idx="16">
                  <c:v>65.537997680000004</c:v>
                </c:pt>
                <c:pt idx="17">
                  <c:v>62.887885402999999</c:v>
                </c:pt>
                <c:pt idx="18">
                  <c:v>62.350648519000003</c:v>
                </c:pt>
                <c:pt idx="19">
                  <c:v>63.748118793000003</c:v>
                </c:pt>
                <c:pt idx="20">
                  <c:v>66.702422802000001</c:v>
                </c:pt>
                <c:pt idx="21">
                  <c:v>70.769045671000001</c:v>
                </c:pt>
                <c:pt idx="22">
                  <c:v>75.440995787000006</c:v>
                </c:pt>
                <c:pt idx="23">
                  <c:v>80.282783800000004</c:v>
                </c:pt>
                <c:pt idx="24">
                  <c:v>84.748692642999998</c:v>
                </c:pt>
                <c:pt idx="25">
                  <c:v>88.702996877000004</c:v>
                </c:pt>
                <c:pt idx="26">
                  <c:v>92.161113001000004</c:v>
                </c:pt>
                <c:pt idx="27">
                  <c:v>95.207211014999999</c:v>
                </c:pt>
                <c:pt idx="28">
                  <c:v>97.954672058</c:v>
                </c:pt>
                <c:pt idx="29">
                  <c:v>100.037180964</c:v>
                </c:pt>
                <c:pt idx="30">
                  <c:v>101.547421058</c:v>
                </c:pt>
                <c:pt idx="31">
                  <c:v>102.625536977</c:v>
                </c:pt>
                <c:pt idx="32">
                  <c:v>103.247213226</c:v>
                </c:pt>
                <c:pt idx="33">
                  <c:v>103.794215897</c:v>
                </c:pt>
                <c:pt idx="34">
                  <c:v>104.79386053</c:v>
                </c:pt>
                <c:pt idx="35">
                  <c:v>107.16094445500001</c:v>
                </c:pt>
                <c:pt idx="36">
                  <c:v>111.664353905</c:v>
                </c:pt>
                <c:pt idx="37">
                  <c:v>118.611602066</c:v>
                </c:pt>
                <c:pt idx="38">
                  <c:v>127.1451613</c:v>
                </c:pt>
                <c:pt idx="39">
                  <c:v>135.960199184</c:v>
                </c:pt>
                <c:pt idx="40">
                  <c:v>143.60159602100001</c:v>
                </c:pt>
                <c:pt idx="41">
                  <c:v>149.113316978</c:v>
                </c:pt>
                <c:pt idx="42">
                  <c:v>152.24260919599999</c:v>
                </c:pt>
                <c:pt idx="43">
                  <c:v>153.23218811699999</c:v>
                </c:pt>
              </c:numCache>
            </c:numRef>
          </c:val>
          <c:smooth val="0"/>
          <c:extLst>
            <c:ext xmlns:c16="http://schemas.microsoft.com/office/drawing/2014/chart" uri="{C3380CC4-5D6E-409C-BE32-E72D297353CC}">
              <c16:uniqueId val="{00000002-187F-441D-8987-ABC1230D7714}"/>
            </c:ext>
          </c:extLst>
        </c:ser>
        <c:ser>
          <c:idx val="3"/>
          <c:order val="3"/>
          <c:tx>
            <c:strRef>
              <c:f>'BoP_izvoz usluga'!$O$5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5.8651268518276574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7F-441D-8987-ABC1230D7714}"/>
                </c:ext>
              </c:extLst>
            </c:dLbl>
            <c:dLbl>
              <c:idx val="12"/>
              <c:layout>
                <c:manualLayout>
                  <c:x val="6.3296144366350518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7F-441D-8987-ABC1230D7714}"/>
                </c:ext>
              </c:extLst>
            </c:dLbl>
            <c:dLbl>
              <c:idx val="24"/>
              <c:layout>
                <c:manualLayout>
                  <c:x val="6.4685809839834865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7F-441D-8987-ABC1230D7714}"/>
                </c:ext>
              </c:extLst>
            </c:dLbl>
            <c:dLbl>
              <c:idx val="36"/>
              <c:layout>
                <c:manualLayout>
                  <c:x val="9.9467858107106094E-3"/>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7F-441D-8987-ABC1230D7714}"/>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usluga'!$O$90:$O$133</c:f>
              <c:numCache>
                <c:formatCode>General</c:formatCode>
                <c:ptCount val="44"/>
                <c:pt idx="0">
                  <c:v>20</c:v>
                </c:pt>
                <c:pt idx="12">
                  <c:v>20</c:v>
                </c:pt>
                <c:pt idx="24">
                  <c:v>20</c:v>
                </c:pt>
                <c:pt idx="36">
                  <c:v>20</c:v>
                </c:pt>
              </c:numCache>
            </c:numRef>
          </c:val>
          <c:smooth val="0"/>
          <c:extLst>
            <c:ext xmlns:c16="http://schemas.microsoft.com/office/drawing/2014/chart" uri="{C3380CC4-5D6E-409C-BE32-E72D297353CC}">
              <c16:uniqueId val="{00000007-187F-441D-8987-ABC1230D7714}"/>
            </c:ext>
          </c:extLst>
        </c:ser>
        <c:ser>
          <c:idx val="4"/>
          <c:order val="4"/>
          <c:tx>
            <c:strRef>
              <c:f>'BoP_izvoz usluga'!$P$5</c:f>
              <c:strCache>
                <c:ptCount val="1"/>
                <c:pt idx="0">
                  <c:v>Series5</c:v>
                </c:pt>
              </c:strCache>
            </c:strRef>
          </c:tx>
          <c:spPr>
            <a:ln w="28575" cap="rnd">
              <a:noFill/>
              <a:round/>
            </a:ln>
            <a:effectLst/>
          </c:spPr>
          <c:marker>
            <c:symbol val="none"/>
          </c:marker>
          <c:dLbls>
            <c:dLbl>
              <c:idx val="0"/>
              <c:tx>
                <c:rich>
                  <a:bodyPr/>
                  <a:lstStyle/>
                  <a:p>
                    <a:fld id="{3D777DB1-2086-49F8-BFB4-4D50CF70C83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187F-441D-8987-ABC1230D7714}"/>
                </c:ext>
              </c:extLst>
            </c:dLbl>
            <c:dLbl>
              <c:idx val="1"/>
              <c:tx>
                <c:rich>
                  <a:bodyPr/>
                  <a:lstStyle/>
                  <a:p>
                    <a:fld id="{093804C0-DF8D-4DCB-B182-C5905A38290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187F-441D-8987-ABC1230D7714}"/>
                </c:ext>
              </c:extLst>
            </c:dLbl>
            <c:dLbl>
              <c:idx val="2"/>
              <c:tx>
                <c:rich>
                  <a:bodyPr/>
                  <a:lstStyle/>
                  <a:p>
                    <a:fld id="{394EF60E-BE7B-4FAA-8C29-B04D18D7B50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187F-441D-8987-ABC1230D7714}"/>
                </c:ext>
              </c:extLst>
            </c:dLbl>
            <c:dLbl>
              <c:idx val="3"/>
              <c:tx>
                <c:rich>
                  <a:bodyPr/>
                  <a:lstStyle/>
                  <a:p>
                    <a:fld id="{95A4E20C-DD57-446B-B43E-730AE63D1E8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187F-441D-8987-ABC1230D7714}"/>
                </c:ext>
              </c:extLst>
            </c:dLbl>
            <c:dLbl>
              <c:idx val="4"/>
              <c:tx>
                <c:rich>
                  <a:bodyPr/>
                  <a:lstStyle/>
                  <a:p>
                    <a:fld id="{34C650B2-5B9B-4AD0-8A0E-F99155EFBEA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187F-441D-8987-ABC1230D7714}"/>
                </c:ext>
              </c:extLst>
            </c:dLbl>
            <c:dLbl>
              <c:idx val="5"/>
              <c:tx>
                <c:rich>
                  <a:bodyPr/>
                  <a:lstStyle/>
                  <a:p>
                    <a:fld id="{486F6FCC-4B78-462D-8293-47DF03DA759D}"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187F-441D-8987-ABC1230D7714}"/>
                </c:ext>
              </c:extLst>
            </c:dLbl>
            <c:dLbl>
              <c:idx val="6"/>
              <c:tx>
                <c:rich>
                  <a:bodyPr/>
                  <a:lstStyle/>
                  <a:p>
                    <a:fld id="{2F032DFA-6D4A-4C04-A667-D7B290A898FD}"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187F-441D-8987-ABC1230D7714}"/>
                </c:ext>
              </c:extLst>
            </c:dLbl>
            <c:dLbl>
              <c:idx val="7"/>
              <c:tx>
                <c:rich>
                  <a:bodyPr/>
                  <a:lstStyle/>
                  <a:p>
                    <a:fld id="{1A6933EC-60DD-4988-8555-284D184DE01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187F-441D-8987-ABC1230D7714}"/>
                </c:ext>
              </c:extLst>
            </c:dLbl>
            <c:dLbl>
              <c:idx val="8"/>
              <c:tx>
                <c:rich>
                  <a:bodyPr/>
                  <a:lstStyle/>
                  <a:p>
                    <a:fld id="{6EDF079C-1710-4929-AC68-A2B17DEA2F64}"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187F-441D-8987-ABC1230D7714}"/>
                </c:ext>
              </c:extLst>
            </c:dLbl>
            <c:dLbl>
              <c:idx val="9"/>
              <c:tx>
                <c:rich>
                  <a:bodyPr/>
                  <a:lstStyle/>
                  <a:p>
                    <a:fld id="{6E6A0178-361C-4E8F-8C6E-615DA09A6D6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187F-441D-8987-ABC1230D7714}"/>
                </c:ext>
              </c:extLst>
            </c:dLbl>
            <c:dLbl>
              <c:idx val="10"/>
              <c:tx>
                <c:rich>
                  <a:bodyPr/>
                  <a:lstStyle/>
                  <a:p>
                    <a:fld id="{155AF7B7-0C60-469F-8663-A7D65D27CC5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187F-441D-8987-ABC1230D7714}"/>
                </c:ext>
              </c:extLst>
            </c:dLbl>
            <c:dLbl>
              <c:idx val="11"/>
              <c:tx>
                <c:rich>
                  <a:bodyPr/>
                  <a:lstStyle/>
                  <a:p>
                    <a:fld id="{CA49DAC1-67AA-483B-BBEC-94B5AE20F5D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187F-441D-8987-ABC1230D7714}"/>
                </c:ext>
              </c:extLst>
            </c:dLbl>
            <c:dLbl>
              <c:idx val="12"/>
              <c:tx>
                <c:rich>
                  <a:bodyPr/>
                  <a:lstStyle/>
                  <a:p>
                    <a:fld id="{869EEE6D-54E1-4333-864D-616F4879D07B}"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187F-441D-8987-ABC1230D7714}"/>
                </c:ext>
              </c:extLst>
            </c:dLbl>
            <c:dLbl>
              <c:idx val="13"/>
              <c:tx>
                <c:rich>
                  <a:bodyPr/>
                  <a:lstStyle/>
                  <a:p>
                    <a:fld id="{CA80A693-176A-477A-AD49-F592C5BBB96C}"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187F-441D-8987-ABC1230D7714}"/>
                </c:ext>
              </c:extLst>
            </c:dLbl>
            <c:dLbl>
              <c:idx val="14"/>
              <c:tx>
                <c:rich>
                  <a:bodyPr/>
                  <a:lstStyle/>
                  <a:p>
                    <a:fld id="{41A110C6-11F3-4485-B8D1-31B33E988B70}"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187F-441D-8987-ABC1230D7714}"/>
                </c:ext>
              </c:extLst>
            </c:dLbl>
            <c:dLbl>
              <c:idx val="15"/>
              <c:tx>
                <c:rich>
                  <a:bodyPr/>
                  <a:lstStyle/>
                  <a:p>
                    <a:fld id="{4588B38F-E8F1-4451-92B2-BBAC45DE695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187F-441D-8987-ABC1230D7714}"/>
                </c:ext>
              </c:extLst>
            </c:dLbl>
            <c:dLbl>
              <c:idx val="16"/>
              <c:tx>
                <c:rich>
                  <a:bodyPr/>
                  <a:lstStyle/>
                  <a:p>
                    <a:fld id="{F13E77EE-59B6-4740-948E-B89F661E906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187F-441D-8987-ABC1230D7714}"/>
                </c:ext>
              </c:extLst>
            </c:dLbl>
            <c:dLbl>
              <c:idx val="17"/>
              <c:tx>
                <c:rich>
                  <a:bodyPr/>
                  <a:lstStyle/>
                  <a:p>
                    <a:fld id="{7E52F992-289A-496D-8336-099E9E7D46A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187F-441D-8987-ABC1230D7714}"/>
                </c:ext>
              </c:extLst>
            </c:dLbl>
            <c:dLbl>
              <c:idx val="18"/>
              <c:tx>
                <c:rich>
                  <a:bodyPr/>
                  <a:lstStyle/>
                  <a:p>
                    <a:fld id="{300EA002-8FF7-4E81-BFA3-7377824D411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187F-441D-8987-ABC1230D7714}"/>
                </c:ext>
              </c:extLst>
            </c:dLbl>
            <c:dLbl>
              <c:idx val="19"/>
              <c:tx>
                <c:rich>
                  <a:bodyPr/>
                  <a:lstStyle/>
                  <a:p>
                    <a:fld id="{1CB91A8B-F7E4-4384-B561-7E695F0C9CA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187F-441D-8987-ABC1230D7714}"/>
                </c:ext>
              </c:extLst>
            </c:dLbl>
            <c:dLbl>
              <c:idx val="20"/>
              <c:tx>
                <c:rich>
                  <a:bodyPr/>
                  <a:lstStyle/>
                  <a:p>
                    <a:fld id="{27D704B5-0125-4F0B-90D4-3320B8A51B93}"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C-187F-441D-8987-ABC1230D7714}"/>
                </c:ext>
              </c:extLst>
            </c:dLbl>
            <c:dLbl>
              <c:idx val="21"/>
              <c:tx>
                <c:rich>
                  <a:bodyPr/>
                  <a:lstStyle/>
                  <a:p>
                    <a:fld id="{00D8943F-A5C8-48A3-8896-F735C29B6B0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187F-441D-8987-ABC1230D7714}"/>
                </c:ext>
              </c:extLst>
            </c:dLbl>
            <c:dLbl>
              <c:idx val="22"/>
              <c:tx>
                <c:rich>
                  <a:bodyPr/>
                  <a:lstStyle/>
                  <a:p>
                    <a:fld id="{9BC76D03-1F31-460B-82AC-C6AE2EF6317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187F-441D-8987-ABC1230D7714}"/>
                </c:ext>
              </c:extLst>
            </c:dLbl>
            <c:dLbl>
              <c:idx val="23"/>
              <c:tx>
                <c:rich>
                  <a:bodyPr/>
                  <a:lstStyle/>
                  <a:p>
                    <a:fld id="{98F4C540-6B4C-4D6A-8701-36E8A8EFA76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F-187F-441D-8987-ABC1230D7714}"/>
                </c:ext>
              </c:extLst>
            </c:dLbl>
            <c:dLbl>
              <c:idx val="24"/>
              <c:tx>
                <c:rich>
                  <a:bodyPr/>
                  <a:lstStyle/>
                  <a:p>
                    <a:fld id="{A4D44B95-5F9A-4FB6-BD08-E0063A8EAA2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187F-441D-8987-ABC1230D7714}"/>
                </c:ext>
              </c:extLst>
            </c:dLbl>
            <c:dLbl>
              <c:idx val="25"/>
              <c:tx>
                <c:rich>
                  <a:bodyPr/>
                  <a:lstStyle/>
                  <a:p>
                    <a:fld id="{C7FAAF80-F4FB-4C46-99AD-EDAE34FABF3B}"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187F-441D-8987-ABC1230D7714}"/>
                </c:ext>
              </c:extLst>
            </c:dLbl>
            <c:dLbl>
              <c:idx val="26"/>
              <c:tx>
                <c:rich>
                  <a:bodyPr/>
                  <a:lstStyle/>
                  <a:p>
                    <a:fld id="{8D56F6FC-4313-464D-934D-F547597FF557}"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2-187F-441D-8987-ABC1230D7714}"/>
                </c:ext>
              </c:extLst>
            </c:dLbl>
            <c:dLbl>
              <c:idx val="27"/>
              <c:tx>
                <c:rich>
                  <a:bodyPr/>
                  <a:lstStyle/>
                  <a:p>
                    <a:fld id="{A4233D5D-0CDB-453B-984A-CD4175E6D8D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187F-441D-8987-ABC1230D7714}"/>
                </c:ext>
              </c:extLst>
            </c:dLbl>
            <c:dLbl>
              <c:idx val="28"/>
              <c:tx>
                <c:rich>
                  <a:bodyPr/>
                  <a:lstStyle/>
                  <a:p>
                    <a:fld id="{47464306-0C30-41DC-BD1F-D32CDAF0FF5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187F-441D-8987-ABC1230D7714}"/>
                </c:ext>
              </c:extLst>
            </c:dLbl>
            <c:dLbl>
              <c:idx val="29"/>
              <c:tx>
                <c:rich>
                  <a:bodyPr/>
                  <a:lstStyle/>
                  <a:p>
                    <a:fld id="{4C88770B-9277-4A6E-AD46-F14513AE3B3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5-187F-441D-8987-ABC1230D7714}"/>
                </c:ext>
              </c:extLst>
            </c:dLbl>
            <c:dLbl>
              <c:idx val="30"/>
              <c:tx>
                <c:rich>
                  <a:bodyPr/>
                  <a:lstStyle/>
                  <a:p>
                    <a:fld id="{E422F9F3-B106-47C8-9761-0714703D5C0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187F-441D-8987-ABC1230D7714}"/>
                </c:ext>
              </c:extLst>
            </c:dLbl>
            <c:dLbl>
              <c:idx val="31"/>
              <c:tx>
                <c:rich>
                  <a:bodyPr/>
                  <a:lstStyle/>
                  <a:p>
                    <a:fld id="{B1D32CE8-21F4-4932-9A2C-80D83ABF196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187F-441D-8987-ABC1230D7714}"/>
                </c:ext>
              </c:extLst>
            </c:dLbl>
            <c:dLbl>
              <c:idx val="32"/>
              <c:tx>
                <c:rich>
                  <a:bodyPr/>
                  <a:lstStyle/>
                  <a:p>
                    <a:fld id="{D6602BA7-6979-4E8A-9FD2-850E2E21AA91}"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8-187F-441D-8987-ABC1230D7714}"/>
                </c:ext>
              </c:extLst>
            </c:dLbl>
            <c:dLbl>
              <c:idx val="33"/>
              <c:tx>
                <c:rich>
                  <a:bodyPr/>
                  <a:lstStyle/>
                  <a:p>
                    <a:fld id="{609E660C-1EDE-45C7-97FF-1A0EA04715A1}"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187F-441D-8987-ABC1230D7714}"/>
                </c:ext>
              </c:extLst>
            </c:dLbl>
            <c:dLbl>
              <c:idx val="34"/>
              <c:tx>
                <c:rich>
                  <a:bodyPr/>
                  <a:lstStyle/>
                  <a:p>
                    <a:fld id="{8D07D79D-9C03-4F7D-B480-1893009B8808}"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187F-441D-8987-ABC1230D7714}"/>
                </c:ext>
              </c:extLst>
            </c:dLbl>
            <c:dLbl>
              <c:idx val="35"/>
              <c:tx>
                <c:rich>
                  <a:bodyPr/>
                  <a:lstStyle/>
                  <a:p>
                    <a:fld id="{DC31F5D2-773E-4CF6-A486-A5278F35F3C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B-187F-441D-8987-ABC1230D7714}"/>
                </c:ext>
              </c:extLst>
            </c:dLbl>
            <c:dLbl>
              <c:idx val="36"/>
              <c:tx>
                <c:rich>
                  <a:bodyPr/>
                  <a:lstStyle/>
                  <a:p>
                    <a:fld id="{22F75350-CB97-45CC-AB2E-15CA4665C5D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187F-441D-8987-ABC1230D7714}"/>
                </c:ext>
              </c:extLst>
            </c:dLbl>
            <c:dLbl>
              <c:idx val="37"/>
              <c:tx>
                <c:rich>
                  <a:bodyPr/>
                  <a:lstStyle/>
                  <a:p>
                    <a:fld id="{3FFE786D-6FE1-4855-9BBD-E718F7D95F4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187F-441D-8987-ABC1230D7714}"/>
                </c:ext>
              </c:extLst>
            </c:dLbl>
            <c:dLbl>
              <c:idx val="38"/>
              <c:tx>
                <c:rich>
                  <a:bodyPr/>
                  <a:lstStyle/>
                  <a:p>
                    <a:fld id="{AB62438B-2A1C-44A5-9254-F218665DD5F9}"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E-187F-441D-8987-ABC1230D7714}"/>
                </c:ext>
              </c:extLst>
            </c:dLbl>
            <c:dLbl>
              <c:idx val="39"/>
              <c:tx>
                <c:rich>
                  <a:bodyPr/>
                  <a:lstStyle/>
                  <a:p>
                    <a:fld id="{0576FF17-25FC-4002-BC03-5B31E478C7B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F-187F-441D-8987-ABC1230D7714}"/>
                </c:ext>
              </c:extLst>
            </c:dLbl>
            <c:dLbl>
              <c:idx val="40"/>
              <c:tx>
                <c:rich>
                  <a:bodyPr/>
                  <a:lstStyle/>
                  <a:p>
                    <a:fld id="{1B0F8649-761C-4D09-A97C-34FAC17944BF}"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0-187F-441D-8987-ABC1230D7714}"/>
                </c:ext>
              </c:extLst>
            </c:dLbl>
            <c:dLbl>
              <c:idx val="41"/>
              <c:tx>
                <c:rich>
                  <a:bodyPr/>
                  <a:lstStyle/>
                  <a:p>
                    <a:fld id="{D603CB93-E058-40B6-BD40-7AEF3A260356}"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187F-441D-8987-ABC1230D7714}"/>
                </c:ext>
              </c:extLst>
            </c:dLbl>
            <c:dLbl>
              <c:idx val="42"/>
              <c:tx>
                <c:rich>
                  <a:bodyPr/>
                  <a:lstStyle/>
                  <a:p>
                    <a:fld id="{417BC441-1556-44FA-ADCF-C44DF21D910F}"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2-187F-441D-8987-ABC1230D7714}"/>
                </c:ext>
              </c:extLst>
            </c:dLbl>
            <c:dLbl>
              <c:idx val="43"/>
              <c:tx>
                <c:rich>
                  <a:bodyPr/>
                  <a:lstStyle/>
                  <a:p>
                    <a:fld id="{F720CF82-D161-45F7-B812-8F707ACB0A7E}" type="CELLRANGE">
                      <a:rPr lang="sr-Cyrl-R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3-187F-441D-8987-ABC1230D7714}"/>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usluga'!$A$90:$A$133</c:f>
              <c:numCache>
                <c:formatCode>yyyy</c:formatCode>
                <c:ptCount val="44"/>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numCache>
            </c:numRef>
          </c:cat>
          <c:val>
            <c:numRef>
              <c:f>'BoP_izvoz usluga'!$P$90:$P$133</c:f>
              <c:numCache>
                <c:formatCode>General</c:formatCode>
                <c:ptCount val="44"/>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20</c:v>
                </c:pt>
                <c:pt idx="19">
                  <c:v>20</c:v>
                </c:pt>
                <c:pt idx="20">
                  <c:v>20</c:v>
                </c:pt>
                <c:pt idx="21">
                  <c:v>20</c:v>
                </c:pt>
                <c:pt idx="22">
                  <c:v>20</c:v>
                </c:pt>
                <c:pt idx="23">
                  <c:v>20</c:v>
                </c:pt>
                <c:pt idx="24">
                  <c:v>20</c:v>
                </c:pt>
                <c:pt idx="25">
                  <c:v>20</c:v>
                </c:pt>
                <c:pt idx="26">
                  <c:v>20</c:v>
                </c:pt>
                <c:pt idx="27">
                  <c:v>20</c:v>
                </c:pt>
                <c:pt idx="28">
                  <c:v>20</c:v>
                </c:pt>
                <c:pt idx="29">
                  <c:v>20</c:v>
                </c:pt>
                <c:pt idx="30">
                  <c:v>20</c:v>
                </c:pt>
                <c:pt idx="31">
                  <c:v>20</c:v>
                </c:pt>
                <c:pt idx="32">
                  <c:v>20</c:v>
                </c:pt>
                <c:pt idx="33">
                  <c:v>20</c:v>
                </c:pt>
                <c:pt idx="34">
                  <c:v>20</c:v>
                </c:pt>
                <c:pt idx="35">
                  <c:v>20</c:v>
                </c:pt>
                <c:pt idx="36">
                  <c:v>20</c:v>
                </c:pt>
                <c:pt idx="37">
                  <c:v>20</c:v>
                </c:pt>
                <c:pt idx="38">
                  <c:v>20</c:v>
                </c:pt>
                <c:pt idx="39">
                  <c:v>20</c:v>
                </c:pt>
                <c:pt idx="40">
                  <c:v>20</c:v>
                </c:pt>
                <c:pt idx="41">
                  <c:v>20</c:v>
                </c:pt>
                <c:pt idx="42">
                  <c:v>20</c:v>
                </c:pt>
                <c:pt idx="43">
                  <c:v>20</c:v>
                </c:pt>
              </c:numCache>
            </c:numRef>
          </c:val>
          <c:smooth val="0"/>
          <c:extLst>
            <c:ext xmlns:c15="http://schemas.microsoft.com/office/drawing/2012/chart" uri="{02D57815-91ED-43cb-92C2-25804820EDAC}">
              <c15:datalabelsRange>
                <c15:f>'BoP_izvoz usluga'!$J$90:$J$133</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34-187F-441D-8987-ABC1230D7714}"/>
            </c:ext>
          </c:extLst>
        </c:ser>
        <c:dLbls>
          <c:showLegendKey val="0"/>
          <c:showVal val="0"/>
          <c:showCatName val="0"/>
          <c:showSerName val="0"/>
          <c:showPercent val="0"/>
          <c:showBubbleSize val="0"/>
        </c:dLbls>
        <c:smooth val="0"/>
        <c:axId val="1828937008"/>
        <c:axId val="1828920688"/>
      </c:lineChart>
      <c:dateAx>
        <c:axId val="182893700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0688"/>
        <c:crosses val="autoZero"/>
        <c:auto val="1"/>
        <c:lblOffset val="0"/>
        <c:baseTimeUnit val="months"/>
      </c:dateAx>
      <c:valAx>
        <c:axId val="1828920688"/>
        <c:scaling>
          <c:orientation val="minMax"/>
          <c:max val="250"/>
          <c:min val="2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7008"/>
        <c:crosses val="autoZero"/>
        <c:crossBetween val="midCat"/>
        <c:majorUnit val="4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9238921957671962"/>
        </c:manualLayout>
      </c:layout>
      <c:barChart>
        <c:barDir val="col"/>
        <c:grouping val="stacked"/>
        <c:varyColors val="0"/>
        <c:ser>
          <c:idx val="2"/>
          <c:order val="0"/>
          <c:tx>
            <c:strRef>
              <c:f>BDP_doprinosi!$R$8</c:f>
              <c:strCache>
                <c:ptCount val="1"/>
                <c:pt idx="0">
                  <c:v>Приватна потрошња</c:v>
                </c:pt>
              </c:strCache>
            </c:strRef>
          </c:tx>
          <c:spPr>
            <a:solidFill>
              <a:srgbClr val="10103C"/>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BDP_doprinosi!$AC$8:$AJ$8</c:f>
              <c:numCache>
                <c:formatCode>0.0</c:formatCode>
                <c:ptCount val="7"/>
                <c:pt idx="0">
                  <c:v>2.5473076722874062</c:v>
                </c:pt>
                <c:pt idx="1">
                  <c:v>-1.2764569917290163</c:v>
                </c:pt>
                <c:pt idx="2">
                  <c:v>5.1644088309515581</c:v>
                </c:pt>
                <c:pt idx="3">
                  <c:v>2.6942093410947225</c:v>
                </c:pt>
                <c:pt idx="4">
                  <c:v>1.7779093574103602</c:v>
                </c:pt>
                <c:pt idx="5">
                  <c:v>2.0316797284470862</c:v>
                </c:pt>
                <c:pt idx="6">
                  <c:v>2.5067378058198777</c:v>
                </c:pt>
              </c:numCache>
              <c:extLst/>
            </c:numRef>
          </c:val>
          <c:extLst>
            <c:ext xmlns:c16="http://schemas.microsoft.com/office/drawing/2014/chart" uri="{C3380CC4-5D6E-409C-BE32-E72D297353CC}">
              <c16:uniqueId val="{00000000-B9AF-4ADB-8344-751CAFF3E063}"/>
            </c:ext>
          </c:extLst>
        </c:ser>
        <c:ser>
          <c:idx val="3"/>
          <c:order val="1"/>
          <c:tx>
            <c:strRef>
              <c:f>BDP_doprinosi!$R$9</c:f>
              <c:strCache>
                <c:ptCount val="1"/>
                <c:pt idx="0">
                  <c:v>Државна потрошња</c:v>
                </c:pt>
              </c:strCache>
            </c:strRef>
          </c:tx>
          <c:spPr>
            <a:solidFill>
              <a:srgbClr val="29489A"/>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BDP_doprinosi!$AC$9:$AJ$9</c:f>
              <c:numCache>
                <c:formatCode>0.0</c:formatCode>
                <c:ptCount val="7"/>
                <c:pt idx="0">
                  <c:v>0.32165362516949936</c:v>
                </c:pt>
                <c:pt idx="1">
                  <c:v>0.46680918748177314</c:v>
                </c:pt>
                <c:pt idx="2">
                  <c:v>0.72387323767875245</c:v>
                </c:pt>
                <c:pt idx="3">
                  <c:v>6.2422960040865019E-2</c:v>
                </c:pt>
                <c:pt idx="4">
                  <c:v>-0.29947996418286882</c:v>
                </c:pt>
                <c:pt idx="5">
                  <c:v>0.122823742683491</c:v>
                </c:pt>
                <c:pt idx="6">
                  <c:v>0.11393565437396301</c:v>
                </c:pt>
              </c:numCache>
              <c:extLst/>
            </c:numRef>
          </c:val>
          <c:extLst>
            <c:ext xmlns:c16="http://schemas.microsoft.com/office/drawing/2014/chart" uri="{C3380CC4-5D6E-409C-BE32-E72D297353CC}">
              <c16:uniqueId val="{00000001-B9AF-4ADB-8344-751CAFF3E063}"/>
            </c:ext>
          </c:extLst>
        </c:ser>
        <c:ser>
          <c:idx val="1"/>
          <c:order val="2"/>
          <c:tx>
            <c:strRef>
              <c:f>BDP_doprinosi!$R$10</c:f>
              <c:strCache>
                <c:ptCount val="1"/>
                <c:pt idx="0">
                  <c:v>Инвестиције</c:v>
                </c:pt>
              </c:strCache>
            </c:strRef>
          </c:tx>
          <c:spPr>
            <a:solidFill>
              <a:srgbClr val="2183C4"/>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BDP_doprinosi!$AC$10:$AJ$10</c:f>
              <c:numCache>
                <c:formatCode>0.0</c:formatCode>
                <c:ptCount val="7"/>
                <c:pt idx="0">
                  <c:v>3.4525777672115594</c:v>
                </c:pt>
                <c:pt idx="1">
                  <c:v>-0.42709950381708101</c:v>
                </c:pt>
                <c:pt idx="2">
                  <c:v>3.4031222048652956</c:v>
                </c:pt>
                <c:pt idx="3">
                  <c:v>0</c:v>
                </c:pt>
                <c:pt idx="4">
                  <c:v>0.56853513649669296</c:v>
                </c:pt>
                <c:pt idx="5">
                  <c:v>1.2406959061365301</c:v>
                </c:pt>
                <c:pt idx="6">
                  <c:v>1.395971915686365</c:v>
                </c:pt>
              </c:numCache>
              <c:extLst/>
            </c:numRef>
          </c:val>
          <c:extLst>
            <c:ext xmlns:c16="http://schemas.microsoft.com/office/drawing/2014/chart" uri="{C3380CC4-5D6E-409C-BE32-E72D297353CC}">
              <c16:uniqueId val="{00000002-B9AF-4ADB-8344-751CAFF3E063}"/>
            </c:ext>
          </c:extLst>
        </c:ser>
        <c:ser>
          <c:idx val="0"/>
          <c:order val="3"/>
          <c:tx>
            <c:strRef>
              <c:f>BDP_doprinosi!$R$11</c:f>
              <c:strCache>
                <c:ptCount val="1"/>
                <c:pt idx="0">
                  <c:v>Нето извоз</c:v>
                </c:pt>
              </c:strCache>
            </c:strRef>
          </c:tx>
          <c:spPr>
            <a:solidFill>
              <a:srgbClr val="51BBE7"/>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BDP_doprinosi!$AC$11:$AJ$11</c:f>
              <c:numCache>
                <c:formatCode>0.0</c:formatCode>
                <c:ptCount val="7"/>
                <c:pt idx="0">
                  <c:v>-2.4321559378222171</c:v>
                </c:pt>
                <c:pt idx="1">
                  <c:v>4.8654967722925199E-2</c:v>
                </c:pt>
                <c:pt idx="2">
                  <c:v>-0.57776184879140813</c:v>
                </c:pt>
                <c:pt idx="3">
                  <c:v>-1.7062492303782639</c:v>
                </c:pt>
                <c:pt idx="4">
                  <c:v>7.8416962996889716E-2</c:v>
                </c:pt>
                <c:pt idx="5">
                  <c:v>0.46323792057173013</c:v>
                </c:pt>
                <c:pt idx="6">
                  <c:v>0.25397348567736205</c:v>
                </c:pt>
              </c:numCache>
              <c:extLst/>
            </c:numRef>
          </c:val>
          <c:extLst>
            <c:ext xmlns:c16="http://schemas.microsoft.com/office/drawing/2014/chart" uri="{C3380CC4-5D6E-409C-BE32-E72D297353CC}">
              <c16:uniqueId val="{00000003-B9AF-4ADB-8344-751CAFF3E063}"/>
            </c:ext>
          </c:extLst>
        </c:ser>
        <c:ser>
          <c:idx val="4"/>
          <c:order val="4"/>
          <c:tx>
            <c:strRef>
              <c:f>BDP_doprinosi!$R$12</c:f>
              <c:strCache>
                <c:ptCount val="1"/>
                <c:pt idx="0">
                  <c:v>Промена у залихама</c:v>
                </c:pt>
              </c:strCache>
            </c:strRef>
          </c:tx>
          <c:spPr>
            <a:solidFill>
              <a:srgbClr val="9ED1E6"/>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BDP_doprinosi!$AC$12:$AJ$12</c:f>
              <c:numCache>
                <c:formatCode>0.0</c:formatCode>
                <c:ptCount val="7"/>
                <c:pt idx="0">
                  <c:v>0.44235332901016944</c:v>
                </c:pt>
                <c:pt idx="1">
                  <c:v>0.28486948729117645</c:v>
                </c:pt>
                <c:pt idx="2">
                  <c:v>-1.1637298143063151</c:v>
                </c:pt>
                <c:pt idx="3">
                  <c:v>1.4927019249111804</c:v>
                </c:pt>
                <c:pt idx="4">
                  <c:v>0.32461850727891611</c:v>
                </c:pt>
                <c:pt idx="5">
                  <c:v>-0.32843729783883147</c:v>
                </c:pt>
                <c:pt idx="6">
                  <c:v>-0.24061886155757353</c:v>
                </c:pt>
              </c:numCache>
              <c:extLst/>
            </c:numRef>
          </c:val>
          <c:extLst>
            <c:ext xmlns:c16="http://schemas.microsoft.com/office/drawing/2014/chart" uri="{C3380CC4-5D6E-409C-BE32-E72D297353CC}">
              <c16:uniqueId val="{00000004-B9AF-4ADB-8344-751CAFF3E063}"/>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BDP_doprinosi!$R$13</c:f>
              <c:strCache>
                <c:ptCount val="1"/>
                <c:pt idx="0">
                  <c:v>Реални раст БДП</c:v>
                </c:pt>
              </c:strCache>
            </c:strRef>
          </c:tx>
          <c:spPr>
            <a:ln w="25400" cap="rnd">
              <a:solidFill>
                <a:srgbClr val="FF0000"/>
              </a:solidFill>
              <a:round/>
            </a:ln>
            <a:effectLst/>
          </c:spPr>
          <c:marker>
            <c:symbol val="none"/>
          </c:marker>
          <c:dLbls>
            <c:dLbl>
              <c:idx val="1"/>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9AF-4ADB-8344-751CAFF3E063}"/>
                </c:ext>
              </c:extLst>
            </c:dLbl>
            <c:dLbl>
              <c:idx val="2"/>
              <c:layout>
                <c:manualLayout>
                  <c:x val="-6.1585739282589674E-2"/>
                  <c:y val="-0.1063340623153343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9AF-4ADB-8344-751CAFF3E063}"/>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BDP_doprinosi!$AC$13:$AJ$13</c:f>
              <c:numCache>
                <c:formatCode>0.0</c:formatCode>
                <c:ptCount val="7"/>
                <c:pt idx="0">
                  <c:v>4.3317364558564329</c:v>
                </c:pt>
                <c:pt idx="1">
                  <c:v>-0.90321916427328408</c:v>
                </c:pt>
                <c:pt idx="2">
                  <c:v>7.5499107936795609</c:v>
                </c:pt>
                <c:pt idx="3">
                  <c:v>2.5430849956685013</c:v>
                </c:pt>
                <c:pt idx="4">
                  <c:v>2.4500000000000006</c:v>
                </c:pt>
                <c:pt idx="5">
                  <c:v>3.5299999999999958</c:v>
                </c:pt>
                <c:pt idx="6">
                  <c:v>4.0300000000000082</c:v>
                </c:pt>
              </c:numCache>
              <c:extLst/>
            </c:numRef>
          </c:val>
          <c:smooth val="0"/>
          <c:extLst>
            <c:ext xmlns:c16="http://schemas.microsoft.com/office/drawing/2014/chart" uri="{C3380CC4-5D6E-409C-BE32-E72D297353CC}">
              <c16:uniqueId val="{00000006-B9AF-4ADB-8344-751CAFF3E063}"/>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5072"/>
        <c:crosses val="autoZero"/>
        <c:auto val="1"/>
        <c:lblAlgn val="ctr"/>
        <c:lblOffset val="100"/>
        <c:noMultiLvlLbl val="0"/>
      </c:catAx>
      <c:valAx>
        <c:axId val="1768855072"/>
        <c:scaling>
          <c:orientation val="minMax"/>
          <c:min val="-4"/>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248"/>
        <c:crosses val="autoZero"/>
        <c:crossBetween val="between"/>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6834989589248528"/>
        </c:manualLayout>
      </c:layout>
      <c:barChart>
        <c:barDir val="col"/>
        <c:grouping val="stacked"/>
        <c:varyColors val="0"/>
        <c:ser>
          <c:idx val="0"/>
          <c:order val="0"/>
          <c:tx>
            <c:strRef>
              <c:f>BDP_doprinosi!$R$34</c:f>
              <c:strCache>
                <c:ptCount val="1"/>
                <c:pt idx="0">
                  <c:v>Пољопривреда</c:v>
                </c:pt>
              </c:strCache>
            </c:strRef>
          </c:tx>
          <c:spPr>
            <a:solidFill>
              <a:srgbClr val="10103C"/>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BDP_doprinosi!$AD$34:$AJ$34</c:f>
              <c:numCache>
                <c:formatCode>0.0</c:formatCode>
                <c:ptCount val="7"/>
                <c:pt idx="0">
                  <c:v>-0.10470209248427834</c:v>
                </c:pt>
                <c:pt idx="1">
                  <c:v>0.13846930589060472</c:v>
                </c:pt>
                <c:pt idx="2">
                  <c:v>-0.35981922054501986</c:v>
                </c:pt>
                <c:pt idx="3">
                  <c:v>-0.49880518820586217</c:v>
                </c:pt>
                <c:pt idx="4">
                  <c:v>0.42987482300153451</c:v>
                </c:pt>
                <c:pt idx="5">
                  <c:v>5.6397571530813567E-2</c:v>
                </c:pt>
                <c:pt idx="6">
                  <c:v>0</c:v>
                </c:pt>
              </c:numCache>
            </c:numRef>
          </c:val>
          <c:extLst>
            <c:ext xmlns:c16="http://schemas.microsoft.com/office/drawing/2014/chart" uri="{C3380CC4-5D6E-409C-BE32-E72D297353CC}">
              <c16:uniqueId val="{00000000-7363-4BF7-BEB9-A543A9E9F126}"/>
            </c:ext>
          </c:extLst>
        </c:ser>
        <c:ser>
          <c:idx val="1"/>
          <c:order val="1"/>
          <c:tx>
            <c:strRef>
              <c:f>BDP_doprinosi!$R$35</c:f>
              <c:strCache>
                <c:ptCount val="1"/>
                <c:pt idx="0">
                  <c:v>Индустрија</c:v>
                </c:pt>
              </c:strCache>
            </c:strRef>
          </c:tx>
          <c:spPr>
            <a:solidFill>
              <a:srgbClr val="29489A"/>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BDP_doprinosi!$AD$35:$AJ$35</c:f>
              <c:numCache>
                <c:formatCode>0.0</c:formatCode>
                <c:ptCount val="7"/>
                <c:pt idx="0">
                  <c:v>6.9801261418422189E-2</c:v>
                </c:pt>
                <c:pt idx="1">
                  <c:v>0.10531089066734313</c:v>
                </c:pt>
                <c:pt idx="2">
                  <c:v>1.2275093003258419</c:v>
                </c:pt>
                <c:pt idx="3">
                  <c:v>0.26173740761554759</c:v>
                </c:pt>
                <c:pt idx="4">
                  <c:v>0.2214701141362326</c:v>
                </c:pt>
                <c:pt idx="5">
                  <c:v>0.72481128262767025</c:v>
                </c:pt>
                <c:pt idx="6">
                  <c:v>1.0872169239415055</c:v>
                </c:pt>
              </c:numCache>
            </c:numRef>
          </c:val>
          <c:extLst>
            <c:ext xmlns:c16="http://schemas.microsoft.com/office/drawing/2014/chart" uri="{C3380CC4-5D6E-409C-BE32-E72D297353CC}">
              <c16:uniqueId val="{00000001-7363-4BF7-BEB9-A543A9E9F126}"/>
            </c:ext>
          </c:extLst>
        </c:ser>
        <c:ser>
          <c:idx val="2"/>
          <c:order val="2"/>
          <c:tx>
            <c:strRef>
              <c:f>BDP_doprinosi!$R$36</c:f>
              <c:strCache>
                <c:ptCount val="1"/>
                <c:pt idx="0">
                  <c:v>Грађевинарство</c:v>
                </c:pt>
              </c:strCache>
            </c:strRef>
          </c:tx>
          <c:spPr>
            <a:solidFill>
              <a:srgbClr val="2183C4"/>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BDP_doprinosi!$AD$36:$AJ$36</c:f>
              <c:numCache>
                <c:formatCode>0.0</c:formatCode>
                <c:ptCount val="7"/>
                <c:pt idx="0">
                  <c:v>1.4979377183874178</c:v>
                </c:pt>
                <c:pt idx="1">
                  <c:v>-0.18747286212971456</c:v>
                </c:pt>
                <c:pt idx="2">
                  <c:v>0.95949612083414682</c:v>
                </c:pt>
                <c:pt idx="3">
                  <c:v>-0.47562673132683064</c:v>
                </c:pt>
                <c:pt idx="4">
                  <c:v>4.7015975740353377E-2</c:v>
                </c:pt>
                <c:pt idx="5">
                  <c:v>0.28428264401143905</c:v>
                </c:pt>
                <c:pt idx="6">
                  <c:v>0.32255146147451735</c:v>
                </c:pt>
              </c:numCache>
            </c:numRef>
          </c:val>
          <c:extLst>
            <c:ext xmlns:c16="http://schemas.microsoft.com/office/drawing/2014/chart" uri="{C3380CC4-5D6E-409C-BE32-E72D297353CC}">
              <c16:uniqueId val="{00000002-7363-4BF7-BEB9-A543A9E9F126}"/>
            </c:ext>
          </c:extLst>
        </c:ser>
        <c:ser>
          <c:idx val="3"/>
          <c:order val="3"/>
          <c:tx>
            <c:strRef>
              <c:f>BDP_doprinosi!$R$37</c:f>
              <c:strCache>
                <c:ptCount val="1"/>
                <c:pt idx="0">
                  <c:v>Услуге</c:v>
                </c:pt>
              </c:strCache>
            </c:strRef>
          </c:tx>
          <c:spPr>
            <a:solidFill>
              <a:srgbClr val="51BBE7"/>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BDP_doprinosi!$AD$37:$AJ$37</c:f>
              <c:numCache>
                <c:formatCode>0.0</c:formatCode>
                <c:ptCount val="7"/>
                <c:pt idx="0">
                  <c:v>2.1454399811146474</c:v>
                </c:pt>
                <c:pt idx="1">
                  <c:v>-0.55831851090570617</c:v>
                </c:pt>
                <c:pt idx="2">
                  <c:v>4.3280932880471479</c:v>
                </c:pt>
                <c:pt idx="3">
                  <c:v>2.4453014122979142</c:v>
                </c:pt>
                <c:pt idx="4">
                  <c:v>1.3245382649947037</c:v>
                </c:pt>
                <c:pt idx="5">
                  <c:v>1.9358636180691819</c:v>
                </c:pt>
                <c:pt idx="6">
                  <c:v>2.0377511769149286</c:v>
                </c:pt>
              </c:numCache>
            </c:numRef>
          </c:val>
          <c:extLst>
            <c:ext xmlns:c16="http://schemas.microsoft.com/office/drawing/2014/chart" uri="{C3380CC4-5D6E-409C-BE32-E72D297353CC}">
              <c16:uniqueId val="{00000003-7363-4BF7-BEB9-A543A9E9F126}"/>
            </c:ext>
          </c:extLst>
        </c:ser>
        <c:ser>
          <c:idx val="4"/>
          <c:order val="4"/>
          <c:tx>
            <c:strRef>
              <c:f>BDP_doprinosi!$R$38</c:f>
              <c:strCache>
                <c:ptCount val="1"/>
                <c:pt idx="0">
                  <c:v>Нето порези</c:v>
                </c:pt>
              </c:strCache>
            </c:strRef>
          </c:tx>
          <c:spPr>
            <a:solidFill>
              <a:srgbClr val="9ED1E6"/>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BDP_doprinosi!$AD$38:$AJ$38</c:f>
              <c:numCache>
                <c:formatCode>0.0</c:formatCode>
                <c:ptCount val="7"/>
                <c:pt idx="0">
                  <c:v>0.72325958742025398</c:v>
                </c:pt>
                <c:pt idx="1">
                  <c:v>-0.40120981552537566</c:v>
                </c:pt>
                <c:pt idx="2">
                  <c:v>1.3946292139779448</c:v>
                </c:pt>
                <c:pt idx="3">
                  <c:v>0.79070334156110433</c:v>
                </c:pt>
                <c:pt idx="4">
                  <c:v>0.51567609232245937</c:v>
                </c:pt>
                <c:pt idx="5">
                  <c:v>0.50880041109149321</c:v>
                </c:pt>
                <c:pt idx="6">
                  <c:v>0.51567609232245937</c:v>
                </c:pt>
              </c:numCache>
            </c:numRef>
          </c:val>
          <c:extLst>
            <c:ext xmlns:c16="http://schemas.microsoft.com/office/drawing/2014/chart" uri="{C3380CC4-5D6E-409C-BE32-E72D297353CC}">
              <c16:uniqueId val="{00000004-7363-4BF7-BEB9-A543A9E9F126}"/>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BDP_doprinosi!$R$39</c:f>
              <c:strCache>
                <c:ptCount val="1"/>
                <c:pt idx="0">
                  <c:v>Реални раст БДП</c:v>
                </c:pt>
              </c:strCache>
            </c:strRef>
          </c:tx>
          <c:spPr>
            <a:ln w="25400" cap="rnd">
              <a:solidFill>
                <a:srgbClr val="FF0000"/>
              </a:solidFill>
              <a:round/>
            </a:ln>
            <a:effectLst/>
          </c:spPr>
          <c:marker>
            <c:symbol val="none"/>
          </c:marker>
          <c:dLbls>
            <c:dLbl>
              <c:idx val="1"/>
              <c:layout>
                <c:manualLayout>
                  <c:x val="-6.6898148148148151E-2"/>
                  <c:y val="5.15497823206511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363-4BF7-BEB9-A543A9E9F126}"/>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BDP_doprinosi!$AD$39:$AJ$39</c:f>
              <c:numCache>
                <c:formatCode>0.0</c:formatCode>
                <c:ptCount val="7"/>
                <c:pt idx="0">
                  <c:v>4.3317364558564329</c:v>
                </c:pt>
                <c:pt idx="1">
                  <c:v>-0.9032209920028561</c:v>
                </c:pt>
                <c:pt idx="2">
                  <c:v>7.5499087026400789</c:v>
                </c:pt>
                <c:pt idx="3">
                  <c:v>2.5233102419418731</c:v>
                </c:pt>
                <c:pt idx="4">
                  <c:v>2.5385752701952837</c:v>
                </c:pt>
                <c:pt idx="5">
                  <c:v>3.510155527330598</c:v>
                </c:pt>
                <c:pt idx="6">
                  <c:v>3.9631956546534108</c:v>
                </c:pt>
              </c:numCache>
            </c:numRef>
          </c:val>
          <c:smooth val="0"/>
          <c:extLst>
            <c:ext xmlns:c16="http://schemas.microsoft.com/office/drawing/2014/chart" uri="{C3380CC4-5D6E-409C-BE32-E72D297353CC}">
              <c16:uniqueId val="{00000006-7363-4BF7-BEB9-A543A9E9F126}"/>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8336"/>
        <c:crosses val="autoZero"/>
        <c:auto val="1"/>
        <c:lblAlgn val="ctr"/>
        <c:lblOffset val="100"/>
        <c:noMultiLvlLbl val="0"/>
      </c:catAx>
      <c:valAx>
        <c:axId val="1768858336"/>
        <c:scaling>
          <c:orientation val="minMax"/>
          <c:max val="8"/>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792"/>
        <c:crosses val="autoZero"/>
        <c:crossBetween val="between"/>
        <c:majorUnit val="2"/>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4217259528330458E-2"/>
          <c:y val="3.0334528263489927E-2"/>
          <c:w val="0.91156548094333911"/>
          <c:h val="0.86751146663327128"/>
        </c:manualLayout>
      </c:layout>
      <c:areaChart>
        <c:grouping val="stacked"/>
        <c:varyColors val="0"/>
        <c:ser>
          <c:idx val="0"/>
          <c:order val="1"/>
          <c:tx>
            <c:strRef>
              <c:f>'fan chart srbija'!$G$4</c:f>
              <c:strCache>
                <c:ptCount val="1"/>
                <c:pt idx="0">
                  <c:v>dno</c:v>
                </c:pt>
              </c:strCache>
            </c:strRef>
          </c:tx>
          <c:spPr>
            <a:noFill/>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srbija'!$G$7:$G$14</c:f>
              <c:numCache>
                <c:formatCode>0.0</c:formatCode>
                <c:ptCount val="8"/>
                <c:pt idx="0">
                  <c:v>4.5</c:v>
                </c:pt>
                <c:pt idx="1">
                  <c:v>4.3</c:v>
                </c:pt>
                <c:pt idx="2">
                  <c:v>-0.9</c:v>
                </c:pt>
                <c:pt idx="3">
                  <c:v>7.5</c:v>
                </c:pt>
                <c:pt idx="4">
                  <c:v>2.2000000000000002</c:v>
                </c:pt>
                <c:pt idx="5">
                  <c:v>0</c:v>
                </c:pt>
                <c:pt idx="6">
                  <c:v>1</c:v>
                </c:pt>
                <c:pt idx="7">
                  <c:v>1</c:v>
                </c:pt>
              </c:numCache>
            </c:numRef>
          </c:val>
          <c:extLst>
            <c:ext xmlns:c16="http://schemas.microsoft.com/office/drawing/2014/chart" uri="{C3380CC4-5D6E-409C-BE32-E72D297353CC}">
              <c16:uniqueId val="{00000000-BCB1-487E-BAE8-5EB0931E9654}"/>
            </c:ext>
          </c:extLst>
        </c:ser>
        <c:ser>
          <c:idx val="2"/>
          <c:order val="2"/>
          <c:tx>
            <c:strRef>
              <c:f>'fan chart srbija'!$H$4</c:f>
              <c:strCache>
                <c:ptCount val="1"/>
                <c:pt idx="0">
                  <c:v>90</c:v>
                </c:pt>
              </c:strCache>
            </c:strRef>
          </c:tx>
          <c:spPr>
            <a:solidFill>
              <a:srgbClr val="FFF1F1"/>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srbija'!$H$7:$H$14</c:f>
              <c:numCache>
                <c:formatCode>0.0</c:formatCode>
                <c:ptCount val="8"/>
                <c:pt idx="0">
                  <c:v>0</c:v>
                </c:pt>
                <c:pt idx="1">
                  <c:v>0</c:v>
                </c:pt>
                <c:pt idx="2">
                  <c:v>0</c:v>
                </c:pt>
                <c:pt idx="3">
                  <c:v>0</c:v>
                </c:pt>
                <c:pt idx="4">
                  <c:v>0.2</c:v>
                </c:pt>
                <c:pt idx="5">
                  <c:v>0.9</c:v>
                </c:pt>
                <c:pt idx="6">
                  <c:v>0.9</c:v>
                </c:pt>
                <c:pt idx="7">
                  <c:v>0.9</c:v>
                </c:pt>
              </c:numCache>
            </c:numRef>
          </c:val>
          <c:extLst>
            <c:ext xmlns:c16="http://schemas.microsoft.com/office/drawing/2014/chart" uri="{C3380CC4-5D6E-409C-BE32-E72D297353CC}">
              <c16:uniqueId val="{00000001-BCB1-487E-BAE8-5EB0931E9654}"/>
            </c:ext>
          </c:extLst>
        </c:ser>
        <c:ser>
          <c:idx val="3"/>
          <c:order val="3"/>
          <c:tx>
            <c:strRef>
              <c:f>'fan chart srbija'!$I$4</c:f>
              <c:strCache>
                <c:ptCount val="1"/>
                <c:pt idx="0">
                  <c:v>80</c:v>
                </c:pt>
              </c:strCache>
            </c:strRef>
          </c:tx>
          <c:spPr>
            <a:solidFill>
              <a:srgbClr val="FFD5D5"/>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srbija'!$I$7:$I$14</c:f>
              <c:numCache>
                <c:formatCode>0.0</c:formatCode>
                <c:ptCount val="8"/>
                <c:pt idx="0">
                  <c:v>0</c:v>
                </c:pt>
                <c:pt idx="1">
                  <c:v>0</c:v>
                </c:pt>
                <c:pt idx="2">
                  <c:v>0</c:v>
                </c:pt>
                <c:pt idx="3">
                  <c:v>0</c:v>
                </c:pt>
                <c:pt idx="4">
                  <c:v>0.1</c:v>
                </c:pt>
                <c:pt idx="5">
                  <c:v>0.8</c:v>
                </c:pt>
                <c:pt idx="6">
                  <c:v>0.7</c:v>
                </c:pt>
                <c:pt idx="7">
                  <c:v>0.9</c:v>
                </c:pt>
              </c:numCache>
            </c:numRef>
          </c:val>
          <c:extLst>
            <c:ext xmlns:c16="http://schemas.microsoft.com/office/drawing/2014/chart" uri="{C3380CC4-5D6E-409C-BE32-E72D297353CC}">
              <c16:uniqueId val="{00000002-BCB1-487E-BAE8-5EB0931E9654}"/>
            </c:ext>
          </c:extLst>
        </c:ser>
        <c:ser>
          <c:idx val="4"/>
          <c:order val="4"/>
          <c:tx>
            <c:strRef>
              <c:f>'fan chart srbija'!$J$4</c:f>
              <c:strCache>
                <c:ptCount val="1"/>
                <c:pt idx="0">
                  <c:v>70</c:v>
                </c:pt>
              </c:strCache>
            </c:strRef>
          </c:tx>
          <c:spPr>
            <a:solidFill>
              <a:srgbClr val="FFAFAF"/>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srbija'!$J$7:$J$14</c:f>
              <c:numCache>
                <c:formatCode>0.0</c:formatCode>
                <c:ptCount val="8"/>
                <c:pt idx="0">
                  <c:v>0</c:v>
                </c:pt>
                <c:pt idx="1">
                  <c:v>0</c:v>
                </c:pt>
                <c:pt idx="2">
                  <c:v>0</c:v>
                </c:pt>
                <c:pt idx="3">
                  <c:v>0</c:v>
                </c:pt>
                <c:pt idx="4">
                  <c:v>0</c:v>
                </c:pt>
                <c:pt idx="5">
                  <c:v>0</c:v>
                </c:pt>
                <c:pt idx="6">
                  <c:v>0.3</c:v>
                </c:pt>
                <c:pt idx="7">
                  <c:v>0.5</c:v>
                </c:pt>
              </c:numCache>
            </c:numRef>
          </c:val>
          <c:extLst>
            <c:ext xmlns:c16="http://schemas.microsoft.com/office/drawing/2014/chart" uri="{C3380CC4-5D6E-409C-BE32-E72D297353CC}">
              <c16:uniqueId val="{00000003-BCB1-487E-BAE8-5EB0931E9654}"/>
            </c:ext>
          </c:extLst>
        </c:ser>
        <c:ser>
          <c:idx val="5"/>
          <c:order val="5"/>
          <c:tx>
            <c:strRef>
              <c:f>'fan chart srbija'!$K$4</c:f>
              <c:strCache>
                <c:ptCount val="1"/>
                <c:pt idx="0">
                  <c:v>60</c:v>
                </c:pt>
              </c:strCache>
            </c:strRef>
          </c:tx>
          <c:spPr>
            <a:solidFill>
              <a:srgbClr val="FF7D7D"/>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srbija'!$K$7:$K$14</c:f>
              <c:numCache>
                <c:formatCode>0.0</c:formatCode>
                <c:ptCount val="8"/>
                <c:pt idx="0">
                  <c:v>0</c:v>
                </c:pt>
                <c:pt idx="1">
                  <c:v>0</c:v>
                </c:pt>
                <c:pt idx="2">
                  <c:v>0</c:v>
                </c:pt>
                <c:pt idx="3">
                  <c:v>0</c:v>
                </c:pt>
                <c:pt idx="4">
                  <c:v>0</c:v>
                </c:pt>
                <c:pt idx="5">
                  <c:v>0.2</c:v>
                </c:pt>
                <c:pt idx="6">
                  <c:v>0.1</c:v>
                </c:pt>
                <c:pt idx="7">
                  <c:v>0.2</c:v>
                </c:pt>
              </c:numCache>
            </c:numRef>
          </c:val>
          <c:extLst>
            <c:ext xmlns:c16="http://schemas.microsoft.com/office/drawing/2014/chart" uri="{C3380CC4-5D6E-409C-BE32-E72D297353CC}">
              <c16:uniqueId val="{00000004-BCB1-487E-BAE8-5EB0931E9654}"/>
            </c:ext>
          </c:extLst>
        </c:ser>
        <c:ser>
          <c:idx val="6"/>
          <c:order val="6"/>
          <c:tx>
            <c:strRef>
              <c:f>'fan chart srbija'!$L$4</c:f>
              <c:strCache>
                <c:ptCount val="1"/>
                <c:pt idx="0">
                  <c:v>50</c:v>
                </c:pt>
              </c:strCache>
            </c:strRef>
          </c:tx>
          <c:spPr>
            <a:solidFill>
              <a:srgbClr val="FF4747"/>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srbija'!$L$7:$L$14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5-BCB1-487E-BAE8-5EB0931E9654}"/>
            </c:ext>
          </c:extLst>
        </c:ser>
        <c:ser>
          <c:idx val="7"/>
          <c:order val="7"/>
          <c:tx>
            <c:strRef>
              <c:f>'fan chart srbija'!$M$4</c:f>
              <c:strCache>
                <c:ptCount val="1"/>
                <c:pt idx="0">
                  <c:v>40</c:v>
                </c:pt>
              </c:strCache>
            </c:strRef>
          </c:tx>
          <c:spPr>
            <a:solidFill>
              <a:srgbClr val="C0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srbija'!$M$7:$M$14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6-BCB1-487E-BAE8-5EB0931E9654}"/>
            </c:ext>
          </c:extLst>
        </c:ser>
        <c:ser>
          <c:idx val="8"/>
          <c:order val="8"/>
          <c:tx>
            <c:strRef>
              <c:f>'fan chart srbija'!$N$4</c:f>
              <c:strCache>
                <c:ptCount val="1"/>
                <c:pt idx="0">
                  <c:v>30</c:v>
                </c:pt>
              </c:strCache>
            </c:strRef>
          </c:tx>
          <c:spPr>
            <a:solidFill>
              <a:srgbClr val="74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srbija'!$N$7:$N$14</c:f>
              <c:numCache>
                <c:formatCode>0.0</c:formatCode>
                <c:ptCount val="8"/>
                <c:pt idx="0">
                  <c:v>0</c:v>
                </c:pt>
                <c:pt idx="1">
                  <c:v>0</c:v>
                </c:pt>
                <c:pt idx="2">
                  <c:v>0</c:v>
                </c:pt>
                <c:pt idx="3">
                  <c:v>0</c:v>
                </c:pt>
                <c:pt idx="4">
                  <c:v>0</c:v>
                </c:pt>
                <c:pt idx="5">
                  <c:v>0.14755070574747364</c:v>
                </c:pt>
                <c:pt idx="6">
                  <c:v>0.1</c:v>
                </c:pt>
                <c:pt idx="7">
                  <c:v>0.1</c:v>
                </c:pt>
              </c:numCache>
            </c:numRef>
          </c:val>
          <c:extLst>
            <c:ext xmlns:c16="http://schemas.microsoft.com/office/drawing/2014/chart" uri="{C3380CC4-5D6E-409C-BE32-E72D297353CC}">
              <c16:uniqueId val="{00000007-BCB1-487E-BAE8-5EB0931E9654}"/>
            </c:ext>
          </c:extLst>
        </c:ser>
        <c:ser>
          <c:idx val="9"/>
          <c:order val="9"/>
          <c:tx>
            <c:strRef>
              <c:f>'fan chart srbija'!$O$4</c:f>
              <c:strCache>
                <c:ptCount val="1"/>
                <c:pt idx="0">
                  <c:v>20</c:v>
                </c:pt>
              </c:strCache>
            </c:strRef>
          </c:tx>
          <c:spPr>
            <a:solidFill>
              <a:srgbClr val="46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srbija'!$O$7:$O$14</c:f>
              <c:numCache>
                <c:formatCode>0.0</c:formatCode>
                <c:ptCount val="8"/>
                <c:pt idx="0">
                  <c:v>0</c:v>
                </c:pt>
                <c:pt idx="1">
                  <c:v>0</c:v>
                </c:pt>
                <c:pt idx="2">
                  <c:v>0</c:v>
                </c:pt>
                <c:pt idx="3">
                  <c:v>0</c:v>
                </c:pt>
                <c:pt idx="4">
                  <c:v>0</c:v>
                </c:pt>
                <c:pt idx="5">
                  <c:v>0.14275701540108665</c:v>
                </c:pt>
                <c:pt idx="6">
                  <c:v>0.1</c:v>
                </c:pt>
                <c:pt idx="7">
                  <c:v>0.1</c:v>
                </c:pt>
              </c:numCache>
            </c:numRef>
          </c:val>
          <c:extLst>
            <c:ext xmlns:c16="http://schemas.microsoft.com/office/drawing/2014/chart" uri="{C3380CC4-5D6E-409C-BE32-E72D297353CC}">
              <c16:uniqueId val="{00000008-BCB1-487E-BAE8-5EB0931E9654}"/>
            </c:ext>
          </c:extLst>
        </c:ser>
        <c:ser>
          <c:idx val="10"/>
          <c:order val="10"/>
          <c:tx>
            <c:strRef>
              <c:f>'fan chart srbija'!$P$4</c:f>
              <c:strCache>
                <c:ptCount val="1"/>
                <c:pt idx="0">
                  <c:v>10</c:v>
                </c:pt>
              </c:strCache>
            </c:strRef>
          </c:tx>
          <c:spPr>
            <a:solidFill>
              <a:srgbClr val="14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srbija'!$P$7:$P$14</c:f>
              <c:numCache>
                <c:formatCode>0.0</c:formatCode>
                <c:ptCount val="8"/>
                <c:pt idx="0">
                  <c:v>0</c:v>
                </c:pt>
                <c:pt idx="1">
                  <c:v>0</c:v>
                </c:pt>
                <c:pt idx="2">
                  <c:v>0</c:v>
                </c:pt>
                <c:pt idx="3">
                  <c:v>0</c:v>
                </c:pt>
                <c:pt idx="4">
                  <c:v>0</c:v>
                </c:pt>
                <c:pt idx="5">
                  <c:v>0.14049365685606263</c:v>
                </c:pt>
                <c:pt idx="6">
                  <c:v>0.1</c:v>
                </c:pt>
                <c:pt idx="7">
                  <c:v>0.1</c:v>
                </c:pt>
              </c:numCache>
            </c:numRef>
          </c:val>
          <c:extLst>
            <c:ext xmlns:c16="http://schemas.microsoft.com/office/drawing/2014/chart" uri="{C3380CC4-5D6E-409C-BE32-E72D297353CC}">
              <c16:uniqueId val="{00000009-BCB1-487E-BAE8-5EB0931E9654}"/>
            </c:ext>
          </c:extLst>
        </c:ser>
        <c:ser>
          <c:idx val="11"/>
          <c:order val="11"/>
          <c:tx>
            <c:strRef>
              <c:f>'fan chart srbija'!$Q$4</c:f>
              <c:strCache>
                <c:ptCount val="1"/>
                <c:pt idx="0">
                  <c:v>10</c:v>
                </c:pt>
              </c:strCache>
            </c:strRef>
          </c:tx>
          <c:spPr>
            <a:solidFill>
              <a:srgbClr val="14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srbija'!$Q$7:$Q$14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A-BCB1-487E-BAE8-5EB0931E9654}"/>
            </c:ext>
          </c:extLst>
        </c:ser>
        <c:ser>
          <c:idx val="12"/>
          <c:order val="12"/>
          <c:tx>
            <c:strRef>
              <c:f>'fan chart srbija'!$R$4</c:f>
              <c:strCache>
                <c:ptCount val="1"/>
                <c:pt idx="0">
                  <c:v>20</c:v>
                </c:pt>
              </c:strCache>
            </c:strRef>
          </c:tx>
          <c:spPr>
            <a:solidFill>
              <a:srgbClr val="46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srbija'!$R$7:$R$14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B-BCB1-487E-BAE8-5EB0931E9654}"/>
            </c:ext>
          </c:extLst>
        </c:ser>
        <c:ser>
          <c:idx val="13"/>
          <c:order val="13"/>
          <c:tx>
            <c:strRef>
              <c:f>'fan chart srbija'!$S$4</c:f>
              <c:strCache>
                <c:ptCount val="1"/>
                <c:pt idx="0">
                  <c:v>30</c:v>
                </c:pt>
              </c:strCache>
            </c:strRef>
          </c:tx>
          <c:spPr>
            <a:solidFill>
              <a:srgbClr val="74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srbija'!$S$7:$S$14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C-BCB1-487E-BAE8-5EB0931E9654}"/>
            </c:ext>
          </c:extLst>
        </c:ser>
        <c:ser>
          <c:idx val="14"/>
          <c:order val="14"/>
          <c:tx>
            <c:strRef>
              <c:f>'fan chart srbija'!$T$4</c:f>
              <c:strCache>
                <c:ptCount val="1"/>
                <c:pt idx="0">
                  <c:v>40</c:v>
                </c:pt>
              </c:strCache>
            </c:strRef>
          </c:tx>
          <c:spPr>
            <a:solidFill>
              <a:srgbClr val="C0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srbija'!$T$7:$T$14</c:f>
              <c:numCache>
                <c:formatCode>0.0</c:formatCode>
                <c:ptCount val="8"/>
                <c:pt idx="0">
                  <c:v>0</c:v>
                </c:pt>
                <c:pt idx="1">
                  <c:v>0</c:v>
                </c:pt>
                <c:pt idx="2">
                  <c:v>0</c:v>
                </c:pt>
                <c:pt idx="3">
                  <c:v>0</c:v>
                </c:pt>
                <c:pt idx="4">
                  <c:v>0</c:v>
                </c:pt>
                <c:pt idx="5">
                  <c:v>0.2</c:v>
                </c:pt>
                <c:pt idx="6">
                  <c:v>0.1</c:v>
                </c:pt>
                <c:pt idx="7">
                  <c:v>0.1</c:v>
                </c:pt>
              </c:numCache>
            </c:numRef>
          </c:val>
          <c:extLst>
            <c:ext xmlns:c16="http://schemas.microsoft.com/office/drawing/2014/chart" uri="{C3380CC4-5D6E-409C-BE32-E72D297353CC}">
              <c16:uniqueId val="{0000000D-BCB1-487E-BAE8-5EB0931E9654}"/>
            </c:ext>
          </c:extLst>
        </c:ser>
        <c:ser>
          <c:idx val="15"/>
          <c:order val="15"/>
          <c:tx>
            <c:strRef>
              <c:f>'fan chart srbija'!$U$4</c:f>
              <c:strCache>
                <c:ptCount val="1"/>
                <c:pt idx="0">
                  <c:v>50</c:v>
                </c:pt>
              </c:strCache>
            </c:strRef>
          </c:tx>
          <c:spPr>
            <a:solidFill>
              <a:srgbClr val="FF4747"/>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srbija'!$U$7:$U$14</c:f>
              <c:numCache>
                <c:formatCode>0.0</c:formatCode>
                <c:ptCount val="8"/>
                <c:pt idx="0">
                  <c:v>0</c:v>
                </c:pt>
                <c:pt idx="1">
                  <c:v>0</c:v>
                </c:pt>
                <c:pt idx="2">
                  <c:v>0</c:v>
                </c:pt>
                <c:pt idx="3">
                  <c:v>0</c:v>
                </c:pt>
                <c:pt idx="4">
                  <c:v>0</c:v>
                </c:pt>
                <c:pt idx="5">
                  <c:v>0.2</c:v>
                </c:pt>
                <c:pt idx="6">
                  <c:v>0.3</c:v>
                </c:pt>
                <c:pt idx="7">
                  <c:v>0.1</c:v>
                </c:pt>
              </c:numCache>
            </c:numRef>
          </c:val>
          <c:extLst>
            <c:ext xmlns:c16="http://schemas.microsoft.com/office/drawing/2014/chart" uri="{C3380CC4-5D6E-409C-BE32-E72D297353CC}">
              <c16:uniqueId val="{0000000E-BCB1-487E-BAE8-5EB0931E9654}"/>
            </c:ext>
          </c:extLst>
        </c:ser>
        <c:ser>
          <c:idx val="16"/>
          <c:order val="16"/>
          <c:tx>
            <c:strRef>
              <c:f>'fan chart srbija'!$V$4</c:f>
              <c:strCache>
                <c:ptCount val="1"/>
                <c:pt idx="0">
                  <c:v>60</c:v>
                </c:pt>
              </c:strCache>
            </c:strRef>
          </c:tx>
          <c:spPr>
            <a:solidFill>
              <a:srgbClr val="FF7D7D"/>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srbija'!$V$7:$V$14</c:f>
              <c:numCache>
                <c:formatCode>0.0</c:formatCode>
                <c:ptCount val="8"/>
                <c:pt idx="0">
                  <c:v>0</c:v>
                </c:pt>
                <c:pt idx="1">
                  <c:v>0</c:v>
                </c:pt>
                <c:pt idx="2">
                  <c:v>0</c:v>
                </c:pt>
                <c:pt idx="3">
                  <c:v>0</c:v>
                </c:pt>
                <c:pt idx="4">
                  <c:v>0</c:v>
                </c:pt>
                <c:pt idx="5">
                  <c:v>0.1</c:v>
                </c:pt>
                <c:pt idx="6">
                  <c:v>0.3</c:v>
                </c:pt>
                <c:pt idx="7">
                  <c:v>0.1</c:v>
                </c:pt>
              </c:numCache>
            </c:numRef>
          </c:val>
          <c:extLst>
            <c:ext xmlns:c16="http://schemas.microsoft.com/office/drawing/2014/chart" uri="{C3380CC4-5D6E-409C-BE32-E72D297353CC}">
              <c16:uniqueId val="{0000000F-BCB1-487E-BAE8-5EB0931E9654}"/>
            </c:ext>
          </c:extLst>
        </c:ser>
        <c:ser>
          <c:idx val="17"/>
          <c:order val="17"/>
          <c:tx>
            <c:strRef>
              <c:f>'fan chart srbija'!$W$4</c:f>
              <c:strCache>
                <c:ptCount val="1"/>
                <c:pt idx="0">
                  <c:v>70</c:v>
                </c:pt>
              </c:strCache>
            </c:strRef>
          </c:tx>
          <c:spPr>
            <a:solidFill>
              <a:srgbClr val="FFAFAF"/>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srbija'!$W$7:$W$14</c:f>
              <c:numCache>
                <c:formatCode>0.0</c:formatCode>
                <c:ptCount val="8"/>
                <c:pt idx="0">
                  <c:v>0</c:v>
                </c:pt>
                <c:pt idx="1">
                  <c:v>0</c:v>
                </c:pt>
                <c:pt idx="2">
                  <c:v>0</c:v>
                </c:pt>
                <c:pt idx="3">
                  <c:v>0</c:v>
                </c:pt>
                <c:pt idx="4">
                  <c:v>0.1</c:v>
                </c:pt>
                <c:pt idx="5">
                  <c:v>0.1</c:v>
                </c:pt>
                <c:pt idx="6">
                  <c:v>0.3</c:v>
                </c:pt>
                <c:pt idx="7">
                  <c:v>0.4</c:v>
                </c:pt>
              </c:numCache>
            </c:numRef>
          </c:val>
          <c:extLst>
            <c:ext xmlns:c16="http://schemas.microsoft.com/office/drawing/2014/chart" uri="{C3380CC4-5D6E-409C-BE32-E72D297353CC}">
              <c16:uniqueId val="{00000010-BCB1-487E-BAE8-5EB0931E9654}"/>
            </c:ext>
          </c:extLst>
        </c:ser>
        <c:ser>
          <c:idx val="18"/>
          <c:order val="18"/>
          <c:tx>
            <c:strRef>
              <c:f>'fan chart srbija'!$X$4</c:f>
              <c:strCache>
                <c:ptCount val="1"/>
                <c:pt idx="0">
                  <c:v>80</c:v>
                </c:pt>
              </c:strCache>
            </c:strRef>
          </c:tx>
          <c:spPr>
            <a:solidFill>
              <a:srgbClr val="FFD5D5"/>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srbija'!$X$7:$X$14</c:f>
              <c:numCache>
                <c:formatCode>0.0</c:formatCode>
                <c:ptCount val="8"/>
                <c:pt idx="0">
                  <c:v>0</c:v>
                </c:pt>
                <c:pt idx="1">
                  <c:v>0</c:v>
                </c:pt>
                <c:pt idx="2">
                  <c:v>0</c:v>
                </c:pt>
                <c:pt idx="3">
                  <c:v>0</c:v>
                </c:pt>
                <c:pt idx="4">
                  <c:v>0.1</c:v>
                </c:pt>
                <c:pt idx="5">
                  <c:v>0.5</c:v>
                </c:pt>
                <c:pt idx="6">
                  <c:v>0.4</c:v>
                </c:pt>
                <c:pt idx="7">
                  <c:v>0.5</c:v>
                </c:pt>
              </c:numCache>
            </c:numRef>
          </c:val>
          <c:extLst>
            <c:ext xmlns:c16="http://schemas.microsoft.com/office/drawing/2014/chart" uri="{C3380CC4-5D6E-409C-BE32-E72D297353CC}">
              <c16:uniqueId val="{00000011-BCB1-487E-BAE8-5EB0931E9654}"/>
            </c:ext>
          </c:extLst>
        </c:ser>
        <c:ser>
          <c:idx val="19"/>
          <c:order val="19"/>
          <c:tx>
            <c:strRef>
              <c:f>'fan chart srbija'!$Y$4</c:f>
              <c:strCache>
                <c:ptCount val="1"/>
                <c:pt idx="0">
                  <c:v>90</c:v>
                </c:pt>
              </c:strCache>
            </c:strRef>
          </c:tx>
          <c:spPr>
            <a:solidFill>
              <a:srgbClr val="FFF1F1"/>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srbija'!$Y$7:$Y$14</c:f>
              <c:numCache>
                <c:formatCode>0.0</c:formatCode>
                <c:ptCount val="8"/>
                <c:pt idx="0">
                  <c:v>0</c:v>
                </c:pt>
                <c:pt idx="1">
                  <c:v>0</c:v>
                </c:pt>
                <c:pt idx="2">
                  <c:v>0</c:v>
                </c:pt>
                <c:pt idx="3">
                  <c:v>0</c:v>
                </c:pt>
                <c:pt idx="4">
                  <c:v>0.1</c:v>
                </c:pt>
                <c:pt idx="5">
                  <c:v>0.6</c:v>
                </c:pt>
                <c:pt idx="6">
                  <c:v>0.4</c:v>
                </c:pt>
                <c:pt idx="7">
                  <c:v>0.5</c:v>
                </c:pt>
              </c:numCache>
            </c:numRef>
          </c:val>
          <c:extLst>
            <c:ext xmlns:c16="http://schemas.microsoft.com/office/drawing/2014/chart" uri="{C3380CC4-5D6E-409C-BE32-E72D297353CC}">
              <c16:uniqueId val="{00000012-BCB1-487E-BAE8-5EB0931E9654}"/>
            </c:ext>
          </c:extLst>
        </c:ser>
        <c:dLbls>
          <c:showLegendKey val="0"/>
          <c:showVal val="0"/>
          <c:showCatName val="0"/>
          <c:showSerName val="0"/>
          <c:showPercent val="0"/>
          <c:showBubbleSize val="0"/>
        </c:dLbls>
        <c:axId val="1761020848"/>
        <c:axId val="1761011056"/>
      </c:areaChart>
      <c:lineChart>
        <c:grouping val="standard"/>
        <c:varyColors val="0"/>
        <c:ser>
          <c:idx val="1"/>
          <c:order val="0"/>
          <c:tx>
            <c:strRef>
              <c:f>'fan chart srbija'!$F$4</c:f>
              <c:strCache>
                <c:ptCount val="1"/>
                <c:pt idx="0">
                  <c:v>srednja</c:v>
                </c:pt>
              </c:strCache>
            </c:strRef>
          </c:tx>
          <c:spPr>
            <a:ln w="19050">
              <a:solidFill>
                <a:sysClr val="windowText" lastClr="000000"/>
              </a:solidFill>
            </a:ln>
          </c:spPr>
          <c:marker>
            <c:symbol val="none"/>
          </c:marke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srbija'!$F$7:$F$14</c:f>
              <c:numCache>
                <c:formatCode>0.0</c:formatCode>
                <c:ptCount val="8"/>
                <c:pt idx="0">
                  <c:v>4.5</c:v>
                </c:pt>
                <c:pt idx="1">
                  <c:v>4.3</c:v>
                </c:pt>
                <c:pt idx="2">
                  <c:v>-0.9</c:v>
                </c:pt>
                <c:pt idx="3">
                  <c:v>7.5</c:v>
                </c:pt>
                <c:pt idx="4">
                  <c:v>2.5</c:v>
                </c:pt>
                <c:pt idx="5">
                  <c:v>2.5</c:v>
                </c:pt>
                <c:pt idx="6">
                  <c:v>3.5</c:v>
                </c:pt>
                <c:pt idx="7">
                  <c:v>4</c:v>
                </c:pt>
              </c:numCache>
            </c:numRef>
          </c:val>
          <c:smooth val="0"/>
          <c:extLst>
            <c:ext xmlns:c16="http://schemas.microsoft.com/office/drawing/2014/chart" uri="{C3380CC4-5D6E-409C-BE32-E72D297353CC}">
              <c16:uniqueId val="{00000013-BCB1-487E-BAE8-5EB0931E9654}"/>
            </c:ext>
          </c:extLst>
        </c:ser>
        <c:dLbls>
          <c:showLegendKey val="0"/>
          <c:showVal val="0"/>
          <c:showCatName val="0"/>
          <c:showSerName val="0"/>
          <c:showPercent val="0"/>
          <c:showBubbleSize val="0"/>
        </c:dLbls>
        <c:marker val="1"/>
        <c:smooth val="0"/>
        <c:axId val="1761020848"/>
        <c:axId val="1761011056"/>
      </c:lineChart>
      <c:catAx>
        <c:axId val="1761020848"/>
        <c:scaling>
          <c:orientation val="minMax"/>
        </c:scaling>
        <c:delete val="0"/>
        <c:axPos val="b"/>
        <c:numFmt formatCode="General" sourceLinked="1"/>
        <c:majorTickMark val="none"/>
        <c:minorTickMark val="none"/>
        <c:tickLblPos val="low"/>
        <c:spPr>
          <a:ln w="6350">
            <a:solidFill>
              <a:srgbClr val="898989"/>
            </a:solidFill>
          </a:ln>
        </c:spPr>
        <c:txPr>
          <a:bodyPr rot="0" vert="horz"/>
          <a:lstStyle/>
          <a:p>
            <a:pPr>
              <a:defRPr/>
            </a:pPr>
            <a:endParaRPr lang="en-US"/>
          </a:p>
        </c:txPr>
        <c:crossAx val="1761011056"/>
        <c:crosses val="autoZero"/>
        <c:auto val="1"/>
        <c:lblAlgn val="ctr"/>
        <c:lblOffset val="100"/>
        <c:tickLblSkip val="1"/>
        <c:noMultiLvlLbl val="0"/>
      </c:catAx>
      <c:valAx>
        <c:axId val="1761011056"/>
        <c:scaling>
          <c:orientation val="minMax"/>
          <c:max val="9"/>
          <c:min val="-2"/>
        </c:scaling>
        <c:delete val="0"/>
        <c:axPos val="l"/>
        <c:numFmt formatCode="0" sourceLinked="0"/>
        <c:majorTickMark val="none"/>
        <c:minorTickMark val="none"/>
        <c:tickLblPos val="nextTo"/>
        <c:spPr>
          <a:ln w="12700">
            <a:noFill/>
          </a:ln>
        </c:spPr>
        <c:txPr>
          <a:bodyPr rot="0" vert="horz"/>
          <a:lstStyle/>
          <a:p>
            <a:pPr>
              <a:defRPr/>
            </a:pPr>
            <a:endParaRPr lang="en-US"/>
          </a:p>
        </c:txPr>
        <c:crossAx val="1761020848"/>
        <c:crosses val="autoZero"/>
        <c:crossBetween val="midCat"/>
        <c:majorUnit val="2"/>
      </c:valAx>
      <c:spPr>
        <a:noFill/>
        <a:ln>
          <a:noFill/>
        </a:ln>
      </c:spPr>
    </c:plotArea>
    <c:plotVisOnly val="1"/>
    <c:dispBlanksAs val="gap"/>
    <c:showDLblsOverMax val="0"/>
  </c:chart>
  <c:spPr>
    <a:noFill/>
    <a:ln w="9525">
      <a:noFill/>
    </a:ln>
  </c:spPr>
  <c:txPr>
    <a:bodyPr/>
    <a:lstStyle/>
    <a:p>
      <a:pPr>
        <a:defRPr sz="750" b="0" i="0" u="none" strike="noStrike" baseline="0">
          <a:solidFill>
            <a:schemeClr val="tx2"/>
          </a:solidFill>
          <a:latin typeface="+mn-lt"/>
          <a:ea typeface="Calibri"/>
          <a:cs typeface="Calibri"/>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890798861412E-2"/>
          <c:y val="0.1330256638670656"/>
          <c:w val="0.90740810185185183"/>
          <c:h val="0.54290136863667737"/>
        </c:manualLayout>
      </c:layout>
      <c:barChart>
        <c:barDir val="col"/>
        <c:grouping val="stacked"/>
        <c:varyColors val="0"/>
        <c:ser>
          <c:idx val="2"/>
          <c:order val="1"/>
          <c:tx>
            <c:strRef>
              <c:f>'nepoljoprivredni BDP'!$D$5</c:f>
              <c:strCache>
                <c:ptCount val="1"/>
                <c:pt idx="0">
                  <c:v>Допринос фактора рада, п.п.</c:v>
                </c:pt>
              </c:strCache>
            </c:strRef>
          </c:tx>
          <c:spPr>
            <a:solidFill>
              <a:srgbClr val="10103C"/>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BDP'!$D$10:$D$16</c:f>
              <c:numCache>
                <c:formatCode>0.0</c:formatCode>
                <c:ptCount val="7"/>
                <c:pt idx="0">
                  <c:v>1.3122050478265457</c:v>
                </c:pt>
                <c:pt idx="1">
                  <c:v>1.1623085151343993</c:v>
                </c:pt>
                <c:pt idx="2">
                  <c:v>1.0671274220490368</c:v>
                </c:pt>
                <c:pt idx="3">
                  <c:v>1.0131907301514951</c:v>
                </c:pt>
                <c:pt idx="4">
                  <c:v>1.0788467913914934</c:v>
                </c:pt>
                <c:pt idx="5">
                  <c:v>0.93875934003053496</c:v>
                </c:pt>
                <c:pt idx="6">
                  <c:v>0.83591863729096783</c:v>
                </c:pt>
              </c:numCache>
            </c:numRef>
          </c:val>
          <c:extLst>
            <c:ext xmlns:c16="http://schemas.microsoft.com/office/drawing/2014/chart" uri="{C3380CC4-5D6E-409C-BE32-E72D297353CC}">
              <c16:uniqueId val="{00000000-5CA8-4BF2-99EF-5A227CC4701D}"/>
            </c:ext>
          </c:extLst>
        </c:ser>
        <c:ser>
          <c:idx val="1"/>
          <c:order val="2"/>
          <c:tx>
            <c:strRef>
              <c:f>'nepoljoprivredni BDP'!$E$5</c:f>
              <c:strCache>
                <c:ptCount val="1"/>
                <c:pt idx="0">
                  <c:v>Допринос капитала, п.п.</c:v>
                </c:pt>
              </c:strCache>
            </c:strRef>
          </c:tx>
          <c:spPr>
            <a:solidFill>
              <a:srgbClr val="29489A"/>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BDP'!$E$10:$E$16</c:f>
              <c:numCache>
                <c:formatCode>0.0</c:formatCode>
                <c:ptCount val="7"/>
                <c:pt idx="0">
                  <c:v>1.4937664053533428</c:v>
                </c:pt>
                <c:pt idx="1">
                  <c:v>1.2520403410443093</c:v>
                </c:pt>
                <c:pt idx="2">
                  <c:v>1.7094420925119269</c:v>
                </c:pt>
                <c:pt idx="3">
                  <c:v>1.1891100047719199</c:v>
                </c:pt>
                <c:pt idx="4">
                  <c:v>1.4064121471588464</c:v>
                </c:pt>
                <c:pt idx="5">
                  <c:v>1.4518420504717588</c:v>
                </c:pt>
                <c:pt idx="6">
                  <c:v>1.5159903049549595</c:v>
                </c:pt>
              </c:numCache>
            </c:numRef>
          </c:val>
          <c:extLst>
            <c:ext xmlns:c16="http://schemas.microsoft.com/office/drawing/2014/chart" uri="{C3380CC4-5D6E-409C-BE32-E72D297353CC}">
              <c16:uniqueId val="{00000001-5CA8-4BF2-99EF-5A227CC4701D}"/>
            </c:ext>
          </c:extLst>
        </c:ser>
        <c:ser>
          <c:idx val="3"/>
          <c:order val="3"/>
          <c:tx>
            <c:strRef>
              <c:f>'nepoljoprivredni BDP'!$F$5</c:f>
              <c:strCache>
                <c:ptCount val="1"/>
                <c:pt idx="0">
                  <c:v>ТФП, п.п.</c:v>
                </c:pt>
              </c:strCache>
            </c:strRef>
          </c:tx>
          <c:spPr>
            <a:solidFill>
              <a:srgbClr val="51BBE7"/>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BDP'!$F$10:$F$16</c:f>
              <c:numCache>
                <c:formatCode>0.0</c:formatCode>
                <c:ptCount val="7"/>
                <c:pt idx="0">
                  <c:v>0.43286694935909087</c:v>
                </c:pt>
                <c:pt idx="1">
                  <c:v>0.94288647669782044</c:v>
                </c:pt>
                <c:pt idx="2">
                  <c:v>0.73692806817599377</c:v>
                </c:pt>
                <c:pt idx="3">
                  <c:v>1.3670817810839873</c:v>
                </c:pt>
                <c:pt idx="4">
                  <c:v>1.101014192509119</c:v>
                </c:pt>
                <c:pt idx="5">
                  <c:v>1.2806744756011357</c:v>
                </c:pt>
                <c:pt idx="6">
                  <c:v>1.4416372723228941</c:v>
                </c:pt>
              </c:numCache>
            </c:numRef>
          </c:val>
          <c:extLst>
            <c:ext xmlns:c16="http://schemas.microsoft.com/office/drawing/2014/chart" uri="{C3380CC4-5D6E-409C-BE32-E72D297353CC}">
              <c16:uniqueId val="{00000002-5CA8-4BF2-99EF-5A227CC4701D}"/>
            </c:ext>
          </c:extLst>
        </c:ser>
        <c:dLbls>
          <c:showLegendKey val="0"/>
          <c:showVal val="0"/>
          <c:showCatName val="0"/>
          <c:showSerName val="0"/>
          <c:showPercent val="0"/>
          <c:showBubbleSize val="0"/>
        </c:dLbls>
        <c:gapWidth val="60"/>
        <c:overlap val="100"/>
        <c:axId val="1961428144"/>
        <c:axId val="1961437392"/>
      </c:barChart>
      <c:lineChart>
        <c:grouping val="standard"/>
        <c:varyColors val="0"/>
        <c:ser>
          <c:idx val="0"/>
          <c:order val="0"/>
          <c:tx>
            <c:strRef>
              <c:f>'nepoljoprivredni BDP'!$C$5</c:f>
              <c:strCache>
                <c:ptCount val="1"/>
                <c:pt idx="0">
                  <c:v>Раст потенцијалног БДП, %</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BDP'!$C$10:$C$16</c:f>
              <c:numCache>
                <c:formatCode>0.0</c:formatCode>
                <c:ptCount val="7"/>
                <c:pt idx="0">
                  <c:v>3.2388384025389794</c:v>
                </c:pt>
                <c:pt idx="1">
                  <c:v>3.3572353328765292</c:v>
                </c:pt>
                <c:pt idx="2">
                  <c:v>3.5134975827369574</c:v>
                </c:pt>
                <c:pt idx="3">
                  <c:v>3.5693825160074022</c:v>
                </c:pt>
                <c:pt idx="4">
                  <c:v>3.5862731310594587</c:v>
                </c:pt>
                <c:pt idx="5">
                  <c:v>3.6712758661034295</c:v>
                </c:pt>
                <c:pt idx="6">
                  <c:v>3.7935462145688215</c:v>
                </c:pt>
              </c:numCache>
            </c:numRef>
          </c:val>
          <c:smooth val="0"/>
          <c:extLst>
            <c:ext xmlns:c16="http://schemas.microsoft.com/office/drawing/2014/chart" uri="{C3380CC4-5D6E-409C-BE32-E72D297353CC}">
              <c16:uniqueId val="{00000003-5CA8-4BF2-99EF-5A227CC4701D}"/>
            </c:ext>
          </c:extLst>
        </c:ser>
        <c:dLbls>
          <c:showLegendKey val="0"/>
          <c:showVal val="0"/>
          <c:showCatName val="0"/>
          <c:showSerName val="0"/>
          <c:showPercent val="0"/>
          <c:showBubbleSize val="0"/>
        </c:dLbls>
        <c:marker val="1"/>
        <c:smooth val="0"/>
        <c:axId val="1961428144"/>
        <c:axId val="1961437392"/>
      </c:lineChart>
      <c:catAx>
        <c:axId val="196142814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37392"/>
        <c:crossesAt val="0"/>
        <c:auto val="1"/>
        <c:lblAlgn val="ctr"/>
        <c:lblOffset val="100"/>
        <c:noMultiLvlLbl val="0"/>
      </c:catAx>
      <c:valAx>
        <c:axId val="1961437392"/>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28144"/>
        <c:crosses val="autoZero"/>
        <c:crossBetween val="between"/>
        <c:majorUnit val="1"/>
        <c:minorUnit val="0.2"/>
      </c:valAx>
      <c:spPr>
        <a:noFill/>
        <a:ln>
          <a:noFill/>
        </a:ln>
        <a:effectLst/>
      </c:spPr>
    </c:plotArea>
    <c:legend>
      <c:legendPos val="b"/>
      <c:layout>
        <c:manualLayout>
          <c:xMode val="edge"/>
          <c:yMode val="edge"/>
          <c:x val="1.4346234889652889E-3"/>
          <c:y val="0.79209678819444451"/>
          <c:w val="0.99827437063324831"/>
          <c:h val="0.19444878472222224"/>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79862933799949E-2"/>
          <c:y val="9.8260956915078204E-2"/>
          <c:w val="0.92629337999416761"/>
          <c:h val="0.72096111111111116"/>
        </c:manualLayout>
      </c:layout>
      <c:barChart>
        <c:barDir val="col"/>
        <c:grouping val="clustered"/>
        <c:varyColors val="0"/>
        <c:ser>
          <c:idx val="0"/>
          <c:order val="0"/>
          <c:spPr>
            <a:solidFill>
              <a:srgbClr val="29489A"/>
            </a:solidFill>
            <a:ln>
              <a:noFill/>
            </a:ln>
            <a:effectLst/>
          </c:spPr>
          <c:invertIfNegative val="0"/>
          <c:dLbls>
            <c:dLbl>
              <c:idx val="0"/>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3D-4F71-A3D7-CB07DB421454}"/>
                </c:ext>
              </c:extLst>
            </c:dLbl>
            <c:dLbl>
              <c:idx val="1"/>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F3D-4F71-A3D7-CB07DB421454}"/>
                </c:ext>
              </c:extLst>
            </c:dLbl>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'Trziste rada'!$T$39:$U$64</c:f>
              <c:multiLvlStrCache>
                <c:ptCount val="14"/>
                <c:lvl>
                  <c:pt idx="0">
                    <c:v>I</c:v>
                  </c:pt>
                  <c:pt idx="1">
                    <c:v>II</c:v>
                  </c:pt>
                  <c:pt idx="2">
                    <c:v>I</c:v>
                  </c:pt>
                  <c:pt idx="3">
                    <c:v>II</c:v>
                  </c:pt>
                  <c:pt idx="4">
                    <c:v> </c:v>
                  </c:pt>
                  <c:pt idx="5">
                    <c:v>I</c:v>
                  </c:pt>
                  <c:pt idx="6">
                    <c:v>II</c:v>
                  </c:pt>
                  <c:pt idx="7">
                    <c:v>I</c:v>
                  </c:pt>
                  <c:pt idx="8">
                    <c:v>II</c:v>
                  </c:pt>
                  <c:pt idx="9">
                    <c:v> </c:v>
                  </c:pt>
                  <c:pt idx="10">
                    <c:v>I</c:v>
                  </c:pt>
                  <c:pt idx="11">
                    <c:v>II</c:v>
                  </c:pt>
                  <c:pt idx="12">
                    <c:v>I</c:v>
                  </c:pt>
                  <c:pt idx="13">
                    <c:v>II</c:v>
                  </c:pt>
                </c:lvl>
                <c:lvl>
                  <c:pt idx="0">
                    <c:v>2021</c:v>
                  </c:pt>
                  <c:pt idx="2">
                    <c:v>2022</c:v>
                  </c:pt>
                  <c:pt idx="4">
                    <c:v> </c:v>
                  </c:pt>
                  <c:pt idx="5">
                    <c:v>2021</c:v>
                  </c:pt>
                  <c:pt idx="7">
                    <c:v>2022</c:v>
                  </c:pt>
                  <c:pt idx="9">
                    <c:v> </c:v>
                  </c:pt>
                  <c:pt idx="10">
                    <c:v>2021</c:v>
                  </c:pt>
                  <c:pt idx="12">
                    <c:v>2022</c:v>
                  </c:pt>
                </c:lvl>
              </c:multiLvlStrCache>
            </c:multiLvlStrRef>
          </c:cat>
          <c:val>
            <c:numRef>
              <c:f>'Trziste rada'!$V$39:$V$64</c:f>
              <c:numCache>
                <c:formatCode>0.0%</c:formatCode>
                <c:ptCount val="14"/>
                <c:pt idx="0">
                  <c:v>0.128</c:v>
                </c:pt>
                <c:pt idx="1">
                  <c:v>0.111</c:v>
                </c:pt>
                <c:pt idx="5">
                  <c:v>0.46300000000000002</c:v>
                </c:pt>
                <c:pt idx="6">
                  <c:v>0.48299999999999998</c:v>
                </c:pt>
                <c:pt idx="10">
                  <c:v>0.46899999999999997</c:v>
                </c:pt>
                <c:pt idx="11">
                  <c:v>0.45700000000000002</c:v>
                </c:pt>
              </c:numCache>
            </c:numRef>
          </c:val>
          <c:extLst>
            <c:ext xmlns:c16="http://schemas.microsoft.com/office/drawing/2014/chart" uri="{C3380CC4-5D6E-409C-BE32-E72D297353CC}">
              <c16:uniqueId val="{00000002-5F3D-4F71-A3D7-CB07DB421454}"/>
            </c:ext>
          </c:extLst>
        </c:ser>
        <c:dLbls>
          <c:showLegendKey val="0"/>
          <c:showVal val="0"/>
          <c:showCatName val="0"/>
          <c:showSerName val="0"/>
          <c:showPercent val="0"/>
          <c:showBubbleSize val="0"/>
        </c:dLbls>
        <c:gapWidth val="14"/>
        <c:overlap val="-27"/>
        <c:axId val="961497464"/>
        <c:axId val="961498448"/>
      </c:barChart>
      <c:barChart>
        <c:barDir val="col"/>
        <c:grouping val="clustered"/>
        <c:varyColors val="0"/>
        <c:ser>
          <c:idx val="1"/>
          <c:order val="1"/>
          <c:spPr>
            <a:solidFill>
              <a:srgbClr val="FF0000"/>
            </a:solidFill>
            <a:ln>
              <a:noFill/>
            </a:ln>
            <a:effectLst/>
          </c:spPr>
          <c:invertIfNegative val="0"/>
          <c:dLbls>
            <c:dLbl>
              <c:idx val="2"/>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3D-4F71-A3D7-CB07DB421454}"/>
                </c:ext>
              </c:extLst>
            </c:dLbl>
            <c:dLbl>
              <c:idx val="3"/>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F3D-4F71-A3D7-CB07DB421454}"/>
                </c:ext>
              </c:extLst>
            </c:dLbl>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'Trziste rada'!$T$39:$U$64</c:f>
              <c:multiLvlStrCache>
                <c:ptCount val="14"/>
                <c:lvl>
                  <c:pt idx="0">
                    <c:v>I</c:v>
                  </c:pt>
                  <c:pt idx="1">
                    <c:v>II</c:v>
                  </c:pt>
                  <c:pt idx="2">
                    <c:v>I</c:v>
                  </c:pt>
                  <c:pt idx="3">
                    <c:v>II</c:v>
                  </c:pt>
                  <c:pt idx="4">
                    <c:v> </c:v>
                  </c:pt>
                  <c:pt idx="5">
                    <c:v>I</c:v>
                  </c:pt>
                  <c:pt idx="6">
                    <c:v>II</c:v>
                  </c:pt>
                  <c:pt idx="7">
                    <c:v>I</c:v>
                  </c:pt>
                  <c:pt idx="8">
                    <c:v>II</c:v>
                  </c:pt>
                  <c:pt idx="9">
                    <c:v> </c:v>
                  </c:pt>
                  <c:pt idx="10">
                    <c:v>I</c:v>
                  </c:pt>
                  <c:pt idx="11">
                    <c:v>II</c:v>
                  </c:pt>
                  <c:pt idx="12">
                    <c:v>I</c:v>
                  </c:pt>
                  <c:pt idx="13">
                    <c:v>II</c:v>
                  </c:pt>
                </c:lvl>
                <c:lvl>
                  <c:pt idx="0">
                    <c:v>2021</c:v>
                  </c:pt>
                  <c:pt idx="2">
                    <c:v>2022</c:v>
                  </c:pt>
                  <c:pt idx="4">
                    <c:v> </c:v>
                  </c:pt>
                  <c:pt idx="5">
                    <c:v>2021</c:v>
                  </c:pt>
                  <c:pt idx="7">
                    <c:v>2022</c:v>
                  </c:pt>
                  <c:pt idx="9">
                    <c:v> </c:v>
                  </c:pt>
                  <c:pt idx="10">
                    <c:v>2021</c:v>
                  </c:pt>
                  <c:pt idx="12">
                    <c:v>2022</c:v>
                  </c:pt>
                </c:lvl>
              </c:multiLvlStrCache>
            </c:multiLvlStrRef>
          </c:cat>
          <c:val>
            <c:numRef>
              <c:f>'Trziste rada'!$W$39:$W$64</c:f>
              <c:numCache>
                <c:formatCode>General</c:formatCode>
                <c:ptCount val="14"/>
                <c:pt idx="2" formatCode="0.0%">
                  <c:v>0.106</c:v>
                </c:pt>
                <c:pt idx="3" formatCode="0.0%">
                  <c:v>8.8999999999999996E-2</c:v>
                </c:pt>
                <c:pt idx="7" formatCode="0.0%">
                  <c:v>0.49299999999999999</c:v>
                </c:pt>
                <c:pt idx="8" formatCode="0.0%">
                  <c:v>0.50900000000000001</c:v>
                </c:pt>
                <c:pt idx="12" formatCode="0.0%">
                  <c:v>0.44800000000000001</c:v>
                </c:pt>
                <c:pt idx="13" formatCode="0.0%">
                  <c:v>0.442</c:v>
                </c:pt>
              </c:numCache>
            </c:numRef>
          </c:val>
          <c:extLst>
            <c:ext xmlns:c16="http://schemas.microsoft.com/office/drawing/2014/chart" uri="{C3380CC4-5D6E-409C-BE32-E72D297353CC}">
              <c16:uniqueId val="{00000005-5F3D-4F71-A3D7-CB07DB421454}"/>
            </c:ext>
          </c:extLst>
        </c:ser>
        <c:dLbls>
          <c:showLegendKey val="0"/>
          <c:showVal val="0"/>
          <c:showCatName val="0"/>
          <c:showSerName val="0"/>
          <c:showPercent val="0"/>
          <c:showBubbleSize val="0"/>
        </c:dLbls>
        <c:gapWidth val="14"/>
        <c:overlap val="-27"/>
        <c:axId val="1025104512"/>
        <c:axId val="1025106808"/>
      </c:barChart>
      <c:lineChart>
        <c:grouping val="standard"/>
        <c:varyColors val="0"/>
        <c:ser>
          <c:idx val="2"/>
          <c:order val="2"/>
          <c:spPr>
            <a:ln w="28575" cap="rnd">
              <a:noFill/>
              <a:round/>
            </a:ln>
            <a:effectLst/>
          </c:spPr>
          <c:marker>
            <c:symbol val="none"/>
          </c:marker>
          <c:dLbls>
            <c:dLbl>
              <c:idx val="0"/>
              <c:tx>
                <c:rich>
                  <a:bodyPr/>
                  <a:lstStyle/>
                  <a:p>
                    <a:fld id="{1E15394A-0434-43B3-884F-44EB18C0B47F}"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5F3D-4F71-A3D7-CB07DB421454}"/>
                </c:ext>
              </c:extLst>
            </c:dLbl>
            <c:dLbl>
              <c:idx val="1"/>
              <c:tx>
                <c:rich>
                  <a:bodyPr/>
                  <a:lstStyle/>
                  <a:p>
                    <a:fld id="{189564E0-6FAE-4C04-8893-E050766880C8}"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5F3D-4F71-A3D7-CB07DB421454}"/>
                </c:ext>
              </c:extLst>
            </c:dLbl>
            <c:dLbl>
              <c:idx val="2"/>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5F3D-4F71-A3D7-CB07DB421454}"/>
                </c:ext>
              </c:extLst>
            </c:dLbl>
            <c:dLbl>
              <c:idx val="3"/>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5F3D-4F71-A3D7-CB07DB421454}"/>
                </c:ext>
              </c:extLst>
            </c:dLbl>
            <c:dLbl>
              <c:idx val="4"/>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5F3D-4F71-A3D7-CB07DB421454}"/>
                </c:ext>
              </c:extLst>
            </c:dLbl>
            <c:dLbl>
              <c:idx val="5"/>
              <c:tx>
                <c:rich>
                  <a:bodyPr/>
                  <a:lstStyle/>
                  <a:p>
                    <a:fld id="{D3310BE7-731B-4612-9524-73C5A94B8C49}"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F3D-4F71-A3D7-CB07DB421454}"/>
                </c:ext>
              </c:extLst>
            </c:dLbl>
            <c:dLbl>
              <c:idx val="6"/>
              <c:tx>
                <c:rich>
                  <a:bodyPr/>
                  <a:lstStyle/>
                  <a:p>
                    <a:fld id="{496B232D-6607-425B-A959-0C023E03365C}"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F3D-4F71-A3D7-CB07DB421454}"/>
                </c:ext>
              </c:extLst>
            </c:dLbl>
            <c:dLbl>
              <c:idx val="7"/>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5F3D-4F71-A3D7-CB07DB421454}"/>
                </c:ext>
              </c:extLst>
            </c:dLbl>
            <c:dLbl>
              <c:idx val="8"/>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5F3D-4F71-A3D7-CB07DB421454}"/>
                </c:ext>
              </c:extLst>
            </c:dLbl>
            <c:dLbl>
              <c:idx val="9"/>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5F3D-4F71-A3D7-CB07DB421454}"/>
                </c:ext>
              </c:extLst>
            </c:dLbl>
            <c:dLbl>
              <c:idx val="10"/>
              <c:tx>
                <c:rich>
                  <a:bodyPr/>
                  <a:lstStyle/>
                  <a:p>
                    <a:fld id="{028B3042-CDFF-4665-9704-D7B2326E17AB}"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F3D-4F71-A3D7-CB07DB421454}"/>
                </c:ext>
              </c:extLst>
            </c:dLbl>
            <c:dLbl>
              <c:idx val="11"/>
              <c:tx>
                <c:rich>
                  <a:bodyPr/>
                  <a:lstStyle/>
                  <a:p>
                    <a:fld id="{BD6E87D1-FFF5-41A0-AA35-ECAEC1742C18}"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5F3D-4F71-A3D7-CB07DB421454}"/>
                </c:ext>
              </c:extLst>
            </c:dLbl>
            <c:dLbl>
              <c:idx val="12"/>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5F3D-4F71-A3D7-CB07DB421454}"/>
                </c:ext>
              </c:extLst>
            </c:dLbl>
            <c:dLbl>
              <c:idx val="13"/>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5F3D-4F71-A3D7-CB07DB421454}"/>
                </c:ext>
              </c:extLst>
            </c:dLbl>
            <c:spPr>
              <a:noFill/>
              <a:ln>
                <a:noFill/>
              </a:ln>
              <a:effectLst/>
            </c:spPr>
            <c:txPr>
              <a:bodyPr rot="0" spcFirstLastPara="1" vertOverflow="ellipsis" vert="horz" wrap="square" lIns="38100" tIns="0" rIns="38100" bIns="0" anchor="t" anchorCtr="0">
                <a:spAutoFit/>
              </a:bodyPr>
              <a:lstStyle/>
              <a:p>
                <a:pPr>
                  <a:defRPr sz="750" b="1" i="0" u="none" strike="noStrike" kern="1200" baseline="0">
                    <a:solidFill>
                      <a:srgbClr val="29489A"/>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rada'!$T$39:$U$64</c:f>
              <c:multiLvlStrCache>
                <c:ptCount val="14"/>
                <c:lvl>
                  <c:pt idx="0">
                    <c:v>I</c:v>
                  </c:pt>
                  <c:pt idx="1">
                    <c:v>II</c:v>
                  </c:pt>
                  <c:pt idx="2">
                    <c:v>I</c:v>
                  </c:pt>
                  <c:pt idx="3">
                    <c:v>II</c:v>
                  </c:pt>
                  <c:pt idx="4">
                    <c:v> </c:v>
                  </c:pt>
                  <c:pt idx="5">
                    <c:v>I</c:v>
                  </c:pt>
                  <c:pt idx="6">
                    <c:v>II</c:v>
                  </c:pt>
                  <c:pt idx="7">
                    <c:v>I</c:v>
                  </c:pt>
                  <c:pt idx="8">
                    <c:v>II</c:v>
                  </c:pt>
                  <c:pt idx="9">
                    <c:v> </c:v>
                  </c:pt>
                  <c:pt idx="10">
                    <c:v>I</c:v>
                  </c:pt>
                  <c:pt idx="11">
                    <c:v>II</c:v>
                  </c:pt>
                  <c:pt idx="12">
                    <c:v>I</c:v>
                  </c:pt>
                  <c:pt idx="13">
                    <c:v>II</c:v>
                  </c:pt>
                </c:lvl>
                <c:lvl>
                  <c:pt idx="0">
                    <c:v>2021</c:v>
                  </c:pt>
                  <c:pt idx="2">
                    <c:v>2022</c:v>
                  </c:pt>
                  <c:pt idx="4">
                    <c:v> </c:v>
                  </c:pt>
                  <c:pt idx="5">
                    <c:v>2021</c:v>
                  </c:pt>
                  <c:pt idx="7">
                    <c:v>2022</c:v>
                  </c:pt>
                  <c:pt idx="9">
                    <c:v> </c:v>
                  </c:pt>
                  <c:pt idx="10">
                    <c:v>2021</c:v>
                  </c:pt>
                  <c:pt idx="12">
                    <c:v>2022</c:v>
                  </c:pt>
                </c:lvl>
              </c:multiLvlStrCache>
            </c:multiLvlStrRef>
          </c:cat>
          <c:val>
            <c:numRef>
              <c:f>'Trziste rada'!$X$39:$X$64</c:f>
              <c:numCache>
                <c:formatCode>General</c:formatCode>
                <c:ptCount val="14"/>
                <c:pt idx="0">
                  <c:v>0</c:v>
                </c:pt>
                <c:pt idx="1">
                  <c:v>0</c:v>
                </c:pt>
                <c:pt idx="5">
                  <c:v>0</c:v>
                </c:pt>
                <c:pt idx="6">
                  <c:v>0</c:v>
                </c:pt>
                <c:pt idx="10">
                  <c:v>0</c:v>
                </c:pt>
                <c:pt idx="11">
                  <c:v>0</c:v>
                </c:pt>
              </c:numCache>
            </c:numRef>
          </c:val>
          <c:smooth val="0"/>
          <c:extLst>
            <c:ext xmlns:c15="http://schemas.microsoft.com/office/drawing/2012/chart" uri="{02D57815-91ED-43cb-92C2-25804820EDAC}">
              <c15:datalabelsRange>
                <c15:f>'Trziste rada'!$AB$39:$AB$64</c15:f>
                <c15:dlblRangeCache>
                  <c:ptCount val="14"/>
                  <c:pt idx="0">
                    <c:v>I</c:v>
                  </c:pt>
                  <c:pt idx="1">
                    <c:v>II</c:v>
                  </c:pt>
                  <c:pt idx="4">
                    <c:v> </c:v>
                  </c:pt>
                  <c:pt idx="5">
                    <c:v>I</c:v>
                  </c:pt>
                  <c:pt idx="6">
                    <c:v>II</c:v>
                  </c:pt>
                  <c:pt idx="9">
                    <c:v> </c:v>
                  </c:pt>
                  <c:pt idx="10">
                    <c:v>I</c:v>
                  </c:pt>
                  <c:pt idx="11">
                    <c:v>II</c:v>
                  </c:pt>
                </c15:dlblRangeCache>
              </c15:datalabelsRange>
            </c:ext>
            <c:ext xmlns:c16="http://schemas.microsoft.com/office/drawing/2014/chart" uri="{C3380CC4-5D6E-409C-BE32-E72D297353CC}">
              <c16:uniqueId val="{00000014-5F3D-4F71-A3D7-CB07DB421454}"/>
            </c:ext>
          </c:extLst>
        </c:ser>
        <c:ser>
          <c:idx val="3"/>
          <c:order val="3"/>
          <c:spPr>
            <a:ln w="28575" cap="rnd">
              <a:noFill/>
              <a:round/>
            </a:ln>
            <a:effectLst/>
          </c:spPr>
          <c:marker>
            <c:symbol val="none"/>
          </c:marker>
          <c:dLbls>
            <c:dLbl>
              <c:idx val="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5F3D-4F71-A3D7-CB07DB421454}"/>
                </c:ext>
              </c:extLst>
            </c:dLbl>
            <c:dLbl>
              <c:idx val="1"/>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5F3D-4F71-A3D7-CB07DB421454}"/>
                </c:ext>
              </c:extLst>
            </c:dLbl>
            <c:dLbl>
              <c:idx val="2"/>
              <c:tx>
                <c:rich>
                  <a:bodyPr/>
                  <a:lstStyle/>
                  <a:p>
                    <a:fld id="{6B320C34-DE67-4BDE-AE0E-B30A54955556}"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5F3D-4F71-A3D7-CB07DB421454}"/>
                </c:ext>
              </c:extLst>
            </c:dLbl>
            <c:dLbl>
              <c:idx val="3"/>
              <c:tx>
                <c:rich>
                  <a:bodyPr/>
                  <a:lstStyle/>
                  <a:p>
                    <a:fld id="{95A98F6F-71FB-4A89-9DBA-39F1E2D8156F}"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5F3D-4F71-A3D7-CB07DB421454}"/>
                </c:ext>
              </c:extLst>
            </c:dLbl>
            <c:dLbl>
              <c:idx val="4"/>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5F3D-4F71-A3D7-CB07DB421454}"/>
                </c:ext>
              </c:extLst>
            </c:dLbl>
            <c:dLbl>
              <c:idx val="5"/>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5F3D-4F71-A3D7-CB07DB421454}"/>
                </c:ext>
              </c:extLst>
            </c:dLbl>
            <c:dLbl>
              <c:idx val="6"/>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5F3D-4F71-A3D7-CB07DB421454}"/>
                </c:ext>
              </c:extLst>
            </c:dLbl>
            <c:dLbl>
              <c:idx val="7"/>
              <c:tx>
                <c:rich>
                  <a:bodyPr/>
                  <a:lstStyle/>
                  <a:p>
                    <a:fld id="{7C1728FF-6C84-47A8-9233-021F656A51F5}"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F3D-4F71-A3D7-CB07DB421454}"/>
                </c:ext>
              </c:extLst>
            </c:dLbl>
            <c:dLbl>
              <c:idx val="8"/>
              <c:tx>
                <c:rich>
                  <a:bodyPr/>
                  <a:lstStyle/>
                  <a:p>
                    <a:fld id="{62A30C88-9A4A-4B00-BB15-7DD1DF3209D1}"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F3D-4F71-A3D7-CB07DB421454}"/>
                </c:ext>
              </c:extLst>
            </c:dLbl>
            <c:dLbl>
              <c:idx val="9"/>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5F3D-4F71-A3D7-CB07DB421454}"/>
                </c:ext>
              </c:extLst>
            </c:dLbl>
            <c:dLbl>
              <c:idx val="1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F-5F3D-4F71-A3D7-CB07DB421454}"/>
                </c:ext>
              </c:extLst>
            </c:dLbl>
            <c:dLbl>
              <c:idx val="11"/>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5F3D-4F71-A3D7-CB07DB421454}"/>
                </c:ext>
              </c:extLst>
            </c:dLbl>
            <c:dLbl>
              <c:idx val="12"/>
              <c:tx>
                <c:rich>
                  <a:bodyPr/>
                  <a:lstStyle/>
                  <a:p>
                    <a:fld id="{429FB4CC-CDCF-429B-8B79-F795C0919237}"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5F3D-4F71-A3D7-CB07DB421454}"/>
                </c:ext>
              </c:extLst>
            </c:dLbl>
            <c:dLbl>
              <c:idx val="13"/>
              <c:tx>
                <c:rich>
                  <a:bodyPr/>
                  <a:lstStyle/>
                  <a:p>
                    <a:fld id="{9BBEA7F4-154B-4B3F-9DD3-ECA8D44181F4}"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F3D-4F71-A3D7-CB07DB421454}"/>
                </c:ext>
              </c:extLst>
            </c:dLbl>
            <c:spPr>
              <a:noFill/>
              <a:ln>
                <a:noFill/>
              </a:ln>
              <a:effectLst/>
            </c:spPr>
            <c:txPr>
              <a:bodyPr rot="0" spcFirstLastPara="1" vertOverflow="ellipsis" vert="horz" wrap="square" lIns="38100" tIns="0" rIns="38100" bIns="0" anchor="t" anchorCtr="0">
                <a:spAutoFit/>
              </a:bodyPr>
              <a:lstStyle/>
              <a:p>
                <a:pPr>
                  <a:defRPr sz="750" b="1" i="0" u="none" strike="noStrike" kern="1200" baseline="0">
                    <a:solidFill>
                      <a:srgbClr val="FF0000"/>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rada'!$T$39:$U$64</c:f>
              <c:multiLvlStrCache>
                <c:ptCount val="14"/>
                <c:lvl>
                  <c:pt idx="0">
                    <c:v>I</c:v>
                  </c:pt>
                  <c:pt idx="1">
                    <c:v>II</c:v>
                  </c:pt>
                  <c:pt idx="2">
                    <c:v>I</c:v>
                  </c:pt>
                  <c:pt idx="3">
                    <c:v>II</c:v>
                  </c:pt>
                  <c:pt idx="4">
                    <c:v> </c:v>
                  </c:pt>
                  <c:pt idx="5">
                    <c:v>I</c:v>
                  </c:pt>
                  <c:pt idx="6">
                    <c:v>II</c:v>
                  </c:pt>
                  <c:pt idx="7">
                    <c:v>I</c:v>
                  </c:pt>
                  <c:pt idx="8">
                    <c:v>II</c:v>
                  </c:pt>
                  <c:pt idx="9">
                    <c:v> </c:v>
                  </c:pt>
                  <c:pt idx="10">
                    <c:v>I</c:v>
                  </c:pt>
                  <c:pt idx="11">
                    <c:v>II</c:v>
                  </c:pt>
                  <c:pt idx="12">
                    <c:v>I</c:v>
                  </c:pt>
                  <c:pt idx="13">
                    <c:v>II</c:v>
                  </c:pt>
                </c:lvl>
                <c:lvl>
                  <c:pt idx="0">
                    <c:v>2021</c:v>
                  </c:pt>
                  <c:pt idx="2">
                    <c:v>2022</c:v>
                  </c:pt>
                  <c:pt idx="4">
                    <c:v> </c:v>
                  </c:pt>
                  <c:pt idx="5">
                    <c:v>2021</c:v>
                  </c:pt>
                  <c:pt idx="7">
                    <c:v>2022</c:v>
                  </c:pt>
                  <c:pt idx="9">
                    <c:v> </c:v>
                  </c:pt>
                  <c:pt idx="10">
                    <c:v>2021</c:v>
                  </c:pt>
                  <c:pt idx="12">
                    <c:v>2022</c:v>
                  </c:pt>
                </c:lvl>
              </c:multiLvlStrCache>
            </c:multiLvlStrRef>
          </c:cat>
          <c:val>
            <c:numRef>
              <c:f>'Trziste rada'!$Y$39:$Y$64</c:f>
              <c:numCache>
                <c:formatCode>General</c:formatCode>
                <c:ptCount val="14"/>
                <c:pt idx="2">
                  <c:v>0</c:v>
                </c:pt>
                <c:pt idx="3">
                  <c:v>0</c:v>
                </c:pt>
                <c:pt idx="7">
                  <c:v>0</c:v>
                </c:pt>
                <c:pt idx="8">
                  <c:v>0</c:v>
                </c:pt>
                <c:pt idx="12">
                  <c:v>0</c:v>
                </c:pt>
                <c:pt idx="13">
                  <c:v>0</c:v>
                </c:pt>
              </c:numCache>
            </c:numRef>
          </c:val>
          <c:smooth val="0"/>
          <c:extLst>
            <c:ext xmlns:c15="http://schemas.microsoft.com/office/drawing/2012/chart" uri="{02D57815-91ED-43cb-92C2-25804820EDAC}">
              <c15:datalabelsRange>
                <c15:f>'Trziste rada'!$AC$39:$AC$64</c15:f>
                <c15:dlblRangeCache>
                  <c:ptCount val="14"/>
                  <c:pt idx="2">
                    <c:v>I</c:v>
                  </c:pt>
                  <c:pt idx="3">
                    <c:v>II</c:v>
                  </c:pt>
                  <c:pt idx="7">
                    <c:v>I</c:v>
                  </c:pt>
                  <c:pt idx="8">
                    <c:v>II</c:v>
                  </c:pt>
                  <c:pt idx="12">
                    <c:v>I</c:v>
                  </c:pt>
                  <c:pt idx="13">
                    <c:v>II</c:v>
                  </c:pt>
                </c15:dlblRangeCache>
              </c15:datalabelsRange>
            </c:ext>
            <c:ext xmlns:c16="http://schemas.microsoft.com/office/drawing/2014/chart" uri="{C3380CC4-5D6E-409C-BE32-E72D297353CC}">
              <c16:uniqueId val="{00000023-5F3D-4F71-A3D7-CB07DB421454}"/>
            </c:ext>
          </c:extLst>
        </c:ser>
        <c:ser>
          <c:idx val="4"/>
          <c:order val="4"/>
          <c:spPr>
            <a:ln w="28575" cap="rnd">
              <a:noFill/>
              <a:round/>
            </a:ln>
            <a:effectLst/>
          </c:spPr>
          <c:marker>
            <c:symbol val="none"/>
          </c:marker>
          <c:dLbls>
            <c:dLbl>
              <c:idx val="0"/>
              <c:layout>
                <c:manualLayout>
                  <c:x val="-3.4504228638086908E-2"/>
                  <c:y val="0.13731286641906201"/>
                </c:manualLayout>
              </c:layout>
              <c:tx>
                <c:rich>
                  <a:bodyPr/>
                  <a:lstStyle/>
                  <a:p>
                    <a:r>
                      <a:rPr lang="en-US"/>
                      <a:t>2021</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5F3D-4F71-A3D7-CB07DB421454}"/>
                </c:ext>
              </c:extLst>
            </c:dLbl>
            <c:dLbl>
              <c:idx val="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5F3D-4F71-A3D7-CB07DB421454}"/>
                </c:ext>
              </c:extLst>
            </c:dLbl>
            <c:dLbl>
              <c:idx val="2"/>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6-5F3D-4F71-A3D7-CB07DB421454}"/>
                </c:ext>
              </c:extLst>
            </c:dLbl>
            <c:dLbl>
              <c:idx val="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5F3D-4F71-A3D7-CB07DB421454}"/>
                </c:ext>
              </c:extLst>
            </c:dLbl>
            <c:dLbl>
              <c:idx val="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5F3D-4F71-A3D7-CB07DB421454}"/>
                </c:ext>
              </c:extLst>
            </c:dLbl>
            <c:dLbl>
              <c:idx val="5"/>
              <c:layout>
                <c:manualLayout>
                  <c:x val="-4.1230679498396115E-2"/>
                  <c:y val="0.13731286641906201"/>
                </c:manualLayout>
              </c:layout>
              <c:tx>
                <c:rich>
                  <a:bodyPr/>
                  <a:lstStyle/>
                  <a:p>
                    <a:r>
                      <a:rPr lang="en-US"/>
                      <a:t>2021</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9-5F3D-4F71-A3D7-CB07DB421454}"/>
                </c:ext>
              </c:extLst>
            </c:dLbl>
            <c:dLbl>
              <c:idx val="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A-5F3D-4F71-A3D7-CB07DB421454}"/>
                </c:ext>
              </c:extLst>
            </c:dLbl>
            <c:dLbl>
              <c:idx val="7"/>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B-5F3D-4F71-A3D7-CB07DB421454}"/>
                </c:ext>
              </c:extLst>
            </c:dLbl>
            <c:dLbl>
              <c:idx val="8"/>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5F3D-4F71-A3D7-CB07DB421454}"/>
                </c:ext>
              </c:extLst>
            </c:dLbl>
            <c:dLbl>
              <c:idx val="9"/>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D-5F3D-4F71-A3D7-CB07DB421454}"/>
                </c:ext>
              </c:extLst>
            </c:dLbl>
            <c:dLbl>
              <c:idx val="10"/>
              <c:layout>
                <c:manualLayout>
                  <c:x val="-3.4068241469816275E-2"/>
                  <c:y val="0.13731286641906201"/>
                </c:manualLayout>
              </c:layout>
              <c:tx>
                <c:rich>
                  <a:bodyPr/>
                  <a:lstStyle/>
                  <a:p>
                    <a:r>
                      <a:rPr lang="en-US"/>
                      <a:t>2021</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5F3D-4F71-A3D7-CB07DB421454}"/>
                </c:ext>
              </c:extLst>
            </c:dLbl>
            <c:dLbl>
              <c:idx val="1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5F3D-4F71-A3D7-CB07DB421454}"/>
                </c:ext>
              </c:extLst>
            </c:dLbl>
            <c:dLbl>
              <c:idx val="12"/>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5F3D-4F71-A3D7-CB07DB421454}"/>
                </c:ext>
              </c:extLst>
            </c:dLbl>
            <c:dLbl>
              <c:idx val="1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5F3D-4F71-A3D7-CB07DB421454}"/>
                </c:ext>
              </c:extLst>
            </c:dLbl>
            <c:spPr>
              <a:noFill/>
              <a:ln>
                <a:noFill/>
              </a:ln>
              <a:effectLst/>
            </c:spPr>
            <c:txPr>
              <a:bodyPr rot="0" spcFirstLastPara="1" vertOverflow="ellipsis" vert="horz" wrap="square" lIns="38100" tIns="19050" rIns="38100" bIns="19050" anchor="ctr" anchorCtr="1">
                <a:spAutoFit/>
              </a:bodyPr>
              <a:lstStyle/>
              <a:p>
                <a:pPr>
                  <a:defRPr sz="759" b="1" i="0" u="none" strike="noStrike" kern="1200" baseline="0">
                    <a:solidFill>
                      <a:srgbClr val="29489A"/>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multiLvlStrRef>
              <c:f>'Trziste rada'!$T$39:$U$64</c:f>
              <c:multiLvlStrCache>
                <c:ptCount val="14"/>
                <c:lvl>
                  <c:pt idx="0">
                    <c:v>I</c:v>
                  </c:pt>
                  <c:pt idx="1">
                    <c:v>II</c:v>
                  </c:pt>
                  <c:pt idx="2">
                    <c:v>I</c:v>
                  </c:pt>
                  <c:pt idx="3">
                    <c:v>II</c:v>
                  </c:pt>
                  <c:pt idx="4">
                    <c:v> </c:v>
                  </c:pt>
                  <c:pt idx="5">
                    <c:v>I</c:v>
                  </c:pt>
                  <c:pt idx="6">
                    <c:v>II</c:v>
                  </c:pt>
                  <c:pt idx="7">
                    <c:v>I</c:v>
                  </c:pt>
                  <c:pt idx="8">
                    <c:v>II</c:v>
                  </c:pt>
                  <c:pt idx="9">
                    <c:v> </c:v>
                  </c:pt>
                  <c:pt idx="10">
                    <c:v>I</c:v>
                  </c:pt>
                  <c:pt idx="11">
                    <c:v>II</c:v>
                  </c:pt>
                  <c:pt idx="12">
                    <c:v>I</c:v>
                  </c:pt>
                  <c:pt idx="13">
                    <c:v>II</c:v>
                  </c:pt>
                </c:lvl>
                <c:lvl>
                  <c:pt idx="0">
                    <c:v>2021</c:v>
                  </c:pt>
                  <c:pt idx="2">
                    <c:v>2022</c:v>
                  </c:pt>
                  <c:pt idx="4">
                    <c:v> </c:v>
                  </c:pt>
                  <c:pt idx="5">
                    <c:v>2021</c:v>
                  </c:pt>
                  <c:pt idx="7">
                    <c:v>2022</c:v>
                  </c:pt>
                  <c:pt idx="9">
                    <c:v> </c:v>
                  </c:pt>
                  <c:pt idx="10">
                    <c:v>2021</c:v>
                  </c:pt>
                  <c:pt idx="12">
                    <c:v>2022</c:v>
                  </c:pt>
                </c:lvl>
              </c:multiLvlStrCache>
            </c:multiLvlStrRef>
          </c:cat>
          <c:val>
            <c:numRef>
              <c:f>'Trziste rada'!$Z$39:$Z$64</c:f>
              <c:numCache>
                <c:formatCode>General</c:formatCode>
                <c:ptCount val="14"/>
                <c:pt idx="0">
                  <c:v>0</c:v>
                </c:pt>
                <c:pt idx="5">
                  <c:v>0</c:v>
                </c:pt>
                <c:pt idx="10">
                  <c:v>0</c:v>
                </c:pt>
              </c:numCache>
            </c:numRef>
          </c:val>
          <c:smooth val="0"/>
          <c:extLst>
            <c:ext xmlns:c16="http://schemas.microsoft.com/office/drawing/2014/chart" uri="{C3380CC4-5D6E-409C-BE32-E72D297353CC}">
              <c16:uniqueId val="{00000032-5F3D-4F71-A3D7-CB07DB421454}"/>
            </c:ext>
          </c:extLst>
        </c:ser>
        <c:ser>
          <c:idx val="5"/>
          <c:order val="5"/>
          <c:spPr>
            <a:ln w="28575" cap="rnd">
              <a:solidFill>
                <a:schemeClr val="accent6"/>
              </a:solidFill>
              <a:round/>
            </a:ln>
            <a:effectLst/>
          </c:spPr>
          <c:marker>
            <c:symbol val="none"/>
          </c:marker>
          <c:dLbls>
            <c:dLbl>
              <c:idx val="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3-5F3D-4F71-A3D7-CB07DB421454}"/>
                </c:ext>
              </c:extLst>
            </c:dLbl>
            <c:dLbl>
              <c:idx val="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4-5F3D-4F71-A3D7-CB07DB421454}"/>
                </c:ext>
              </c:extLst>
            </c:dLbl>
            <c:dLbl>
              <c:idx val="2"/>
              <c:layout>
                <c:manualLayout>
                  <c:x val="-3.9133858267716537E-2"/>
                  <c:y val="0.1377029693024189"/>
                </c:manualLayout>
              </c:layout>
              <c:tx>
                <c:rich>
                  <a:bodyPr/>
                  <a:lstStyle/>
                  <a:p>
                    <a:r>
                      <a:rPr lang="en-US"/>
                      <a:t>2022</a:t>
                    </a:r>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5-5F3D-4F71-A3D7-CB07DB421454}"/>
                </c:ext>
              </c:extLst>
            </c:dLbl>
            <c:dLbl>
              <c:idx val="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6-5F3D-4F71-A3D7-CB07DB421454}"/>
                </c:ext>
              </c:extLst>
            </c:dLbl>
            <c:dLbl>
              <c:idx val="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7-5F3D-4F71-A3D7-CB07DB421454}"/>
                </c:ext>
              </c:extLst>
            </c:dLbl>
            <c:dLbl>
              <c:idx val="5"/>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8-5F3D-4F71-A3D7-CB07DB421454}"/>
                </c:ext>
              </c:extLst>
            </c:dLbl>
            <c:dLbl>
              <c:idx val="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9-5F3D-4F71-A3D7-CB07DB421454}"/>
                </c:ext>
              </c:extLst>
            </c:dLbl>
            <c:dLbl>
              <c:idx val="7"/>
              <c:layout>
                <c:manualLayout>
                  <c:x val="-3.6617089530475357E-2"/>
                  <c:y val="0.13752940421411569"/>
                </c:manualLayout>
              </c:layout>
              <c:tx>
                <c:rich>
                  <a:bodyPr/>
                  <a:lstStyle/>
                  <a:p>
                    <a:r>
                      <a:rPr lang="en-US"/>
                      <a:t>2022</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A-5F3D-4F71-A3D7-CB07DB421454}"/>
                </c:ext>
              </c:extLst>
            </c:dLbl>
            <c:dLbl>
              <c:idx val="8"/>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B-5F3D-4F71-A3D7-CB07DB421454}"/>
                </c:ext>
              </c:extLst>
            </c:dLbl>
            <c:dLbl>
              <c:idx val="9"/>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C-5F3D-4F71-A3D7-CB07DB421454}"/>
                </c:ext>
              </c:extLst>
            </c:dLbl>
            <c:dLbl>
              <c:idx val="1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D-5F3D-4F71-A3D7-CB07DB421454}"/>
                </c:ext>
              </c:extLst>
            </c:dLbl>
            <c:dLbl>
              <c:idx val="1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E-5F3D-4F71-A3D7-CB07DB421454}"/>
                </c:ext>
              </c:extLst>
            </c:dLbl>
            <c:dLbl>
              <c:idx val="12"/>
              <c:layout>
                <c:manualLayout>
                  <c:x val="-3.1987459900845727E-2"/>
                  <c:y val="0.13752940421411569"/>
                </c:manualLayout>
              </c:layout>
              <c:tx>
                <c:rich>
                  <a:bodyPr/>
                  <a:lstStyle/>
                  <a:p>
                    <a:r>
                      <a:rPr lang="en-US"/>
                      <a:t>2022</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F-5F3D-4F71-A3D7-CB07DB421454}"/>
                </c:ext>
              </c:extLst>
            </c:dLbl>
            <c:dLbl>
              <c:idx val="1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0-5F3D-4F71-A3D7-CB07DB421454}"/>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multiLvlStrRef>
              <c:f>'Trziste rada'!$T$39:$U$64</c:f>
              <c:multiLvlStrCache>
                <c:ptCount val="14"/>
                <c:lvl>
                  <c:pt idx="0">
                    <c:v>I</c:v>
                  </c:pt>
                  <c:pt idx="1">
                    <c:v>II</c:v>
                  </c:pt>
                  <c:pt idx="2">
                    <c:v>I</c:v>
                  </c:pt>
                  <c:pt idx="3">
                    <c:v>II</c:v>
                  </c:pt>
                  <c:pt idx="4">
                    <c:v> </c:v>
                  </c:pt>
                  <c:pt idx="5">
                    <c:v>I</c:v>
                  </c:pt>
                  <c:pt idx="6">
                    <c:v>II</c:v>
                  </c:pt>
                  <c:pt idx="7">
                    <c:v>I</c:v>
                  </c:pt>
                  <c:pt idx="8">
                    <c:v>II</c:v>
                  </c:pt>
                  <c:pt idx="9">
                    <c:v> </c:v>
                  </c:pt>
                  <c:pt idx="10">
                    <c:v>I</c:v>
                  </c:pt>
                  <c:pt idx="11">
                    <c:v>II</c:v>
                  </c:pt>
                  <c:pt idx="12">
                    <c:v>I</c:v>
                  </c:pt>
                  <c:pt idx="13">
                    <c:v>II</c:v>
                  </c:pt>
                </c:lvl>
                <c:lvl>
                  <c:pt idx="0">
                    <c:v>2021</c:v>
                  </c:pt>
                  <c:pt idx="2">
                    <c:v>2022</c:v>
                  </c:pt>
                  <c:pt idx="4">
                    <c:v> </c:v>
                  </c:pt>
                  <c:pt idx="5">
                    <c:v>2021</c:v>
                  </c:pt>
                  <c:pt idx="7">
                    <c:v>2022</c:v>
                  </c:pt>
                  <c:pt idx="9">
                    <c:v> </c:v>
                  </c:pt>
                  <c:pt idx="10">
                    <c:v>2021</c:v>
                  </c:pt>
                  <c:pt idx="12">
                    <c:v>2022</c:v>
                  </c:pt>
                </c:lvl>
              </c:multiLvlStrCache>
            </c:multiLvlStrRef>
          </c:cat>
          <c:val>
            <c:numRef>
              <c:f>'Trziste rada'!$AA$39:$AA$64</c:f>
              <c:numCache>
                <c:formatCode>General</c:formatCode>
                <c:ptCount val="14"/>
                <c:pt idx="2">
                  <c:v>0</c:v>
                </c:pt>
                <c:pt idx="7">
                  <c:v>0</c:v>
                </c:pt>
                <c:pt idx="12">
                  <c:v>0</c:v>
                </c:pt>
              </c:numCache>
            </c:numRef>
          </c:val>
          <c:smooth val="0"/>
          <c:extLst>
            <c:ext xmlns:c16="http://schemas.microsoft.com/office/drawing/2014/chart" uri="{C3380CC4-5D6E-409C-BE32-E72D297353CC}">
              <c16:uniqueId val="{00000041-5F3D-4F71-A3D7-CB07DB421454}"/>
            </c:ext>
          </c:extLst>
        </c:ser>
        <c:dLbls>
          <c:showLegendKey val="0"/>
          <c:showVal val="0"/>
          <c:showCatName val="0"/>
          <c:showSerName val="0"/>
          <c:showPercent val="0"/>
          <c:showBubbleSize val="0"/>
        </c:dLbls>
        <c:marker val="1"/>
        <c:smooth val="0"/>
        <c:axId val="961497464"/>
        <c:axId val="961498448"/>
      </c:lineChart>
      <c:catAx>
        <c:axId val="961497464"/>
        <c:scaling>
          <c:orientation val="minMax"/>
        </c:scaling>
        <c:delete val="0"/>
        <c:axPos val="b"/>
        <c:numFmt formatCode="General" sourceLinked="1"/>
        <c:majorTickMark val="none"/>
        <c:minorTickMark val="none"/>
        <c:tickLblPos val="none"/>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1498448"/>
        <c:crosses val="autoZero"/>
        <c:auto val="1"/>
        <c:lblAlgn val="ctr"/>
        <c:lblOffset val="100"/>
        <c:noMultiLvlLbl val="0"/>
      </c:catAx>
      <c:valAx>
        <c:axId val="961498448"/>
        <c:scaling>
          <c:orientation val="minMax"/>
        </c:scaling>
        <c:delete val="0"/>
        <c:axPos val="l"/>
        <c:numFmt formatCode="0%" sourceLinked="0"/>
        <c:majorTickMark val="none"/>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961497464"/>
        <c:crosses val="autoZero"/>
        <c:crossBetween val="between"/>
      </c:valAx>
      <c:valAx>
        <c:axId val="1025106808"/>
        <c:scaling>
          <c:orientation val="minMax"/>
        </c:scaling>
        <c:delete val="0"/>
        <c:axPos val="r"/>
        <c:numFmt formatCode="0%" sourceLinked="0"/>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025104512"/>
        <c:crosses val="max"/>
        <c:crossBetween val="between"/>
      </c:valAx>
      <c:catAx>
        <c:axId val="1025104512"/>
        <c:scaling>
          <c:orientation val="minMax"/>
        </c:scaling>
        <c:delete val="1"/>
        <c:axPos val="b"/>
        <c:numFmt formatCode="General" sourceLinked="1"/>
        <c:majorTickMark val="out"/>
        <c:minorTickMark val="none"/>
        <c:tickLblPos val="nextTo"/>
        <c:crossAx val="1025106808"/>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9410569105691"/>
          <c:y val="5.8005314731772131E-2"/>
          <c:w val="0.83454945799457991"/>
          <c:h val="0.60627480775429388"/>
        </c:manualLayout>
      </c:layout>
      <c:lineChart>
        <c:grouping val="standard"/>
        <c:varyColors val="0"/>
        <c:ser>
          <c:idx val="0"/>
          <c:order val="0"/>
          <c:tx>
            <c:strRef>
              <c:f>'Commodities 2'!$K$145</c:f>
              <c:strCache>
                <c:ptCount val="1"/>
              </c:strCache>
            </c:strRef>
          </c:tx>
          <c:spPr>
            <a:ln w="22225" cap="rnd">
              <a:solidFill>
                <a:srgbClr val="00A651"/>
              </a:solidFill>
              <a:prstDash val="sysDot"/>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2'!$K$147:$K$153</c:f>
              <c:numCache>
                <c:formatCode>0.0</c:formatCode>
                <c:ptCount val="7"/>
                <c:pt idx="0">
                  <c:v>100</c:v>
                </c:pt>
                <c:pt idx="1">
                  <c:v>101.68159404246752</c:v>
                </c:pt>
                <c:pt idx="2">
                  <c:v>129.92754352420249</c:v>
                </c:pt>
                <c:pt idx="3">
                  <c:v>147.92392070041259</c:v>
                </c:pt>
                <c:pt idx="4">
                  <c:v>139.5360772869075</c:v>
                </c:pt>
                <c:pt idx="5">
                  <c:v>136.42246150749722</c:v>
                </c:pt>
                <c:pt idx="6">
                  <c:v>136.09741370635001</c:v>
                </c:pt>
              </c:numCache>
            </c:numRef>
          </c:val>
          <c:smooth val="0"/>
          <c:extLst>
            <c:ext xmlns:c16="http://schemas.microsoft.com/office/drawing/2014/chart" uri="{C3380CC4-5D6E-409C-BE32-E72D297353CC}">
              <c16:uniqueId val="{00000000-0F78-49F4-BA53-5C7257FEC4AC}"/>
            </c:ext>
          </c:extLst>
        </c:ser>
        <c:ser>
          <c:idx val="1"/>
          <c:order val="1"/>
          <c:tx>
            <c:strRef>
              <c:f>'Commodities 2'!$L$145</c:f>
              <c:strCache>
                <c:ptCount val="1"/>
              </c:strCache>
            </c:strRef>
          </c:tx>
          <c:spPr>
            <a:ln w="22225" cap="rnd">
              <a:solidFill>
                <a:srgbClr val="EC008C"/>
              </a:solidFill>
              <a:prstDash val="sysDot"/>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2'!$L$147:$L$153</c:f>
              <c:numCache>
                <c:formatCode>0.0</c:formatCode>
                <c:ptCount val="7"/>
                <c:pt idx="0">
                  <c:v>100</c:v>
                </c:pt>
                <c:pt idx="1">
                  <c:v>103.502253669151</c:v>
                </c:pt>
                <c:pt idx="2">
                  <c:v>151.99277641677708</c:v>
                </c:pt>
                <c:pt idx="3">
                  <c:v>167.04018118167755</c:v>
                </c:pt>
                <c:pt idx="4">
                  <c:v>166.81518432719281</c:v>
                </c:pt>
                <c:pt idx="5">
                  <c:v>163.45429381332664</c:v>
                </c:pt>
                <c:pt idx="6">
                  <c:v>160.51231191669194</c:v>
                </c:pt>
              </c:numCache>
            </c:numRef>
          </c:val>
          <c:smooth val="0"/>
          <c:extLst>
            <c:ext xmlns:c16="http://schemas.microsoft.com/office/drawing/2014/chart" uri="{C3380CC4-5D6E-409C-BE32-E72D297353CC}">
              <c16:uniqueId val="{00000001-0F78-49F4-BA53-5C7257FEC4AC}"/>
            </c:ext>
          </c:extLst>
        </c:ser>
        <c:ser>
          <c:idx val="2"/>
          <c:order val="2"/>
          <c:tx>
            <c:strRef>
              <c:f>'Commodities 2'!$M$145</c:f>
              <c:strCache>
                <c:ptCount val="1"/>
              </c:strCache>
            </c:strRef>
          </c:tx>
          <c:spPr>
            <a:ln w="22225" cap="rnd">
              <a:solidFill>
                <a:srgbClr val="003891"/>
              </a:solidFill>
              <a:prstDash val="sysDot"/>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2'!$M$147:$M$153</c:f>
              <c:numCache>
                <c:formatCode>0.0</c:formatCode>
                <c:ptCount val="7"/>
                <c:pt idx="0">
                  <c:v>100</c:v>
                </c:pt>
                <c:pt idx="1">
                  <c:v>67.25176365613585</c:v>
                </c:pt>
                <c:pt idx="2">
                  <c:v>112.46131110057721</c:v>
                </c:pt>
                <c:pt idx="3">
                  <c:v>173.91322532972703</c:v>
                </c:pt>
                <c:pt idx="4">
                  <c:v>150.80723865822716</c:v>
                </c:pt>
                <c:pt idx="5">
                  <c:v>137.14413183503888</c:v>
                </c:pt>
                <c:pt idx="6">
                  <c:v>127.91038117279648</c:v>
                </c:pt>
              </c:numCache>
            </c:numRef>
          </c:val>
          <c:smooth val="0"/>
          <c:extLst>
            <c:ext xmlns:c16="http://schemas.microsoft.com/office/drawing/2014/chart" uri="{C3380CC4-5D6E-409C-BE32-E72D297353CC}">
              <c16:uniqueId val="{00000002-0F78-49F4-BA53-5C7257FEC4AC}"/>
            </c:ext>
          </c:extLst>
        </c:ser>
        <c:ser>
          <c:idx val="3"/>
          <c:order val="3"/>
          <c:tx>
            <c:strRef>
              <c:f>'Commodities 2'!$N$145</c:f>
              <c:strCache>
                <c:ptCount val="1"/>
              </c:strCache>
            </c:strRef>
          </c:tx>
          <c:spPr>
            <a:ln w="22225" cap="rnd">
              <a:solidFill>
                <a:srgbClr val="00A651"/>
              </a:solidFill>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2'!$N$147:$N$153</c:f>
              <c:numCache>
                <c:formatCode>0.0</c:formatCode>
                <c:ptCount val="7"/>
                <c:pt idx="0">
                  <c:v>100</c:v>
                </c:pt>
                <c:pt idx="1">
                  <c:v>101.68159404246752</c:v>
                </c:pt>
                <c:pt idx="2">
                  <c:v>128.2419241219684</c:v>
                </c:pt>
                <c:pt idx="3">
                  <c:v>146.48183556405351</c:v>
                </c:pt>
                <c:pt idx="4">
                  <c:v>137.93901579953706</c:v>
                </c:pt>
                <c:pt idx="5">
                  <c:v>135.12327664284993</c:v>
                </c:pt>
                <c:pt idx="6">
                  <c:v>132.59333802958639</c:v>
                </c:pt>
              </c:numCache>
            </c:numRef>
          </c:val>
          <c:smooth val="0"/>
          <c:extLst>
            <c:ext xmlns:c16="http://schemas.microsoft.com/office/drawing/2014/chart" uri="{C3380CC4-5D6E-409C-BE32-E72D297353CC}">
              <c16:uniqueId val="{00000003-0F78-49F4-BA53-5C7257FEC4AC}"/>
            </c:ext>
          </c:extLst>
        </c:ser>
        <c:ser>
          <c:idx val="4"/>
          <c:order val="4"/>
          <c:tx>
            <c:strRef>
              <c:f>'Commodities 2'!$O$145</c:f>
              <c:strCache>
                <c:ptCount val="1"/>
              </c:strCache>
            </c:strRef>
          </c:tx>
          <c:spPr>
            <a:ln w="22225" cap="rnd">
              <a:solidFill>
                <a:srgbClr val="EC008C"/>
              </a:solidFill>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2'!$O$147:$O$153</c:f>
              <c:numCache>
                <c:formatCode>0.0</c:formatCode>
                <c:ptCount val="7"/>
                <c:pt idx="0">
                  <c:v>100</c:v>
                </c:pt>
                <c:pt idx="1">
                  <c:v>103.46585870529117</c:v>
                </c:pt>
                <c:pt idx="2">
                  <c:v>151.79796039018626</c:v>
                </c:pt>
                <c:pt idx="3">
                  <c:v>143.47989949748745</c:v>
                </c:pt>
                <c:pt idx="4">
                  <c:v>126.25110848359444</c:v>
                </c:pt>
                <c:pt idx="5">
                  <c:v>126.00280815843928</c:v>
                </c:pt>
                <c:pt idx="6">
                  <c:v>125.8624002364765</c:v>
                </c:pt>
              </c:numCache>
            </c:numRef>
          </c:val>
          <c:smooth val="0"/>
          <c:extLst>
            <c:ext xmlns:c16="http://schemas.microsoft.com/office/drawing/2014/chart" uri="{C3380CC4-5D6E-409C-BE32-E72D297353CC}">
              <c16:uniqueId val="{00000004-0F78-49F4-BA53-5C7257FEC4AC}"/>
            </c:ext>
          </c:extLst>
        </c:ser>
        <c:ser>
          <c:idx val="5"/>
          <c:order val="5"/>
          <c:tx>
            <c:strRef>
              <c:f>'Commodities 2'!$P$145</c:f>
              <c:strCache>
                <c:ptCount val="1"/>
              </c:strCache>
            </c:strRef>
          </c:tx>
          <c:spPr>
            <a:ln w="22225" cap="rnd">
              <a:solidFill>
                <a:srgbClr val="003891"/>
              </a:solidFill>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2'!$P$147:$P$153</c:f>
              <c:numCache>
                <c:formatCode>0.0</c:formatCode>
                <c:ptCount val="7"/>
                <c:pt idx="0">
                  <c:v>100</c:v>
                </c:pt>
                <c:pt idx="1">
                  <c:v>68.333944747015835</c:v>
                </c:pt>
                <c:pt idx="2">
                  <c:v>113.38643226006717</c:v>
                </c:pt>
                <c:pt idx="3">
                  <c:v>160.36910573694163</c:v>
                </c:pt>
                <c:pt idx="4">
                  <c:v>139.64500380957756</c:v>
                </c:pt>
                <c:pt idx="5">
                  <c:v>130.95140672178798</c:v>
                </c:pt>
                <c:pt idx="6">
                  <c:v>124.49770014391738</c:v>
                </c:pt>
              </c:numCache>
            </c:numRef>
          </c:val>
          <c:smooth val="0"/>
          <c:extLst>
            <c:ext xmlns:c16="http://schemas.microsoft.com/office/drawing/2014/chart" uri="{C3380CC4-5D6E-409C-BE32-E72D297353CC}">
              <c16:uniqueId val="{00000005-0F78-49F4-BA53-5C7257FEC4AC}"/>
            </c:ext>
          </c:extLst>
        </c:ser>
        <c:ser>
          <c:idx val="6"/>
          <c:order val="6"/>
          <c:tx>
            <c:strRef>
              <c:f>'Commodities 2'!$Q$145</c:f>
              <c:strCache>
                <c:ptCount val="1"/>
              </c:strCache>
            </c:strRef>
          </c:tx>
          <c:spPr>
            <a:ln w="28575" cap="rnd">
              <a:noFill/>
              <a:round/>
            </a:ln>
            <a:effectLst/>
          </c:spPr>
          <c:marker>
            <c:symbol val="square"/>
            <c:size val="2"/>
            <c:spPr>
              <a:solidFill>
                <a:schemeClr val="bg1"/>
              </a:solidFill>
              <a:ln w="9525">
                <a:noFill/>
              </a:ln>
              <a:effectLst/>
            </c:spPr>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2'!$Q$147:$Q$153</c:f>
              <c:numCache>
                <c:formatCode>General</c:formatCode>
                <c:ptCount val="7"/>
                <c:pt idx="0">
                  <c:v>60</c:v>
                </c:pt>
                <c:pt idx="1">
                  <c:v>60</c:v>
                </c:pt>
                <c:pt idx="2">
                  <c:v>60</c:v>
                </c:pt>
                <c:pt idx="3">
                  <c:v>60</c:v>
                </c:pt>
                <c:pt idx="4">
                  <c:v>60</c:v>
                </c:pt>
                <c:pt idx="5">
                  <c:v>60</c:v>
                </c:pt>
                <c:pt idx="6">
                  <c:v>60</c:v>
                </c:pt>
              </c:numCache>
            </c:numRef>
          </c:val>
          <c:smooth val="0"/>
          <c:extLst>
            <c:ext xmlns:c16="http://schemas.microsoft.com/office/drawing/2014/chart" uri="{C3380CC4-5D6E-409C-BE32-E72D297353CC}">
              <c16:uniqueId val="{00000006-0F78-49F4-BA53-5C7257FEC4AC}"/>
            </c:ext>
          </c:extLst>
        </c:ser>
        <c:dLbls>
          <c:showLegendKey val="0"/>
          <c:showVal val="0"/>
          <c:showCatName val="0"/>
          <c:showSerName val="0"/>
          <c:showPercent val="0"/>
          <c:showBubbleSize val="0"/>
        </c:dLbls>
        <c:smooth val="0"/>
        <c:axId val="1767812416"/>
        <c:axId val="1767804256"/>
      </c:lineChart>
      <c:catAx>
        <c:axId val="176781241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7804256"/>
        <c:crosses val="autoZero"/>
        <c:auto val="1"/>
        <c:lblAlgn val="ctr"/>
        <c:lblOffset val="100"/>
        <c:noMultiLvlLbl val="0"/>
      </c:catAx>
      <c:valAx>
        <c:axId val="1767804256"/>
        <c:scaling>
          <c:orientation val="minMax"/>
          <c:min val="6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7812416"/>
        <c:crosses val="autoZero"/>
        <c:crossBetween val="midCat"/>
        <c:majorUnit val="10"/>
      </c:valAx>
      <c:spPr>
        <a:noFill/>
        <a:ln>
          <a:noFill/>
        </a:ln>
        <a:effectLst/>
      </c:spPr>
    </c:plotArea>
    <c:legend>
      <c:legendPos val="b"/>
      <c:layout>
        <c:manualLayout>
          <c:xMode val="edge"/>
          <c:yMode val="edge"/>
          <c:x val="0.32921296296296299"/>
          <c:y val="0.87949164249205691"/>
          <c:w val="0.55453703703703705"/>
          <c:h val="0.1069415665147119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3">
    <c:autoUpdate val="0"/>
  </c:externalData>
  <c:userShapes r:id="rId4"/>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0491452991453"/>
          <c:y val="3.9230096237970254E-2"/>
          <c:w val="0.83185352666049006"/>
          <c:h val="0.6289622222222222"/>
        </c:manualLayout>
      </c:layout>
      <c:lineChart>
        <c:grouping val="standard"/>
        <c:varyColors val="0"/>
        <c:ser>
          <c:idx val="0"/>
          <c:order val="0"/>
          <c:tx>
            <c:strRef>
              <c:f>Inflacija!$U$3</c:f>
              <c:strCache>
                <c:ptCount val="1"/>
                <c:pt idx="0">
                  <c:v>Референтна каматна стопа</c:v>
                </c:pt>
              </c:strCache>
            </c:strRef>
          </c:tx>
          <c:spPr>
            <a:ln w="22225" cap="rnd">
              <a:solidFill>
                <a:srgbClr val="51BBE7"/>
              </a:solidFill>
              <a:round/>
            </a:ln>
            <a:effectLst/>
          </c:spPr>
          <c:marker>
            <c:symbol val="none"/>
          </c:marker>
          <c:cat>
            <c:numRef>
              <c:f>Inflacija!$Q$40:$Q$156</c:f>
              <c:numCache>
                <c:formatCode>yyyy</c:formatCode>
                <c:ptCount val="117"/>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pt idx="112" formatCode="yy">
                  <c:v>44682</c:v>
                </c:pt>
                <c:pt idx="113" formatCode="yy">
                  <c:v>44713</c:v>
                </c:pt>
                <c:pt idx="114" formatCode="yy">
                  <c:v>44743</c:v>
                </c:pt>
                <c:pt idx="115" formatCode="yy">
                  <c:v>44774</c:v>
                </c:pt>
                <c:pt idx="116" formatCode="yy">
                  <c:v>44805</c:v>
                </c:pt>
              </c:numCache>
            </c:numRef>
          </c:cat>
          <c:val>
            <c:numRef>
              <c:f>Inflacija!$U$40:$U$156</c:f>
              <c:numCache>
                <c:formatCode>0.00</c:formatCode>
                <c:ptCount val="117"/>
                <c:pt idx="0">
                  <c:v>11.5</c:v>
                </c:pt>
                <c:pt idx="1">
                  <c:v>11.75</c:v>
                </c:pt>
                <c:pt idx="2">
                  <c:v>11.75</c:v>
                </c:pt>
                <c:pt idx="3">
                  <c:v>11.75</c:v>
                </c:pt>
                <c:pt idx="4">
                  <c:v>11.25</c:v>
                </c:pt>
                <c:pt idx="5">
                  <c:v>11</c:v>
                </c:pt>
                <c:pt idx="6">
                  <c:v>11</c:v>
                </c:pt>
                <c:pt idx="7">
                  <c:v>11</c:v>
                </c:pt>
                <c:pt idx="8">
                  <c:v>11</c:v>
                </c:pt>
                <c:pt idx="9">
                  <c:v>10.5</c:v>
                </c:pt>
                <c:pt idx="10">
                  <c:v>10</c:v>
                </c:pt>
                <c:pt idx="11">
                  <c:v>9.5</c:v>
                </c:pt>
                <c:pt idx="12">
                  <c:v>9.5</c:v>
                </c:pt>
                <c:pt idx="13">
                  <c:v>9.5</c:v>
                </c:pt>
                <c:pt idx="14">
                  <c:v>9.5</c:v>
                </c:pt>
                <c:pt idx="15">
                  <c:v>9.5</c:v>
                </c:pt>
                <c:pt idx="16">
                  <c:v>9</c:v>
                </c:pt>
                <c:pt idx="17">
                  <c:v>8.5</c:v>
                </c:pt>
                <c:pt idx="18">
                  <c:v>8.5</c:v>
                </c:pt>
                <c:pt idx="19">
                  <c:v>8.5</c:v>
                </c:pt>
                <c:pt idx="20">
                  <c:v>8.5</c:v>
                </c:pt>
                <c:pt idx="21">
                  <c:v>8.5</c:v>
                </c:pt>
                <c:pt idx="22">
                  <c:v>8</c:v>
                </c:pt>
                <c:pt idx="23">
                  <c:v>8</c:v>
                </c:pt>
                <c:pt idx="24">
                  <c:v>8</c:v>
                </c:pt>
                <c:pt idx="25">
                  <c:v>8</c:v>
                </c:pt>
                <c:pt idx="26">
                  <c:v>7.5</c:v>
                </c:pt>
                <c:pt idx="27">
                  <c:v>7</c:v>
                </c:pt>
                <c:pt idx="28">
                  <c:v>6.5</c:v>
                </c:pt>
                <c:pt idx="29">
                  <c:v>6</c:v>
                </c:pt>
                <c:pt idx="30">
                  <c:v>6</c:v>
                </c:pt>
                <c:pt idx="31">
                  <c:v>5.5</c:v>
                </c:pt>
                <c:pt idx="32">
                  <c:v>5</c:v>
                </c:pt>
                <c:pt idx="33">
                  <c:v>4.5</c:v>
                </c:pt>
                <c:pt idx="34">
                  <c:v>4.5</c:v>
                </c:pt>
                <c:pt idx="35">
                  <c:v>4.5</c:v>
                </c:pt>
                <c:pt idx="36">
                  <c:v>4.5</c:v>
                </c:pt>
                <c:pt idx="37">
                  <c:v>4.25</c:v>
                </c:pt>
                <c:pt idx="38">
                  <c:v>4.25</c:v>
                </c:pt>
                <c:pt idx="39">
                  <c:v>4.25</c:v>
                </c:pt>
                <c:pt idx="40">
                  <c:v>4.25</c:v>
                </c:pt>
                <c:pt idx="41">
                  <c:v>4.25</c:v>
                </c:pt>
                <c:pt idx="42">
                  <c:v>4</c:v>
                </c:pt>
                <c:pt idx="43">
                  <c:v>4</c:v>
                </c:pt>
                <c:pt idx="44">
                  <c:v>4</c:v>
                </c:pt>
                <c:pt idx="45">
                  <c:v>4</c:v>
                </c:pt>
                <c:pt idx="46">
                  <c:v>4</c:v>
                </c:pt>
                <c:pt idx="47">
                  <c:v>4</c:v>
                </c:pt>
                <c:pt idx="48">
                  <c:v>4</c:v>
                </c:pt>
                <c:pt idx="49">
                  <c:v>4</c:v>
                </c:pt>
                <c:pt idx="50">
                  <c:v>4</c:v>
                </c:pt>
                <c:pt idx="51">
                  <c:v>4</c:v>
                </c:pt>
                <c:pt idx="52">
                  <c:v>4</c:v>
                </c:pt>
                <c:pt idx="53">
                  <c:v>4</c:v>
                </c:pt>
                <c:pt idx="54">
                  <c:v>4</c:v>
                </c:pt>
                <c:pt idx="55">
                  <c:v>4</c:v>
                </c:pt>
                <c:pt idx="56">
                  <c:v>3.75</c:v>
                </c:pt>
                <c:pt idx="57">
                  <c:v>3.5</c:v>
                </c:pt>
                <c:pt idx="58">
                  <c:v>3.5</c:v>
                </c:pt>
                <c:pt idx="59">
                  <c:v>3.5</c:v>
                </c:pt>
                <c:pt idx="60">
                  <c:v>3.5</c:v>
                </c:pt>
                <c:pt idx="61">
                  <c:v>3.5</c:v>
                </c:pt>
                <c:pt idx="62">
                  <c:v>3.25</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2.75</c:v>
                </c:pt>
                <c:pt idx="79">
                  <c:v>2.5</c:v>
                </c:pt>
                <c:pt idx="80">
                  <c:v>2.5</c:v>
                </c:pt>
                <c:pt idx="81">
                  <c:v>2.5</c:v>
                </c:pt>
                <c:pt idx="82">
                  <c:v>2.25</c:v>
                </c:pt>
                <c:pt idx="83">
                  <c:v>2.25</c:v>
                </c:pt>
                <c:pt idx="84">
                  <c:v>2.25</c:v>
                </c:pt>
                <c:pt idx="85">
                  <c:v>2.25</c:v>
                </c:pt>
                <c:pt idx="86">
                  <c:v>1.75</c:v>
                </c:pt>
                <c:pt idx="87">
                  <c:v>1.5</c:v>
                </c:pt>
                <c:pt idx="88">
                  <c:v>1.5</c:v>
                </c:pt>
                <c:pt idx="89">
                  <c:v>1.25</c:v>
                </c:pt>
                <c:pt idx="90">
                  <c:v>1.25</c:v>
                </c:pt>
                <c:pt idx="91">
                  <c:v>1.25</c:v>
                </c:pt>
                <c:pt idx="92">
                  <c:v>1.25</c:v>
                </c:pt>
                <c:pt idx="93" formatCode="General">
                  <c:v>1.25</c:v>
                </c:pt>
                <c:pt idx="94" formatCode="General">
                  <c:v>1.25</c:v>
                </c:pt>
                <c:pt idx="95">
                  <c:v>1</c:v>
                </c:pt>
                <c:pt idx="96">
                  <c:v>1</c:v>
                </c:pt>
                <c:pt idx="97">
                  <c:v>1</c:v>
                </c:pt>
                <c:pt idx="98">
                  <c:v>1</c:v>
                </c:pt>
                <c:pt idx="99">
                  <c:v>1</c:v>
                </c:pt>
                <c:pt idx="100">
                  <c:v>1</c:v>
                </c:pt>
                <c:pt idx="101">
                  <c:v>1</c:v>
                </c:pt>
                <c:pt idx="102">
                  <c:v>1</c:v>
                </c:pt>
                <c:pt idx="103">
                  <c:v>1</c:v>
                </c:pt>
                <c:pt idx="104">
                  <c:v>1</c:v>
                </c:pt>
                <c:pt idx="105">
                  <c:v>1</c:v>
                </c:pt>
                <c:pt idx="106">
                  <c:v>1</c:v>
                </c:pt>
                <c:pt idx="107">
                  <c:v>1</c:v>
                </c:pt>
                <c:pt idx="108">
                  <c:v>1</c:v>
                </c:pt>
                <c:pt idx="109">
                  <c:v>1</c:v>
                </c:pt>
                <c:pt idx="110">
                  <c:v>1</c:v>
                </c:pt>
                <c:pt idx="111">
                  <c:v>1.5</c:v>
                </c:pt>
                <c:pt idx="112">
                  <c:v>2</c:v>
                </c:pt>
                <c:pt idx="113">
                  <c:v>2.5</c:v>
                </c:pt>
                <c:pt idx="114">
                  <c:v>2.75</c:v>
                </c:pt>
                <c:pt idx="115">
                  <c:v>3</c:v>
                </c:pt>
                <c:pt idx="116">
                  <c:v>3.5</c:v>
                </c:pt>
              </c:numCache>
            </c:numRef>
          </c:val>
          <c:smooth val="0"/>
          <c:extLst>
            <c:ext xmlns:c16="http://schemas.microsoft.com/office/drawing/2014/chart" uri="{C3380CC4-5D6E-409C-BE32-E72D297353CC}">
              <c16:uniqueId val="{00000000-9F88-4021-ABA4-D57B606BCFE0}"/>
            </c:ext>
          </c:extLst>
        </c:ser>
        <c:ser>
          <c:idx val="1"/>
          <c:order val="1"/>
          <c:tx>
            <c:strRef>
              <c:f>Inflacija!$V$3</c:f>
              <c:strCache>
                <c:ptCount val="1"/>
                <c:pt idx="0">
                  <c:v>Потрошачке цене</c:v>
                </c:pt>
              </c:strCache>
            </c:strRef>
          </c:tx>
          <c:spPr>
            <a:ln w="22225" cap="rnd">
              <a:solidFill>
                <a:srgbClr val="7F3F98"/>
              </a:solidFill>
              <a:round/>
            </a:ln>
            <a:effectLst/>
          </c:spPr>
          <c:marker>
            <c:symbol val="none"/>
          </c:marker>
          <c:cat>
            <c:numRef>
              <c:f>Inflacija!$Q$40:$Q$156</c:f>
              <c:numCache>
                <c:formatCode>yyyy</c:formatCode>
                <c:ptCount val="117"/>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pt idx="112" formatCode="yy">
                  <c:v>44682</c:v>
                </c:pt>
                <c:pt idx="113" formatCode="yy">
                  <c:v>44713</c:v>
                </c:pt>
                <c:pt idx="114" formatCode="yy">
                  <c:v>44743</c:v>
                </c:pt>
                <c:pt idx="115" formatCode="yy">
                  <c:v>44774</c:v>
                </c:pt>
                <c:pt idx="116" formatCode="yy">
                  <c:v>44805</c:v>
                </c:pt>
              </c:numCache>
            </c:numRef>
          </c:cat>
          <c:val>
            <c:numRef>
              <c:f>Inflacija!$V$40:$V$156</c:f>
              <c:numCache>
                <c:formatCode>0.0</c:formatCode>
                <c:ptCount val="117"/>
                <c:pt idx="0">
                  <c:v>12.753293315144077</c:v>
                </c:pt>
                <c:pt idx="1">
                  <c:v>12.412739988820135</c:v>
                </c:pt>
                <c:pt idx="2">
                  <c:v>11.175774206136737</c:v>
                </c:pt>
                <c:pt idx="3">
                  <c:v>11.4</c:v>
                </c:pt>
                <c:pt idx="4">
                  <c:v>9.9</c:v>
                </c:pt>
                <c:pt idx="5">
                  <c:v>9.8000000000000007</c:v>
                </c:pt>
                <c:pt idx="6">
                  <c:v>8.6</c:v>
                </c:pt>
                <c:pt idx="7" formatCode="General">
                  <c:v>7.3</c:v>
                </c:pt>
                <c:pt idx="8">
                  <c:v>4.8545411542100254</c:v>
                </c:pt>
                <c:pt idx="9">
                  <c:v>2.1686608375517835</c:v>
                </c:pt>
                <c:pt idx="10">
                  <c:v>1.5706806282722425</c:v>
                </c:pt>
                <c:pt idx="11">
                  <c:v>2.2241478913922492</c:v>
                </c:pt>
                <c:pt idx="12" formatCode="General">
                  <c:v>3.1</c:v>
                </c:pt>
                <c:pt idx="13" formatCode="General">
                  <c:v>2.6</c:v>
                </c:pt>
                <c:pt idx="14" formatCode="General">
                  <c:v>2.2999999999999998</c:v>
                </c:pt>
                <c:pt idx="15" formatCode="General">
                  <c:v>2.1</c:v>
                </c:pt>
                <c:pt idx="16">
                  <c:v>2.1</c:v>
                </c:pt>
                <c:pt idx="17" formatCode="General">
                  <c:v>1.3</c:v>
                </c:pt>
                <c:pt idx="18" formatCode="General">
                  <c:v>2.1</c:v>
                </c:pt>
                <c:pt idx="19" formatCode="General">
                  <c:v>1.5</c:v>
                </c:pt>
                <c:pt idx="20" formatCode="General">
                  <c:v>2.1</c:v>
                </c:pt>
                <c:pt idx="21" formatCode="General">
                  <c:v>1.8</c:v>
                </c:pt>
                <c:pt idx="22" formatCode="General">
                  <c:v>2.4</c:v>
                </c:pt>
                <c:pt idx="23" formatCode="General">
                  <c:v>1.7</c:v>
                </c:pt>
                <c:pt idx="24" formatCode="General">
                  <c:v>0.1</c:v>
                </c:pt>
                <c:pt idx="25" formatCode="General">
                  <c:v>0.8</c:v>
                </c:pt>
                <c:pt idx="26" formatCode="General">
                  <c:v>1.9</c:v>
                </c:pt>
                <c:pt idx="27" formatCode="General">
                  <c:v>1.8</c:v>
                </c:pt>
                <c:pt idx="28">
                  <c:v>1.5</c:v>
                </c:pt>
                <c:pt idx="29">
                  <c:v>1.9</c:v>
                </c:pt>
                <c:pt idx="30">
                  <c:v>1</c:v>
                </c:pt>
                <c:pt idx="31" formatCode="General">
                  <c:v>2.1</c:v>
                </c:pt>
                <c:pt idx="32" formatCode="General">
                  <c:v>1.4</c:v>
                </c:pt>
                <c:pt idx="33" formatCode="General">
                  <c:v>1.4</c:v>
                </c:pt>
                <c:pt idx="34" formatCode="General">
                  <c:v>1.3</c:v>
                </c:pt>
                <c:pt idx="35" formatCode="General">
                  <c:v>1.5</c:v>
                </c:pt>
                <c:pt idx="36" formatCode="General">
                  <c:v>2.4</c:v>
                </c:pt>
                <c:pt idx="37" formatCode="General">
                  <c:v>1.5</c:v>
                </c:pt>
                <c:pt idx="38" formatCode="General">
                  <c:v>0.6</c:v>
                </c:pt>
                <c:pt idx="39" formatCode="General">
                  <c:v>0.4</c:v>
                </c:pt>
                <c:pt idx="40">
                  <c:v>0.7</c:v>
                </c:pt>
                <c:pt idx="41">
                  <c:v>0.3</c:v>
                </c:pt>
                <c:pt idx="42">
                  <c:v>1.2</c:v>
                </c:pt>
                <c:pt idx="43" formatCode="General">
                  <c:v>1.2</c:v>
                </c:pt>
                <c:pt idx="44" formatCode="General">
                  <c:v>0.6</c:v>
                </c:pt>
                <c:pt idx="45" formatCode="General">
                  <c:v>1.5</c:v>
                </c:pt>
                <c:pt idx="46" formatCode="General">
                  <c:v>1.5</c:v>
                </c:pt>
                <c:pt idx="47" formatCode="General">
                  <c:v>1.6</c:v>
                </c:pt>
                <c:pt idx="48" formatCode="General">
                  <c:v>2.4</c:v>
                </c:pt>
                <c:pt idx="49" formatCode="General">
                  <c:v>3.2</c:v>
                </c:pt>
                <c:pt idx="50" formatCode="General">
                  <c:v>3.6</c:v>
                </c:pt>
                <c:pt idx="51">
                  <c:v>4</c:v>
                </c:pt>
                <c:pt idx="52">
                  <c:v>3.5</c:v>
                </c:pt>
                <c:pt idx="53">
                  <c:v>3.6</c:v>
                </c:pt>
                <c:pt idx="54">
                  <c:v>3.2</c:v>
                </c:pt>
                <c:pt idx="55" formatCode="General">
                  <c:v>2.5</c:v>
                </c:pt>
                <c:pt idx="56" formatCode="General">
                  <c:v>3.2</c:v>
                </c:pt>
                <c:pt idx="57" formatCode="General">
                  <c:v>2.8</c:v>
                </c:pt>
                <c:pt idx="58" formatCode="General">
                  <c:v>2.8</c:v>
                </c:pt>
                <c:pt idx="59">
                  <c:v>3</c:v>
                </c:pt>
                <c:pt idx="60">
                  <c:v>1.9</c:v>
                </c:pt>
                <c:pt idx="61" formatCode="General">
                  <c:v>1.5</c:v>
                </c:pt>
                <c:pt idx="62" formatCode="General">
                  <c:v>1.4</c:v>
                </c:pt>
                <c:pt idx="63">
                  <c:v>1.1000000000000001</c:v>
                </c:pt>
                <c:pt idx="64" formatCode="General">
                  <c:v>2.1</c:v>
                </c:pt>
                <c:pt idx="65" formatCode="General">
                  <c:v>2.2999999999999998</c:v>
                </c:pt>
                <c:pt idx="66" formatCode="General">
                  <c:v>2.4</c:v>
                </c:pt>
                <c:pt idx="67" formatCode="General">
                  <c:v>2.6</c:v>
                </c:pt>
                <c:pt idx="68" formatCode="General">
                  <c:v>2.1</c:v>
                </c:pt>
                <c:pt idx="69" formatCode="General">
                  <c:v>2.2000000000000002</c:v>
                </c:pt>
                <c:pt idx="70" formatCode="General">
                  <c:v>1.9</c:v>
                </c:pt>
                <c:pt idx="71">
                  <c:v>2</c:v>
                </c:pt>
                <c:pt idx="72">
                  <c:v>2.1</c:v>
                </c:pt>
                <c:pt idx="73">
                  <c:v>2.4</c:v>
                </c:pt>
                <c:pt idx="74" formatCode="General">
                  <c:v>2.8</c:v>
                </c:pt>
                <c:pt idx="75" formatCode="General">
                  <c:v>3.1</c:v>
                </c:pt>
                <c:pt idx="76" formatCode="General">
                  <c:v>2.2000000000000002</c:v>
                </c:pt>
                <c:pt idx="77" formatCode="General">
                  <c:v>1.5</c:v>
                </c:pt>
                <c:pt idx="78" formatCode="General">
                  <c:v>1.6</c:v>
                </c:pt>
                <c:pt idx="79" formatCode="General">
                  <c:v>1.3</c:v>
                </c:pt>
                <c:pt idx="80" formatCode="General">
                  <c:v>1.1000000000000001</c:v>
                </c:pt>
                <c:pt idx="81">
                  <c:v>1</c:v>
                </c:pt>
                <c:pt idx="82">
                  <c:v>1.5</c:v>
                </c:pt>
                <c:pt idx="83">
                  <c:v>1.9</c:v>
                </c:pt>
                <c:pt idx="84">
                  <c:v>2</c:v>
                </c:pt>
                <c:pt idx="85">
                  <c:v>1.9</c:v>
                </c:pt>
                <c:pt idx="86">
                  <c:v>1.3</c:v>
                </c:pt>
                <c:pt idx="87">
                  <c:v>0.6</c:v>
                </c:pt>
                <c:pt idx="88">
                  <c:v>0.7</c:v>
                </c:pt>
                <c:pt idx="89">
                  <c:v>1.6</c:v>
                </c:pt>
                <c:pt idx="90">
                  <c:v>2</c:v>
                </c:pt>
                <c:pt idx="91">
                  <c:v>1.9</c:v>
                </c:pt>
                <c:pt idx="92">
                  <c:v>1.8</c:v>
                </c:pt>
                <c:pt idx="93">
                  <c:v>1.8</c:v>
                </c:pt>
                <c:pt idx="94">
                  <c:v>1.7</c:v>
                </c:pt>
                <c:pt idx="95">
                  <c:v>1.3</c:v>
                </c:pt>
                <c:pt idx="96">
                  <c:v>1.1000000000000001</c:v>
                </c:pt>
                <c:pt idx="97">
                  <c:v>1.2</c:v>
                </c:pt>
                <c:pt idx="98">
                  <c:v>1.8</c:v>
                </c:pt>
                <c:pt idx="99">
                  <c:v>2.8</c:v>
                </c:pt>
                <c:pt idx="100">
                  <c:v>3.6</c:v>
                </c:pt>
                <c:pt idx="101">
                  <c:v>3.3</c:v>
                </c:pt>
                <c:pt idx="102">
                  <c:v>3.3</c:v>
                </c:pt>
                <c:pt idx="103">
                  <c:v>4.3</c:v>
                </c:pt>
                <c:pt idx="104">
                  <c:v>5.7</c:v>
                </c:pt>
                <c:pt idx="105" formatCode="General">
                  <c:v>6.6</c:v>
                </c:pt>
                <c:pt idx="106" formatCode="General">
                  <c:v>7.5</c:v>
                </c:pt>
                <c:pt idx="107" formatCode="General">
                  <c:v>7.9</c:v>
                </c:pt>
                <c:pt idx="108" formatCode="General">
                  <c:v>8.1999999999999993</c:v>
                </c:pt>
                <c:pt idx="109" formatCode="General">
                  <c:v>8.8000000000000007</c:v>
                </c:pt>
                <c:pt idx="110" formatCode="General">
                  <c:v>9.1</c:v>
                </c:pt>
                <c:pt idx="111" formatCode="General">
                  <c:v>9.6</c:v>
                </c:pt>
                <c:pt idx="112" formatCode="General">
                  <c:v>10.4</c:v>
                </c:pt>
                <c:pt idx="113" formatCode="General">
                  <c:v>11.9</c:v>
                </c:pt>
                <c:pt idx="114" formatCode="General">
                  <c:v>12.8</c:v>
                </c:pt>
                <c:pt idx="115" formatCode="General">
                  <c:v>13.2</c:v>
                </c:pt>
                <c:pt idx="116">
                  <c:v>14</c:v>
                </c:pt>
              </c:numCache>
            </c:numRef>
          </c:val>
          <c:smooth val="0"/>
          <c:extLst>
            <c:ext xmlns:c16="http://schemas.microsoft.com/office/drawing/2014/chart" uri="{C3380CC4-5D6E-409C-BE32-E72D297353CC}">
              <c16:uniqueId val="{00000001-9F88-4021-ABA4-D57B606BCFE0}"/>
            </c:ext>
          </c:extLst>
        </c:ser>
        <c:ser>
          <c:idx val="2"/>
          <c:order val="2"/>
          <c:tx>
            <c:strRef>
              <c:f>Inflacija!$W$3</c:f>
              <c:strCache>
                <c:ptCount val="1"/>
                <c:pt idx="0">
                  <c:v>Циљана инфлација</c:v>
                </c:pt>
              </c:strCache>
            </c:strRef>
          </c:tx>
          <c:spPr>
            <a:ln w="22225" cap="rnd">
              <a:solidFill>
                <a:srgbClr val="FF0000"/>
              </a:solidFill>
              <a:round/>
            </a:ln>
            <a:effectLst/>
          </c:spPr>
          <c:marker>
            <c:symbol val="none"/>
          </c:marker>
          <c:cat>
            <c:numRef>
              <c:f>Inflacija!$Q$40:$Q$156</c:f>
              <c:numCache>
                <c:formatCode>yyyy</c:formatCode>
                <c:ptCount val="117"/>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pt idx="112" formatCode="yy">
                  <c:v>44682</c:v>
                </c:pt>
                <c:pt idx="113" formatCode="yy">
                  <c:v>44713</c:v>
                </c:pt>
                <c:pt idx="114" formatCode="yy">
                  <c:v>44743</c:v>
                </c:pt>
                <c:pt idx="115" formatCode="yy">
                  <c:v>44774</c:v>
                </c:pt>
                <c:pt idx="116" formatCode="yy">
                  <c:v>44805</c:v>
                </c:pt>
              </c:numCache>
            </c:numRef>
          </c:cat>
          <c:val>
            <c:numRef>
              <c:f>Inflacija!$W$40:$W$156</c:f>
              <c:numCache>
                <c:formatCode>0.0</c:formatCode>
                <c:ptCount val="117"/>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pt idx="15">
                  <c:v>4</c:v>
                </c:pt>
                <c:pt idx="16">
                  <c:v>4</c:v>
                </c:pt>
                <c:pt idx="17">
                  <c:v>4</c:v>
                </c:pt>
                <c:pt idx="18">
                  <c:v>4</c:v>
                </c:pt>
                <c:pt idx="19">
                  <c:v>4</c:v>
                </c:pt>
                <c:pt idx="20">
                  <c:v>4</c:v>
                </c:pt>
                <c:pt idx="21">
                  <c:v>4</c:v>
                </c:pt>
                <c:pt idx="22">
                  <c:v>4</c:v>
                </c:pt>
                <c:pt idx="23">
                  <c:v>4</c:v>
                </c:pt>
                <c:pt idx="24">
                  <c:v>4</c:v>
                </c:pt>
                <c:pt idx="25">
                  <c:v>4</c:v>
                </c:pt>
                <c:pt idx="26">
                  <c:v>4</c:v>
                </c:pt>
                <c:pt idx="27">
                  <c:v>4</c:v>
                </c:pt>
                <c:pt idx="28">
                  <c:v>4</c:v>
                </c:pt>
                <c:pt idx="29">
                  <c:v>4</c:v>
                </c:pt>
                <c:pt idx="30">
                  <c:v>4</c:v>
                </c:pt>
                <c:pt idx="31">
                  <c:v>4</c:v>
                </c:pt>
                <c:pt idx="32">
                  <c:v>4</c:v>
                </c:pt>
                <c:pt idx="33">
                  <c:v>4</c:v>
                </c:pt>
                <c:pt idx="34">
                  <c:v>4</c:v>
                </c:pt>
                <c:pt idx="35">
                  <c:v>4</c:v>
                </c:pt>
                <c:pt idx="36">
                  <c:v>4</c:v>
                </c:pt>
                <c:pt idx="37">
                  <c:v>4</c:v>
                </c:pt>
                <c:pt idx="38">
                  <c:v>4</c:v>
                </c:pt>
                <c:pt idx="39">
                  <c:v>4</c:v>
                </c:pt>
                <c:pt idx="40">
                  <c:v>4</c:v>
                </c:pt>
                <c:pt idx="41">
                  <c:v>4</c:v>
                </c:pt>
                <c:pt idx="42">
                  <c:v>4</c:v>
                </c:pt>
                <c:pt idx="43">
                  <c:v>4</c:v>
                </c:pt>
                <c:pt idx="44">
                  <c:v>4</c:v>
                </c:pt>
                <c:pt idx="45">
                  <c:v>4</c:v>
                </c:pt>
                <c:pt idx="46">
                  <c:v>4</c:v>
                </c:pt>
                <c:pt idx="47">
                  <c:v>4</c:v>
                </c:pt>
                <c:pt idx="48">
                  <c:v>3</c:v>
                </c:pt>
                <c:pt idx="49">
                  <c:v>3</c:v>
                </c:pt>
                <c:pt idx="50">
                  <c:v>3</c:v>
                </c:pt>
                <c:pt idx="51">
                  <c:v>3</c:v>
                </c:pt>
                <c:pt idx="52">
                  <c:v>3</c:v>
                </c:pt>
                <c:pt idx="53">
                  <c:v>3</c:v>
                </c:pt>
                <c:pt idx="54">
                  <c:v>3</c:v>
                </c:pt>
                <c:pt idx="55">
                  <c:v>3</c:v>
                </c:pt>
                <c:pt idx="56">
                  <c:v>3</c:v>
                </c:pt>
                <c:pt idx="57">
                  <c:v>3</c:v>
                </c:pt>
                <c:pt idx="58">
                  <c:v>3</c:v>
                </c:pt>
                <c:pt idx="59">
                  <c:v>3</c:v>
                </c:pt>
                <c:pt idx="60">
                  <c:v>3</c:v>
                </c:pt>
                <c:pt idx="61">
                  <c:v>3</c:v>
                </c:pt>
                <c:pt idx="62">
                  <c:v>3</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3</c:v>
                </c:pt>
                <c:pt idx="79">
                  <c:v>3</c:v>
                </c:pt>
                <c:pt idx="80">
                  <c:v>3</c:v>
                </c:pt>
                <c:pt idx="81">
                  <c:v>3</c:v>
                </c:pt>
                <c:pt idx="82">
                  <c:v>3</c:v>
                </c:pt>
                <c:pt idx="83">
                  <c:v>3</c:v>
                </c:pt>
                <c:pt idx="84">
                  <c:v>3</c:v>
                </c:pt>
                <c:pt idx="85">
                  <c:v>3</c:v>
                </c:pt>
                <c:pt idx="86">
                  <c:v>3</c:v>
                </c:pt>
                <c:pt idx="87">
                  <c:v>3</c:v>
                </c:pt>
                <c:pt idx="88">
                  <c:v>3</c:v>
                </c:pt>
                <c:pt idx="89">
                  <c:v>3</c:v>
                </c:pt>
                <c:pt idx="90">
                  <c:v>3</c:v>
                </c:pt>
                <c:pt idx="91">
                  <c:v>3</c:v>
                </c:pt>
                <c:pt idx="92">
                  <c:v>3</c:v>
                </c:pt>
                <c:pt idx="93">
                  <c:v>3</c:v>
                </c:pt>
                <c:pt idx="94">
                  <c:v>3</c:v>
                </c:pt>
                <c:pt idx="95">
                  <c:v>3</c:v>
                </c:pt>
                <c:pt idx="96">
                  <c:v>3</c:v>
                </c:pt>
                <c:pt idx="97">
                  <c:v>3</c:v>
                </c:pt>
                <c:pt idx="98">
                  <c:v>3</c:v>
                </c:pt>
                <c:pt idx="99">
                  <c:v>3</c:v>
                </c:pt>
                <c:pt idx="100">
                  <c:v>3</c:v>
                </c:pt>
                <c:pt idx="101">
                  <c:v>3</c:v>
                </c:pt>
                <c:pt idx="102">
                  <c:v>3</c:v>
                </c:pt>
                <c:pt idx="103">
                  <c:v>3</c:v>
                </c:pt>
                <c:pt idx="104">
                  <c:v>3</c:v>
                </c:pt>
                <c:pt idx="105">
                  <c:v>3</c:v>
                </c:pt>
                <c:pt idx="106">
                  <c:v>3</c:v>
                </c:pt>
                <c:pt idx="107">
                  <c:v>3</c:v>
                </c:pt>
                <c:pt idx="108">
                  <c:v>3</c:v>
                </c:pt>
                <c:pt idx="109">
                  <c:v>3</c:v>
                </c:pt>
                <c:pt idx="110">
                  <c:v>3</c:v>
                </c:pt>
                <c:pt idx="111">
                  <c:v>3</c:v>
                </c:pt>
                <c:pt idx="112">
                  <c:v>3</c:v>
                </c:pt>
                <c:pt idx="113">
                  <c:v>3</c:v>
                </c:pt>
                <c:pt idx="114">
                  <c:v>3</c:v>
                </c:pt>
                <c:pt idx="115">
                  <c:v>3</c:v>
                </c:pt>
                <c:pt idx="116">
                  <c:v>3</c:v>
                </c:pt>
              </c:numCache>
            </c:numRef>
          </c:val>
          <c:smooth val="0"/>
          <c:extLst>
            <c:ext xmlns:c16="http://schemas.microsoft.com/office/drawing/2014/chart" uri="{C3380CC4-5D6E-409C-BE32-E72D297353CC}">
              <c16:uniqueId val="{00000002-9F88-4021-ABA4-D57B606BCFE0}"/>
            </c:ext>
          </c:extLst>
        </c:ser>
        <c:ser>
          <c:idx val="3"/>
          <c:order val="3"/>
          <c:tx>
            <c:strRef>
              <c:f>Inflacija!$X$3</c:f>
              <c:strCache>
                <c:ptCount val="1"/>
                <c:pt idx="0">
                  <c:v>Коридор инфлације</c:v>
                </c:pt>
              </c:strCache>
            </c:strRef>
          </c:tx>
          <c:spPr>
            <a:ln w="12700" cap="rnd">
              <a:solidFill>
                <a:srgbClr val="898989"/>
              </a:solidFill>
              <a:prstDash val="sysDash"/>
              <a:round/>
            </a:ln>
            <a:effectLst/>
          </c:spPr>
          <c:marker>
            <c:symbol val="none"/>
          </c:marker>
          <c:cat>
            <c:numRef>
              <c:f>Inflacija!$Q$40:$Q$156</c:f>
              <c:numCache>
                <c:formatCode>yyyy</c:formatCode>
                <c:ptCount val="117"/>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pt idx="112" formatCode="yy">
                  <c:v>44682</c:v>
                </c:pt>
                <c:pt idx="113" formatCode="yy">
                  <c:v>44713</c:v>
                </c:pt>
                <c:pt idx="114" formatCode="yy">
                  <c:v>44743</c:v>
                </c:pt>
                <c:pt idx="115" formatCode="yy">
                  <c:v>44774</c:v>
                </c:pt>
                <c:pt idx="116" formatCode="yy">
                  <c:v>44805</c:v>
                </c:pt>
              </c:numCache>
            </c:numRef>
          </c:cat>
          <c:val>
            <c:numRef>
              <c:f>Inflacija!$X$40:$X$156</c:f>
              <c:numCache>
                <c:formatCode>0.0</c:formatCode>
                <c:ptCount val="117"/>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pt idx="32">
                  <c:v>5.5</c:v>
                </c:pt>
                <c:pt idx="33">
                  <c:v>5.5</c:v>
                </c:pt>
                <c:pt idx="34">
                  <c:v>5.5</c:v>
                </c:pt>
                <c:pt idx="35">
                  <c:v>5.5</c:v>
                </c:pt>
                <c:pt idx="36">
                  <c:v>5.5</c:v>
                </c:pt>
                <c:pt idx="37" formatCode="General">
                  <c:v>5.5</c:v>
                </c:pt>
                <c:pt idx="38" formatCode="General">
                  <c:v>5.5</c:v>
                </c:pt>
                <c:pt idx="39" formatCode="General">
                  <c:v>5.5</c:v>
                </c:pt>
                <c:pt idx="40" formatCode="General">
                  <c:v>5.5</c:v>
                </c:pt>
                <c:pt idx="41" formatCode="General">
                  <c:v>5.5</c:v>
                </c:pt>
                <c:pt idx="42" formatCode="General">
                  <c:v>5.5</c:v>
                </c:pt>
                <c:pt idx="43" formatCode="General">
                  <c:v>5.5</c:v>
                </c:pt>
                <c:pt idx="44" formatCode="General">
                  <c:v>5.5</c:v>
                </c:pt>
                <c:pt idx="45" formatCode="General">
                  <c:v>5.5</c:v>
                </c:pt>
                <c:pt idx="46" formatCode="General">
                  <c:v>5.5</c:v>
                </c:pt>
                <c:pt idx="47" formatCode="General">
                  <c:v>5.5</c:v>
                </c:pt>
                <c:pt idx="48">
                  <c:v>4.5</c:v>
                </c:pt>
                <c:pt idx="49">
                  <c:v>4.5</c:v>
                </c:pt>
                <c:pt idx="50">
                  <c:v>4.5</c:v>
                </c:pt>
                <c:pt idx="51">
                  <c:v>4.5</c:v>
                </c:pt>
                <c:pt idx="52">
                  <c:v>4.5</c:v>
                </c:pt>
                <c:pt idx="53">
                  <c:v>4.5</c:v>
                </c:pt>
                <c:pt idx="54">
                  <c:v>4.5</c:v>
                </c:pt>
                <c:pt idx="55">
                  <c:v>4.5</c:v>
                </c:pt>
                <c:pt idx="56">
                  <c:v>4.5</c:v>
                </c:pt>
                <c:pt idx="57">
                  <c:v>4.5</c:v>
                </c:pt>
                <c:pt idx="58">
                  <c:v>4.5</c:v>
                </c:pt>
                <c:pt idx="59">
                  <c:v>4.5</c:v>
                </c:pt>
                <c:pt idx="60">
                  <c:v>4.5</c:v>
                </c:pt>
                <c:pt idx="61">
                  <c:v>4.5</c:v>
                </c:pt>
                <c:pt idx="62">
                  <c:v>4.5</c:v>
                </c:pt>
                <c:pt idx="63">
                  <c:v>4.5</c:v>
                </c:pt>
                <c:pt idx="64">
                  <c:v>4.5</c:v>
                </c:pt>
                <c:pt idx="65" formatCode="General">
                  <c:v>4.5</c:v>
                </c:pt>
                <c:pt idx="66" formatCode="General">
                  <c:v>4.5</c:v>
                </c:pt>
                <c:pt idx="67" formatCode="General">
                  <c:v>4.5</c:v>
                </c:pt>
                <c:pt idx="68">
                  <c:v>4.5</c:v>
                </c:pt>
                <c:pt idx="69">
                  <c:v>4.5</c:v>
                </c:pt>
                <c:pt idx="70">
                  <c:v>4.5</c:v>
                </c:pt>
                <c:pt idx="71">
                  <c:v>4.5</c:v>
                </c:pt>
                <c:pt idx="72">
                  <c:v>4.5</c:v>
                </c:pt>
                <c:pt idx="73">
                  <c:v>4.5</c:v>
                </c:pt>
                <c:pt idx="74">
                  <c:v>4.5</c:v>
                </c:pt>
                <c:pt idx="75">
                  <c:v>4.5</c:v>
                </c:pt>
                <c:pt idx="76">
                  <c:v>4.5</c:v>
                </c:pt>
                <c:pt idx="77">
                  <c:v>4.5</c:v>
                </c:pt>
                <c:pt idx="78">
                  <c:v>4.5</c:v>
                </c:pt>
                <c:pt idx="79">
                  <c:v>4.5</c:v>
                </c:pt>
                <c:pt idx="80">
                  <c:v>4.5</c:v>
                </c:pt>
                <c:pt idx="81">
                  <c:v>4.5</c:v>
                </c:pt>
                <c:pt idx="82">
                  <c:v>4.5</c:v>
                </c:pt>
                <c:pt idx="83">
                  <c:v>4.5</c:v>
                </c:pt>
                <c:pt idx="84">
                  <c:v>4.5</c:v>
                </c:pt>
                <c:pt idx="85">
                  <c:v>4.5</c:v>
                </c:pt>
                <c:pt idx="86">
                  <c:v>4.5</c:v>
                </c:pt>
                <c:pt idx="87">
                  <c:v>4.5</c:v>
                </c:pt>
                <c:pt idx="88">
                  <c:v>4.5</c:v>
                </c:pt>
                <c:pt idx="89">
                  <c:v>4.5</c:v>
                </c:pt>
                <c:pt idx="90">
                  <c:v>4.5</c:v>
                </c:pt>
                <c:pt idx="91">
                  <c:v>4.5</c:v>
                </c:pt>
                <c:pt idx="92">
                  <c:v>4.5</c:v>
                </c:pt>
                <c:pt idx="93">
                  <c:v>4.5</c:v>
                </c:pt>
                <c:pt idx="94">
                  <c:v>4.5</c:v>
                </c:pt>
                <c:pt idx="95">
                  <c:v>4.5</c:v>
                </c:pt>
                <c:pt idx="96">
                  <c:v>4.5</c:v>
                </c:pt>
                <c:pt idx="97">
                  <c:v>4.5</c:v>
                </c:pt>
                <c:pt idx="98">
                  <c:v>4.5</c:v>
                </c:pt>
                <c:pt idx="99">
                  <c:v>4.5</c:v>
                </c:pt>
                <c:pt idx="100">
                  <c:v>4.5</c:v>
                </c:pt>
                <c:pt idx="101">
                  <c:v>4.5</c:v>
                </c:pt>
                <c:pt idx="102">
                  <c:v>4.5</c:v>
                </c:pt>
                <c:pt idx="103">
                  <c:v>4.5</c:v>
                </c:pt>
                <c:pt idx="104">
                  <c:v>4.5</c:v>
                </c:pt>
                <c:pt idx="105" formatCode="General">
                  <c:v>4.5</c:v>
                </c:pt>
                <c:pt idx="106" formatCode="General">
                  <c:v>4.5</c:v>
                </c:pt>
                <c:pt idx="107" formatCode="General">
                  <c:v>4.5</c:v>
                </c:pt>
                <c:pt idx="108" formatCode="General">
                  <c:v>4.5</c:v>
                </c:pt>
                <c:pt idx="109" formatCode="General">
                  <c:v>4.5</c:v>
                </c:pt>
                <c:pt idx="110" formatCode="General">
                  <c:v>4.5</c:v>
                </c:pt>
                <c:pt idx="111" formatCode="General">
                  <c:v>4.5</c:v>
                </c:pt>
                <c:pt idx="112" formatCode="General">
                  <c:v>4.5</c:v>
                </c:pt>
                <c:pt idx="113" formatCode="General">
                  <c:v>4.5</c:v>
                </c:pt>
                <c:pt idx="114" formatCode="General">
                  <c:v>4.5</c:v>
                </c:pt>
                <c:pt idx="115" formatCode="General">
                  <c:v>4.5</c:v>
                </c:pt>
                <c:pt idx="116" formatCode="General">
                  <c:v>4.5</c:v>
                </c:pt>
              </c:numCache>
            </c:numRef>
          </c:val>
          <c:smooth val="0"/>
          <c:extLst>
            <c:ext xmlns:c16="http://schemas.microsoft.com/office/drawing/2014/chart" uri="{C3380CC4-5D6E-409C-BE32-E72D297353CC}">
              <c16:uniqueId val="{00000003-9F88-4021-ABA4-D57B606BCFE0}"/>
            </c:ext>
          </c:extLst>
        </c:ser>
        <c:ser>
          <c:idx val="4"/>
          <c:order val="4"/>
          <c:tx>
            <c:strRef>
              <c:f>Inflacija!$Y$3</c:f>
              <c:strCache>
                <c:ptCount val="1"/>
              </c:strCache>
            </c:strRef>
          </c:tx>
          <c:spPr>
            <a:ln w="12700" cap="rnd">
              <a:solidFill>
                <a:srgbClr val="898989"/>
              </a:solidFill>
              <a:prstDash val="sysDash"/>
              <a:round/>
            </a:ln>
            <a:effectLst/>
          </c:spPr>
          <c:marker>
            <c:symbol val="none"/>
          </c:marker>
          <c:cat>
            <c:numRef>
              <c:f>Inflacija!$Q$40:$Q$156</c:f>
              <c:numCache>
                <c:formatCode>yyyy</c:formatCode>
                <c:ptCount val="117"/>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pt idx="112" formatCode="yy">
                  <c:v>44682</c:v>
                </c:pt>
                <c:pt idx="113" formatCode="yy">
                  <c:v>44713</c:v>
                </c:pt>
                <c:pt idx="114" formatCode="yy">
                  <c:v>44743</c:v>
                </c:pt>
                <c:pt idx="115" formatCode="yy">
                  <c:v>44774</c:v>
                </c:pt>
                <c:pt idx="116" formatCode="yy">
                  <c:v>44805</c:v>
                </c:pt>
              </c:numCache>
            </c:numRef>
          </c:cat>
          <c:val>
            <c:numRef>
              <c:f>Inflacija!$Y$40:$Y$156</c:f>
              <c:numCache>
                <c:formatCode>0.0</c:formatCode>
                <c:ptCount val="117"/>
                <c:pt idx="0">
                  <c:v>2.5</c:v>
                </c:pt>
                <c:pt idx="1">
                  <c:v>2.5</c:v>
                </c:pt>
                <c:pt idx="2">
                  <c:v>2.5</c:v>
                </c:pt>
                <c:pt idx="3">
                  <c:v>2.5</c:v>
                </c:pt>
                <c:pt idx="4">
                  <c:v>2.5</c:v>
                </c:pt>
                <c:pt idx="5">
                  <c:v>2.5</c:v>
                </c:pt>
                <c:pt idx="6">
                  <c:v>2.5</c:v>
                </c:pt>
                <c:pt idx="7">
                  <c:v>2.5</c:v>
                </c:pt>
                <c:pt idx="8">
                  <c:v>2.5</c:v>
                </c:pt>
                <c:pt idx="9">
                  <c:v>2.5</c:v>
                </c:pt>
                <c:pt idx="10">
                  <c:v>2.5</c:v>
                </c:pt>
                <c:pt idx="11">
                  <c:v>2.5</c:v>
                </c:pt>
                <c:pt idx="12">
                  <c:v>2.5</c:v>
                </c:pt>
                <c:pt idx="13">
                  <c:v>2.5</c:v>
                </c:pt>
                <c:pt idx="14">
                  <c:v>2.5</c:v>
                </c:pt>
                <c:pt idx="15">
                  <c:v>2.5</c:v>
                </c:pt>
                <c:pt idx="16">
                  <c:v>2.5</c:v>
                </c:pt>
                <c:pt idx="17">
                  <c:v>2.5</c:v>
                </c:pt>
                <c:pt idx="18">
                  <c:v>2.5</c:v>
                </c:pt>
                <c:pt idx="19">
                  <c:v>2.5</c:v>
                </c:pt>
                <c:pt idx="20">
                  <c:v>2.5</c:v>
                </c:pt>
                <c:pt idx="21">
                  <c:v>2.5</c:v>
                </c:pt>
                <c:pt idx="22">
                  <c:v>2.5</c:v>
                </c:pt>
                <c:pt idx="23">
                  <c:v>2.5</c:v>
                </c:pt>
                <c:pt idx="24">
                  <c:v>2.5</c:v>
                </c:pt>
                <c:pt idx="25">
                  <c:v>2.5</c:v>
                </c:pt>
                <c:pt idx="26">
                  <c:v>2.5</c:v>
                </c:pt>
                <c:pt idx="27">
                  <c:v>2.5</c:v>
                </c:pt>
                <c:pt idx="28">
                  <c:v>2.5</c:v>
                </c:pt>
                <c:pt idx="29">
                  <c:v>2.5</c:v>
                </c:pt>
                <c:pt idx="30">
                  <c:v>2.5</c:v>
                </c:pt>
                <c:pt idx="31">
                  <c:v>2.5</c:v>
                </c:pt>
                <c:pt idx="32">
                  <c:v>2.5</c:v>
                </c:pt>
                <c:pt idx="33">
                  <c:v>2.5</c:v>
                </c:pt>
                <c:pt idx="34">
                  <c:v>2.5</c:v>
                </c:pt>
                <c:pt idx="35">
                  <c:v>2.5</c:v>
                </c:pt>
                <c:pt idx="36">
                  <c:v>2.5</c:v>
                </c:pt>
                <c:pt idx="37" formatCode="General">
                  <c:v>2.5</c:v>
                </c:pt>
                <c:pt idx="38" formatCode="General">
                  <c:v>2.5</c:v>
                </c:pt>
                <c:pt idx="39" formatCode="General">
                  <c:v>2.5</c:v>
                </c:pt>
                <c:pt idx="40" formatCode="General">
                  <c:v>2.5</c:v>
                </c:pt>
                <c:pt idx="41" formatCode="General">
                  <c:v>2.5</c:v>
                </c:pt>
                <c:pt idx="42" formatCode="General">
                  <c:v>2.5</c:v>
                </c:pt>
                <c:pt idx="43" formatCode="General">
                  <c:v>2.5</c:v>
                </c:pt>
                <c:pt idx="44" formatCode="General">
                  <c:v>2.5</c:v>
                </c:pt>
                <c:pt idx="45" formatCode="General">
                  <c:v>2.5</c:v>
                </c:pt>
                <c:pt idx="46" formatCode="General">
                  <c:v>2.5</c:v>
                </c:pt>
                <c:pt idx="47" formatCode="General">
                  <c:v>2.5</c:v>
                </c:pt>
                <c:pt idx="48">
                  <c:v>1.5</c:v>
                </c:pt>
                <c:pt idx="49">
                  <c:v>1.5</c:v>
                </c:pt>
                <c:pt idx="50">
                  <c:v>1.5</c:v>
                </c:pt>
                <c:pt idx="51">
                  <c:v>1.5</c:v>
                </c:pt>
                <c:pt idx="52">
                  <c:v>1.5</c:v>
                </c:pt>
                <c:pt idx="53">
                  <c:v>1.5</c:v>
                </c:pt>
                <c:pt idx="54">
                  <c:v>1.5</c:v>
                </c:pt>
                <c:pt idx="55">
                  <c:v>1.5</c:v>
                </c:pt>
                <c:pt idx="56">
                  <c:v>1.5</c:v>
                </c:pt>
                <c:pt idx="57">
                  <c:v>1.5</c:v>
                </c:pt>
                <c:pt idx="58">
                  <c:v>1.5</c:v>
                </c:pt>
                <c:pt idx="59">
                  <c:v>1.5</c:v>
                </c:pt>
                <c:pt idx="60">
                  <c:v>1.5</c:v>
                </c:pt>
                <c:pt idx="61">
                  <c:v>1.5</c:v>
                </c:pt>
                <c:pt idx="62">
                  <c:v>1.5</c:v>
                </c:pt>
                <c:pt idx="63">
                  <c:v>1.5</c:v>
                </c:pt>
                <c:pt idx="64">
                  <c:v>1.5</c:v>
                </c:pt>
                <c:pt idx="65" formatCode="General">
                  <c:v>1.5</c:v>
                </c:pt>
                <c:pt idx="66" formatCode="General">
                  <c:v>1.5</c:v>
                </c:pt>
                <c:pt idx="67" formatCode="General">
                  <c:v>1.5</c:v>
                </c:pt>
                <c:pt idx="68">
                  <c:v>1.5</c:v>
                </c:pt>
                <c:pt idx="69">
                  <c:v>1.5</c:v>
                </c:pt>
                <c:pt idx="70">
                  <c:v>1.5</c:v>
                </c:pt>
                <c:pt idx="71">
                  <c:v>1.5</c:v>
                </c:pt>
                <c:pt idx="72">
                  <c:v>1.5</c:v>
                </c:pt>
                <c:pt idx="73">
                  <c:v>1.5</c:v>
                </c:pt>
                <c:pt idx="74">
                  <c:v>1.5</c:v>
                </c:pt>
                <c:pt idx="75">
                  <c:v>1.5</c:v>
                </c:pt>
                <c:pt idx="76">
                  <c:v>1.5</c:v>
                </c:pt>
                <c:pt idx="77">
                  <c:v>1.5</c:v>
                </c:pt>
                <c:pt idx="78">
                  <c:v>1.5</c:v>
                </c:pt>
                <c:pt idx="79">
                  <c:v>1.5</c:v>
                </c:pt>
                <c:pt idx="80">
                  <c:v>1.5</c:v>
                </c:pt>
                <c:pt idx="81">
                  <c:v>1.5</c:v>
                </c:pt>
                <c:pt idx="82">
                  <c:v>1.5</c:v>
                </c:pt>
                <c:pt idx="83">
                  <c:v>1.5</c:v>
                </c:pt>
                <c:pt idx="84">
                  <c:v>1.5</c:v>
                </c:pt>
                <c:pt idx="85">
                  <c:v>1.5</c:v>
                </c:pt>
                <c:pt idx="86">
                  <c:v>1.5</c:v>
                </c:pt>
                <c:pt idx="87">
                  <c:v>1.5</c:v>
                </c:pt>
                <c:pt idx="88">
                  <c:v>1.5</c:v>
                </c:pt>
                <c:pt idx="89">
                  <c:v>1.5</c:v>
                </c:pt>
                <c:pt idx="90">
                  <c:v>1.5</c:v>
                </c:pt>
                <c:pt idx="91">
                  <c:v>1.5</c:v>
                </c:pt>
                <c:pt idx="92">
                  <c:v>1.5</c:v>
                </c:pt>
                <c:pt idx="93">
                  <c:v>1.5</c:v>
                </c:pt>
                <c:pt idx="94">
                  <c:v>1.5</c:v>
                </c:pt>
                <c:pt idx="95">
                  <c:v>1.5</c:v>
                </c:pt>
                <c:pt idx="96">
                  <c:v>1.5</c:v>
                </c:pt>
                <c:pt idx="97">
                  <c:v>1.5</c:v>
                </c:pt>
                <c:pt idx="98">
                  <c:v>1.5</c:v>
                </c:pt>
                <c:pt idx="99">
                  <c:v>1.5</c:v>
                </c:pt>
                <c:pt idx="100">
                  <c:v>1.5</c:v>
                </c:pt>
                <c:pt idx="101">
                  <c:v>1.5</c:v>
                </c:pt>
                <c:pt idx="102">
                  <c:v>1.5</c:v>
                </c:pt>
                <c:pt idx="103">
                  <c:v>1.5</c:v>
                </c:pt>
                <c:pt idx="104">
                  <c:v>1.5</c:v>
                </c:pt>
                <c:pt idx="105" formatCode="General">
                  <c:v>1.5</c:v>
                </c:pt>
                <c:pt idx="106" formatCode="General">
                  <c:v>1.5</c:v>
                </c:pt>
                <c:pt idx="107" formatCode="General">
                  <c:v>1.5</c:v>
                </c:pt>
                <c:pt idx="108" formatCode="General">
                  <c:v>1.5</c:v>
                </c:pt>
                <c:pt idx="109" formatCode="General">
                  <c:v>1.5</c:v>
                </c:pt>
                <c:pt idx="110" formatCode="General">
                  <c:v>1.5</c:v>
                </c:pt>
                <c:pt idx="111" formatCode="General">
                  <c:v>1.5</c:v>
                </c:pt>
                <c:pt idx="112" formatCode="General">
                  <c:v>1.5</c:v>
                </c:pt>
                <c:pt idx="113" formatCode="General">
                  <c:v>1.5</c:v>
                </c:pt>
                <c:pt idx="114" formatCode="General">
                  <c:v>1.5</c:v>
                </c:pt>
                <c:pt idx="115" formatCode="General">
                  <c:v>1.5</c:v>
                </c:pt>
                <c:pt idx="116" formatCode="General">
                  <c:v>1.5</c:v>
                </c:pt>
              </c:numCache>
            </c:numRef>
          </c:val>
          <c:smooth val="0"/>
          <c:extLst>
            <c:ext xmlns:c16="http://schemas.microsoft.com/office/drawing/2014/chart" uri="{C3380CC4-5D6E-409C-BE32-E72D297353CC}">
              <c16:uniqueId val="{00000004-9F88-4021-ABA4-D57B606BCFE0}"/>
            </c:ext>
          </c:extLst>
        </c:ser>
        <c:ser>
          <c:idx val="5"/>
          <c:order val="5"/>
          <c:tx>
            <c:strRef>
              <c:f>Inflacija!$Z$3</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2.170047737570141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F88-4021-ABA4-D57B606BCFE0}"/>
                </c:ext>
              </c:extLst>
            </c:dLbl>
            <c:dLbl>
              <c:idx val="12"/>
              <c:layout>
                <c:manualLayout>
                  <c:x val="-2.1713261371275286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F88-4021-ABA4-D57B606BCFE0}"/>
                </c:ext>
              </c:extLst>
            </c:dLbl>
            <c:dLbl>
              <c:idx val="24"/>
              <c:layout>
                <c:manualLayout>
                  <c:x val="-2.0699064389079484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F88-4021-ABA4-D57B606BCFE0}"/>
                </c:ext>
              </c:extLst>
            </c:dLbl>
            <c:dLbl>
              <c:idx val="36"/>
              <c:layout>
                <c:manualLayout>
                  <c:x val="-2.1690534268032802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F88-4021-ABA4-D57B606BCFE0}"/>
                </c:ext>
              </c:extLst>
            </c:dLbl>
            <c:dLbl>
              <c:idx val="48"/>
              <c:layout>
                <c:manualLayout>
                  <c:x val="-2.068166395065946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F88-4021-ABA4-D57B606BCFE0}"/>
                </c:ext>
              </c:extLst>
            </c:dLbl>
            <c:dLbl>
              <c:idx val="60"/>
              <c:layout>
                <c:manualLayout>
                  <c:x val="-2.1690534268032802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F88-4021-ABA4-D57B606BCFE0}"/>
                </c:ext>
              </c:extLst>
            </c:dLbl>
            <c:dLbl>
              <c:idx val="72"/>
              <c:layout>
                <c:manualLayout>
                  <c:x val="-1.9029687633721565E-2"/>
                  <c:y val="3.579620927221682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F88-4021-ABA4-D57B606BCFE0}"/>
                </c:ext>
              </c:extLst>
            </c:dLbl>
            <c:dLbl>
              <c:idx val="84"/>
              <c:layout>
                <c:manualLayout>
                  <c:x val="-2.2446565561833522E-2"/>
                  <c:y val="3.552931189257716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F88-4021-ABA4-D57B606BCFE0}"/>
                </c:ext>
              </c:extLst>
            </c:dLbl>
            <c:dLbl>
              <c:idx val="96"/>
              <c:layout>
                <c:manualLayout>
                  <c:x val="-2.6234145881465415E-2"/>
                  <c:y val="3.620858926949618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F88-4021-ABA4-D57B606BCFE0}"/>
                </c:ext>
              </c:extLst>
            </c:dLbl>
            <c:dLbl>
              <c:idx val="108"/>
              <c:layout>
                <c:manualLayout>
                  <c:x val="-2.5366952346064987E-2"/>
                  <c:y val="3.6157095526551684E-2"/>
                </c:manualLayout>
              </c:layout>
              <c:tx>
                <c:rich>
                  <a:bodyPr/>
                  <a:lstStyle/>
                  <a:p>
                    <a:r>
                      <a:rPr lang="en-US"/>
                      <a:t>20</a:t>
                    </a:r>
                    <a:fld id="{49A815B4-0773-4D1E-BE1D-0FFD3774B37A}" type="CATEGORYNAME">
                      <a:rPr lang="en-US"/>
                      <a:pPr/>
                      <a:t>[CATEGORY NAME]</a:t>
                    </a:fld>
                    <a:endParaRPr lang="en-US"/>
                  </a:p>
                </c:rich>
              </c:tx>
              <c:dLblPos val="r"/>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E-9F88-4021-ABA4-D57B606BCFE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Inflacija!$Q$40:$Q$156</c:f>
              <c:numCache>
                <c:formatCode>yyyy</c:formatCode>
                <c:ptCount val="117"/>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pt idx="112" formatCode="yy">
                  <c:v>44682</c:v>
                </c:pt>
                <c:pt idx="113" formatCode="yy">
                  <c:v>44713</c:v>
                </c:pt>
                <c:pt idx="114" formatCode="yy">
                  <c:v>44743</c:v>
                </c:pt>
                <c:pt idx="115" formatCode="yy">
                  <c:v>44774</c:v>
                </c:pt>
                <c:pt idx="116" formatCode="yy">
                  <c:v>44805</c:v>
                </c:pt>
              </c:numCache>
            </c:numRef>
          </c:cat>
          <c:val>
            <c:numRef>
              <c:f>Inflacija!$Z$40:$Z$156</c:f>
              <c:numCache>
                <c:formatCode>General</c:formatCode>
                <c:ptCount val="117"/>
                <c:pt idx="0">
                  <c:v>0</c:v>
                </c:pt>
                <c:pt idx="12">
                  <c:v>0</c:v>
                </c:pt>
                <c:pt idx="24">
                  <c:v>0</c:v>
                </c:pt>
                <c:pt idx="36">
                  <c:v>0</c:v>
                </c:pt>
                <c:pt idx="48">
                  <c:v>0</c:v>
                </c:pt>
                <c:pt idx="60">
                  <c:v>0</c:v>
                </c:pt>
                <c:pt idx="72">
                  <c:v>0</c:v>
                </c:pt>
                <c:pt idx="84">
                  <c:v>0</c:v>
                </c:pt>
                <c:pt idx="96">
                  <c:v>0</c:v>
                </c:pt>
                <c:pt idx="108">
                  <c:v>0</c:v>
                </c:pt>
              </c:numCache>
            </c:numRef>
          </c:val>
          <c:smooth val="0"/>
          <c:extLst>
            <c:ext xmlns:c16="http://schemas.microsoft.com/office/drawing/2014/chart" uri="{C3380CC4-5D6E-409C-BE32-E72D297353CC}">
              <c16:uniqueId val="{0000000F-9F88-4021-ABA4-D57B606BCFE0}"/>
            </c:ext>
          </c:extLst>
        </c:ser>
        <c:dLbls>
          <c:showLegendKey val="0"/>
          <c:showVal val="0"/>
          <c:showCatName val="0"/>
          <c:showSerName val="0"/>
          <c:showPercent val="0"/>
          <c:showBubbleSize val="0"/>
        </c:dLbls>
        <c:smooth val="0"/>
        <c:axId val="2067917072"/>
        <c:axId val="2067937744"/>
      </c:lineChart>
      <c:catAx>
        <c:axId val="2067917072"/>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7744"/>
        <c:crosses val="autoZero"/>
        <c:auto val="0"/>
        <c:lblAlgn val="ctr"/>
        <c:lblOffset val="100"/>
        <c:tickLblSkip val="12"/>
        <c:tickMarkSkip val="1"/>
        <c:noMultiLvlLbl val="1"/>
      </c:catAx>
      <c:valAx>
        <c:axId val="2067937744"/>
        <c:scaling>
          <c:orientation val="minMax"/>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Latn-RS"/>
                  <a:t>%</a:t>
                </a:r>
                <a:endParaRPr lang="en-GB"/>
              </a:p>
            </c:rich>
          </c:tx>
          <c:layout>
            <c:manualLayout>
              <c:xMode val="edge"/>
              <c:yMode val="edge"/>
              <c:x val="8.3333333333333332E-3"/>
              <c:y val="0.34151501895596381"/>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17072"/>
        <c:crosses val="autoZero"/>
        <c:crossBetween val="midCat"/>
        <c:majorUnit val="2"/>
      </c:valAx>
      <c:spPr>
        <a:noFill/>
        <a:ln>
          <a:noFill/>
        </a:ln>
        <a:effectLst/>
      </c:spPr>
    </c:plotArea>
    <c:legend>
      <c:legendPos val="b"/>
      <c:legendEntry>
        <c:idx val="4"/>
        <c:delete val="1"/>
      </c:legendEntry>
      <c:legendEntry>
        <c:idx val="5"/>
        <c:delete val="1"/>
      </c:legendEntry>
      <c:layout>
        <c:manualLayout>
          <c:xMode val="edge"/>
          <c:yMode val="edge"/>
          <c:x val="5.2445156695156696E-2"/>
          <c:y val="0.75916055555555551"/>
          <c:w val="0.89270036496097616"/>
          <c:h val="0.2375377777777777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178986378388172E-2"/>
          <c:y val="5.3106332138590201E-2"/>
          <c:w val="0.80840046303318902"/>
          <c:h val="0.58882795698924728"/>
        </c:manualLayout>
      </c:layout>
      <c:barChart>
        <c:barDir val="col"/>
        <c:grouping val="stacked"/>
        <c:varyColors val="0"/>
        <c:ser>
          <c:idx val="0"/>
          <c:order val="0"/>
          <c:tx>
            <c:strRef>
              <c:f>NPL!$S$4</c:f>
              <c:strCache>
                <c:ptCount val="1"/>
                <c:pt idx="0">
                  <c:v>Привреда</c:v>
                </c:pt>
              </c:strCache>
            </c:strRef>
          </c:tx>
          <c:spPr>
            <a:solidFill>
              <a:srgbClr val="10103C"/>
            </a:solidFill>
            <a:ln>
              <a:noFill/>
            </a:ln>
            <a:effectLst/>
          </c:spPr>
          <c:invertIfNegative val="0"/>
          <c:cat>
            <c:strRef>
              <c:f>NPL!$Q$5:$Q$14</c:f>
              <c:strCache>
                <c:ptCount val="10"/>
                <c:pt idx="0">
                  <c:v>2013</c:v>
                </c:pt>
                <c:pt idx="1">
                  <c:v>2014</c:v>
                </c:pt>
                <c:pt idx="2">
                  <c:v>2015</c:v>
                </c:pt>
                <c:pt idx="3">
                  <c:v>2016</c:v>
                </c:pt>
                <c:pt idx="4">
                  <c:v>2017</c:v>
                </c:pt>
                <c:pt idx="5">
                  <c:v>2018</c:v>
                </c:pt>
                <c:pt idx="6">
                  <c:v>2019</c:v>
                </c:pt>
                <c:pt idx="7">
                  <c:v>2020</c:v>
                </c:pt>
                <c:pt idx="8">
                  <c:v>2021</c:v>
                </c:pt>
                <c:pt idx="9">
                  <c:v>VIII 2022</c:v>
                </c:pt>
              </c:strCache>
            </c:strRef>
          </c:cat>
          <c:val>
            <c:numRef>
              <c:f>NPL!$S$5:$S$14</c:f>
              <c:numCache>
                <c:formatCode>#,##0</c:formatCode>
                <c:ptCount val="10"/>
                <c:pt idx="0">
                  <c:v>238.4</c:v>
                </c:pt>
                <c:pt idx="1">
                  <c:v>248.4</c:v>
                </c:pt>
                <c:pt idx="2" formatCode="0">
                  <c:v>216.8</c:v>
                </c:pt>
                <c:pt idx="3" formatCode="0">
                  <c:v>172.8</c:v>
                </c:pt>
                <c:pt idx="4" formatCode="0">
                  <c:v>107.6</c:v>
                </c:pt>
                <c:pt idx="5" formatCode="0">
                  <c:v>56.849434000000002</c:v>
                </c:pt>
                <c:pt idx="6" formatCode="0">
                  <c:v>38.949154999999998</c:v>
                </c:pt>
                <c:pt idx="7" formatCode="0">
                  <c:v>41.826799999999999</c:v>
                </c:pt>
                <c:pt idx="8" formatCode="0">
                  <c:v>42.470480999999999</c:v>
                </c:pt>
              </c:numCache>
            </c:numRef>
          </c:val>
          <c:extLst>
            <c:ext xmlns:c16="http://schemas.microsoft.com/office/drawing/2014/chart" uri="{C3380CC4-5D6E-409C-BE32-E72D297353CC}">
              <c16:uniqueId val="{00000000-4BEB-4220-8F8B-2176E9E584CF}"/>
            </c:ext>
          </c:extLst>
        </c:ser>
        <c:ser>
          <c:idx val="1"/>
          <c:order val="1"/>
          <c:tx>
            <c:strRef>
              <c:f>NPL!$T$4</c:f>
              <c:strCache>
                <c:ptCount val="1"/>
                <c:pt idx="0">
                  <c:v>Становништво</c:v>
                </c:pt>
              </c:strCache>
            </c:strRef>
          </c:tx>
          <c:spPr>
            <a:solidFill>
              <a:srgbClr val="2183C4"/>
            </a:solidFill>
            <a:ln>
              <a:noFill/>
            </a:ln>
            <a:effectLst/>
          </c:spPr>
          <c:invertIfNegative val="0"/>
          <c:cat>
            <c:strRef>
              <c:f>NPL!$Q$5:$Q$14</c:f>
              <c:strCache>
                <c:ptCount val="10"/>
                <c:pt idx="0">
                  <c:v>2013</c:v>
                </c:pt>
                <c:pt idx="1">
                  <c:v>2014</c:v>
                </c:pt>
                <c:pt idx="2">
                  <c:v>2015</c:v>
                </c:pt>
                <c:pt idx="3">
                  <c:v>2016</c:v>
                </c:pt>
                <c:pt idx="4">
                  <c:v>2017</c:v>
                </c:pt>
                <c:pt idx="5">
                  <c:v>2018</c:v>
                </c:pt>
                <c:pt idx="6">
                  <c:v>2019</c:v>
                </c:pt>
                <c:pt idx="7">
                  <c:v>2020</c:v>
                </c:pt>
                <c:pt idx="8">
                  <c:v>2021</c:v>
                </c:pt>
                <c:pt idx="9">
                  <c:v>VIII 2022</c:v>
                </c:pt>
              </c:strCache>
            </c:strRef>
          </c:cat>
          <c:val>
            <c:numRef>
              <c:f>NPL!$T$5:$T$14</c:f>
              <c:numCache>
                <c:formatCode>#,##0</c:formatCode>
                <c:ptCount val="10"/>
                <c:pt idx="0">
                  <c:v>56.7</c:v>
                </c:pt>
                <c:pt idx="1">
                  <c:v>66.400000000000006</c:v>
                </c:pt>
                <c:pt idx="2" formatCode="0">
                  <c:v>73.400000000000006</c:v>
                </c:pt>
                <c:pt idx="3" formatCode="0">
                  <c:v>69.2</c:v>
                </c:pt>
                <c:pt idx="4" formatCode="0">
                  <c:v>45.4</c:v>
                </c:pt>
                <c:pt idx="5" formatCode="0">
                  <c:v>39.608241</c:v>
                </c:pt>
                <c:pt idx="6" formatCode="0">
                  <c:v>39.016837000000002</c:v>
                </c:pt>
                <c:pt idx="7" formatCode="0">
                  <c:v>40.746828000000001</c:v>
                </c:pt>
                <c:pt idx="8" formatCode="0">
                  <c:v>49.355854000000001</c:v>
                </c:pt>
              </c:numCache>
            </c:numRef>
          </c:val>
          <c:extLst>
            <c:ext xmlns:c16="http://schemas.microsoft.com/office/drawing/2014/chart" uri="{C3380CC4-5D6E-409C-BE32-E72D297353CC}">
              <c16:uniqueId val="{00000001-4BEB-4220-8F8B-2176E9E584CF}"/>
            </c:ext>
          </c:extLst>
        </c:ser>
        <c:ser>
          <c:idx val="2"/>
          <c:order val="2"/>
          <c:tx>
            <c:strRef>
              <c:f>NPL!$U$4</c:f>
              <c:strCache>
                <c:ptCount val="1"/>
                <c:pt idx="0">
                  <c:v>Остали</c:v>
                </c:pt>
              </c:strCache>
            </c:strRef>
          </c:tx>
          <c:spPr>
            <a:solidFill>
              <a:srgbClr val="51BBE7"/>
            </a:solidFill>
            <a:ln>
              <a:noFill/>
            </a:ln>
            <a:effectLst/>
          </c:spPr>
          <c:invertIfNegative val="0"/>
          <c:cat>
            <c:strRef>
              <c:f>NPL!$Q$5:$Q$14</c:f>
              <c:strCache>
                <c:ptCount val="10"/>
                <c:pt idx="0">
                  <c:v>2013</c:v>
                </c:pt>
                <c:pt idx="1">
                  <c:v>2014</c:v>
                </c:pt>
                <c:pt idx="2">
                  <c:v>2015</c:v>
                </c:pt>
                <c:pt idx="3">
                  <c:v>2016</c:v>
                </c:pt>
                <c:pt idx="4">
                  <c:v>2017</c:v>
                </c:pt>
                <c:pt idx="5">
                  <c:v>2018</c:v>
                </c:pt>
                <c:pt idx="6">
                  <c:v>2019</c:v>
                </c:pt>
                <c:pt idx="7">
                  <c:v>2020</c:v>
                </c:pt>
                <c:pt idx="8">
                  <c:v>2021</c:v>
                </c:pt>
                <c:pt idx="9">
                  <c:v>VIII 2022</c:v>
                </c:pt>
              </c:strCache>
            </c:strRef>
          </c:cat>
          <c:val>
            <c:numRef>
              <c:f>NPL!$U$5:$U$14</c:f>
              <c:numCache>
                <c:formatCode>#,##0</c:formatCode>
                <c:ptCount val="10"/>
                <c:pt idx="0">
                  <c:v>100.2</c:v>
                </c:pt>
                <c:pt idx="1">
                  <c:v>106.4</c:v>
                </c:pt>
                <c:pt idx="2" formatCode="0">
                  <c:v>134.4</c:v>
                </c:pt>
                <c:pt idx="3" formatCode="0">
                  <c:v>103.8</c:v>
                </c:pt>
                <c:pt idx="4" formatCode="0">
                  <c:v>51.9</c:v>
                </c:pt>
                <c:pt idx="5" formatCode="0">
                  <c:v>34.192292000000002</c:v>
                </c:pt>
                <c:pt idx="6" formatCode="0">
                  <c:v>23.450085000000001</c:v>
                </c:pt>
                <c:pt idx="7" formatCode="0">
                  <c:v>19.835072</c:v>
                </c:pt>
                <c:pt idx="8" formatCode="0">
                  <c:v>14.720295999999999</c:v>
                </c:pt>
              </c:numCache>
            </c:numRef>
          </c:val>
          <c:extLst>
            <c:ext xmlns:c16="http://schemas.microsoft.com/office/drawing/2014/chart" uri="{C3380CC4-5D6E-409C-BE32-E72D297353CC}">
              <c16:uniqueId val="{00000002-4BEB-4220-8F8B-2176E9E584CF}"/>
            </c:ext>
          </c:extLst>
        </c:ser>
        <c:dLbls>
          <c:showLegendKey val="0"/>
          <c:showVal val="0"/>
          <c:showCatName val="0"/>
          <c:showSerName val="0"/>
          <c:showPercent val="0"/>
          <c:showBubbleSize val="0"/>
        </c:dLbls>
        <c:gapWidth val="40"/>
        <c:overlap val="100"/>
        <c:axId val="1839178672"/>
        <c:axId val="1839199888"/>
      </c:barChart>
      <c:lineChart>
        <c:grouping val="standard"/>
        <c:varyColors val="0"/>
        <c:ser>
          <c:idx val="3"/>
          <c:order val="3"/>
          <c:tx>
            <c:strRef>
              <c:f>NPL!$V$4</c:f>
              <c:strCache>
                <c:ptCount val="1"/>
                <c:pt idx="0">
                  <c:v>NPL % (бруто)</c:v>
                </c:pt>
              </c:strCache>
            </c:strRef>
          </c:tx>
          <c:spPr>
            <a:ln w="25400" cap="rnd">
              <a:solidFill>
                <a:srgbClr val="FF0000"/>
              </a:solidFill>
              <a:round/>
            </a:ln>
            <a:effectLst/>
          </c:spPr>
          <c:marker>
            <c:symbol val="none"/>
          </c:marker>
          <c:dLbls>
            <c:spPr>
              <a:noFill/>
              <a:ln>
                <a:noFill/>
              </a:ln>
              <a:effectLst/>
            </c:spPr>
            <c:txPr>
              <a:bodyPr rot="0" spcFirstLastPara="1" vertOverflow="ellipsis" vert="horz" wrap="square" anchor="ctr" anchorCtr="1"/>
              <a:lstStyle/>
              <a:p>
                <a:pPr>
                  <a:defRPr sz="65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NPL!$Q$5:$Q$14</c:f>
              <c:strCache>
                <c:ptCount val="10"/>
                <c:pt idx="0">
                  <c:v>2013</c:v>
                </c:pt>
                <c:pt idx="1">
                  <c:v>2014</c:v>
                </c:pt>
                <c:pt idx="2">
                  <c:v>2015</c:v>
                </c:pt>
                <c:pt idx="3">
                  <c:v>2016</c:v>
                </c:pt>
                <c:pt idx="4">
                  <c:v>2017</c:v>
                </c:pt>
                <c:pt idx="5">
                  <c:v>2018</c:v>
                </c:pt>
                <c:pt idx="6">
                  <c:v>2019</c:v>
                </c:pt>
                <c:pt idx="7">
                  <c:v>2020</c:v>
                </c:pt>
                <c:pt idx="8">
                  <c:v>2021</c:v>
                </c:pt>
                <c:pt idx="9">
                  <c:v>VIII 2022</c:v>
                </c:pt>
              </c:strCache>
            </c:strRef>
          </c:cat>
          <c:val>
            <c:numRef>
              <c:f>NPL!$V$5:$V$14</c:f>
              <c:numCache>
                <c:formatCode>0.0%</c:formatCode>
                <c:ptCount val="10"/>
                <c:pt idx="0">
                  <c:v>0.2137</c:v>
                </c:pt>
                <c:pt idx="1">
                  <c:v>0.21539999999999998</c:v>
                </c:pt>
                <c:pt idx="2">
                  <c:v>0.216</c:v>
                </c:pt>
                <c:pt idx="3">
                  <c:v>0.17030000000000001</c:v>
                </c:pt>
                <c:pt idx="4">
                  <c:v>9.8500000000000004E-2</c:v>
                </c:pt>
                <c:pt idx="5">
                  <c:v>5.7000000000000002E-2</c:v>
                </c:pt>
                <c:pt idx="6">
                  <c:v>4.1000000000000002E-2</c:v>
                </c:pt>
                <c:pt idx="7">
                  <c:v>3.6999999999999998E-2</c:v>
                </c:pt>
                <c:pt idx="8">
                  <c:v>3.5999999999999997E-2</c:v>
                </c:pt>
                <c:pt idx="9">
                  <c:v>3.2000000000000001E-2</c:v>
                </c:pt>
              </c:numCache>
            </c:numRef>
          </c:val>
          <c:smooth val="0"/>
          <c:extLst>
            <c:ext xmlns:c16="http://schemas.microsoft.com/office/drawing/2014/chart" uri="{C3380CC4-5D6E-409C-BE32-E72D297353CC}">
              <c16:uniqueId val="{00000003-4BEB-4220-8F8B-2176E9E584CF}"/>
            </c:ext>
          </c:extLst>
        </c:ser>
        <c:dLbls>
          <c:showLegendKey val="0"/>
          <c:showVal val="0"/>
          <c:showCatName val="0"/>
          <c:showSerName val="0"/>
          <c:showPercent val="0"/>
          <c:showBubbleSize val="0"/>
        </c:dLbls>
        <c:marker val="1"/>
        <c:smooth val="0"/>
        <c:axId val="1839198256"/>
        <c:axId val="1839197712"/>
      </c:lineChart>
      <c:catAx>
        <c:axId val="1839178672"/>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9888"/>
        <c:crosses val="autoZero"/>
        <c:auto val="1"/>
        <c:lblAlgn val="ctr"/>
        <c:lblOffset val="100"/>
        <c:noMultiLvlLbl val="0"/>
      </c:catAx>
      <c:valAx>
        <c:axId val="1839199888"/>
        <c:scaling>
          <c:orientation val="minMax"/>
          <c:max val="450"/>
          <c:min val="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78672"/>
        <c:crosses val="autoZero"/>
        <c:crossBetween val="between"/>
        <c:majorUnit val="100"/>
      </c:valAx>
      <c:valAx>
        <c:axId val="1839197712"/>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8256"/>
        <c:crosses val="max"/>
        <c:crossBetween val="between"/>
      </c:valAx>
      <c:catAx>
        <c:axId val="1839198256"/>
        <c:scaling>
          <c:orientation val="minMax"/>
        </c:scaling>
        <c:delete val="1"/>
        <c:axPos val="b"/>
        <c:numFmt formatCode="General" sourceLinked="1"/>
        <c:majorTickMark val="out"/>
        <c:minorTickMark val="none"/>
        <c:tickLblPos val="nextTo"/>
        <c:crossAx val="1839197712"/>
        <c:crosses val="autoZero"/>
        <c:auto val="1"/>
        <c:lblAlgn val="ctr"/>
        <c:lblOffset val="100"/>
        <c:noMultiLvlLbl val="0"/>
      </c:catAx>
      <c:spPr>
        <a:noFill/>
        <a:ln>
          <a:noFill/>
        </a:ln>
        <a:effectLst/>
      </c:spPr>
    </c:plotArea>
    <c:legend>
      <c:legendPos val="b"/>
      <c:layout>
        <c:manualLayout>
          <c:xMode val="edge"/>
          <c:yMode val="edge"/>
          <c:x val="0.12016185476815398"/>
          <c:y val="0.82833811230585419"/>
          <c:w val="0.79208369787109945"/>
          <c:h val="0.1489020310633213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067586007101372E-2"/>
          <c:y val="5.6338028169014086E-2"/>
          <c:w val="0.79899510791436967"/>
          <c:h val="0.65544933643857894"/>
        </c:manualLayout>
      </c:layout>
      <c:barChart>
        <c:barDir val="col"/>
        <c:grouping val="clustered"/>
        <c:varyColors val="0"/>
        <c:ser>
          <c:idx val="1"/>
          <c:order val="1"/>
          <c:tx>
            <c:strRef>
              <c:f>'Devizni kurs'!$V$2</c:f>
              <c:strCache>
                <c:ptCount val="1"/>
                <c:pt idx="0">
                  <c:v>Интервенције НБС, нето продаја, мил. евра (десна скала)</c:v>
                </c:pt>
              </c:strCache>
            </c:strRef>
          </c:tx>
          <c:spPr>
            <a:solidFill>
              <a:srgbClr val="29489A"/>
            </a:solidFill>
            <a:ln>
              <a:noFill/>
            </a:ln>
            <a:effectLst/>
          </c:spPr>
          <c:invertIfNegative val="0"/>
          <c:cat>
            <c:numRef>
              <c:f>'Devizni kurs'!$Q$39:$Q$143</c:f>
              <c:numCache>
                <c:formatCode>yyyy</c:formatCode>
                <c:ptCount val="105"/>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pt idx="100" formatCode="yy">
                  <c:v>44682</c:v>
                </c:pt>
                <c:pt idx="101" formatCode="yy">
                  <c:v>44713</c:v>
                </c:pt>
                <c:pt idx="102" formatCode="yy">
                  <c:v>44743</c:v>
                </c:pt>
                <c:pt idx="103" formatCode="yy">
                  <c:v>44774</c:v>
                </c:pt>
                <c:pt idx="104" formatCode="yy">
                  <c:v>44805</c:v>
                </c:pt>
              </c:numCache>
            </c:numRef>
          </c:cat>
          <c:val>
            <c:numRef>
              <c:f>'Devizni kurs'!$V$39:$V$143</c:f>
              <c:numCache>
                <c:formatCode>General</c:formatCode>
                <c:ptCount val="105"/>
                <c:pt idx="0">
                  <c:v>330</c:v>
                </c:pt>
                <c:pt idx="1">
                  <c:v>280</c:v>
                </c:pt>
                <c:pt idx="2">
                  <c:v>190</c:v>
                </c:pt>
                <c:pt idx="3">
                  <c:v>-110</c:v>
                </c:pt>
                <c:pt idx="4">
                  <c:v>-20</c:v>
                </c:pt>
                <c:pt idx="5" formatCode="0">
                  <c:v>-40</c:v>
                </c:pt>
                <c:pt idx="6">
                  <c:v>30</c:v>
                </c:pt>
                <c:pt idx="7">
                  <c:v>60</c:v>
                </c:pt>
                <c:pt idx="8">
                  <c:v>135</c:v>
                </c:pt>
                <c:pt idx="9">
                  <c:v>140</c:v>
                </c:pt>
                <c:pt idx="10">
                  <c:v>250</c:v>
                </c:pt>
                <c:pt idx="11">
                  <c:v>375</c:v>
                </c:pt>
                <c:pt idx="12">
                  <c:v>90</c:v>
                </c:pt>
                <c:pt idx="13">
                  <c:v>-140</c:v>
                </c:pt>
                <c:pt idx="14">
                  <c:v>-120</c:v>
                </c:pt>
                <c:pt idx="15">
                  <c:v>-110</c:v>
                </c:pt>
                <c:pt idx="16">
                  <c:v>0</c:v>
                </c:pt>
                <c:pt idx="17">
                  <c:v>-10</c:v>
                </c:pt>
                <c:pt idx="18">
                  <c:v>-230</c:v>
                </c:pt>
                <c:pt idx="19">
                  <c:v>-130</c:v>
                </c:pt>
                <c:pt idx="20">
                  <c:v>-80</c:v>
                </c:pt>
                <c:pt idx="21">
                  <c:v>-60</c:v>
                </c:pt>
                <c:pt idx="22">
                  <c:v>0</c:v>
                </c:pt>
                <c:pt idx="23">
                  <c:v>270</c:v>
                </c:pt>
                <c:pt idx="24">
                  <c:v>290</c:v>
                </c:pt>
                <c:pt idx="25">
                  <c:v>100</c:v>
                </c:pt>
                <c:pt idx="26">
                  <c:v>175</c:v>
                </c:pt>
                <c:pt idx="27">
                  <c:v>140</c:v>
                </c:pt>
                <c:pt idx="28">
                  <c:v>65</c:v>
                </c:pt>
                <c:pt idx="29">
                  <c:v>50</c:v>
                </c:pt>
                <c:pt idx="30">
                  <c:v>-355</c:v>
                </c:pt>
                <c:pt idx="31">
                  <c:v>-90</c:v>
                </c:pt>
                <c:pt idx="32">
                  <c:v>-30</c:v>
                </c:pt>
                <c:pt idx="33">
                  <c:v>-135</c:v>
                </c:pt>
                <c:pt idx="34">
                  <c:v>-60</c:v>
                </c:pt>
                <c:pt idx="35">
                  <c:v>10</c:v>
                </c:pt>
                <c:pt idx="36">
                  <c:v>225</c:v>
                </c:pt>
                <c:pt idx="37">
                  <c:v>105</c:v>
                </c:pt>
                <c:pt idx="38">
                  <c:v>15</c:v>
                </c:pt>
                <c:pt idx="39">
                  <c:v>-40</c:v>
                </c:pt>
                <c:pt idx="40">
                  <c:v>-120</c:v>
                </c:pt>
                <c:pt idx="41">
                  <c:v>-345</c:v>
                </c:pt>
                <c:pt idx="42">
                  <c:v>-165</c:v>
                </c:pt>
                <c:pt idx="43">
                  <c:v>-290</c:v>
                </c:pt>
                <c:pt idx="44">
                  <c:v>-150</c:v>
                </c:pt>
                <c:pt idx="45">
                  <c:v>-15</c:v>
                </c:pt>
                <c:pt idx="46">
                  <c:v>-50</c:v>
                </c:pt>
                <c:pt idx="47">
                  <c:v>135</c:v>
                </c:pt>
                <c:pt idx="48">
                  <c:v>180</c:v>
                </c:pt>
                <c:pt idx="49">
                  <c:v>-180</c:v>
                </c:pt>
                <c:pt idx="50">
                  <c:v>-400</c:v>
                </c:pt>
                <c:pt idx="51">
                  <c:v>-205</c:v>
                </c:pt>
                <c:pt idx="52">
                  <c:v>-220</c:v>
                </c:pt>
                <c:pt idx="53">
                  <c:v>-365</c:v>
                </c:pt>
                <c:pt idx="54">
                  <c:v>-220</c:v>
                </c:pt>
                <c:pt idx="55">
                  <c:v>-190</c:v>
                </c:pt>
                <c:pt idx="56">
                  <c:v>5</c:v>
                </c:pt>
                <c:pt idx="57">
                  <c:v>30</c:v>
                </c:pt>
                <c:pt idx="58">
                  <c:v>-15</c:v>
                </c:pt>
                <c:pt idx="59">
                  <c:v>0</c:v>
                </c:pt>
                <c:pt idx="60">
                  <c:v>130</c:v>
                </c:pt>
                <c:pt idx="61">
                  <c:v>-30</c:v>
                </c:pt>
                <c:pt idx="62">
                  <c:v>-135</c:v>
                </c:pt>
                <c:pt idx="63">
                  <c:v>-75</c:v>
                </c:pt>
                <c:pt idx="64" formatCode="0">
                  <c:v>-110</c:v>
                </c:pt>
                <c:pt idx="65" formatCode="0">
                  <c:v>-735</c:v>
                </c:pt>
                <c:pt idx="66" formatCode="0">
                  <c:v>-645</c:v>
                </c:pt>
                <c:pt idx="67" formatCode="0">
                  <c:v>-105</c:v>
                </c:pt>
                <c:pt idx="68" formatCode="0">
                  <c:v>-410</c:v>
                </c:pt>
                <c:pt idx="69">
                  <c:v>-235</c:v>
                </c:pt>
                <c:pt idx="70">
                  <c:v>0</c:v>
                </c:pt>
                <c:pt idx="71">
                  <c:v>-355</c:v>
                </c:pt>
                <c:pt idx="72">
                  <c:v>-15</c:v>
                </c:pt>
                <c:pt idx="73">
                  <c:v>65</c:v>
                </c:pt>
                <c:pt idx="74">
                  <c:v>135</c:v>
                </c:pt>
                <c:pt idx="75">
                  <c:v>440</c:v>
                </c:pt>
                <c:pt idx="76">
                  <c:v>250</c:v>
                </c:pt>
                <c:pt idx="77">
                  <c:v>155</c:v>
                </c:pt>
                <c:pt idx="78">
                  <c:v>325</c:v>
                </c:pt>
                <c:pt idx="79">
                  <c:v>160</c:v>
                </c:pt>
                <c:pt idx="80">
                  <c:v>120</c:v>
                </c:pt>
                <c:pt idx="81">
                  <c:v>100</c:v>
                </c:pt>
                <c:pt idx="82">
                  <c:v>-115</c:v>
                </c:pt>
                <c:pt idx="83">
                  <c:v>-170</c:v>
                </c:pt>
                <c:pt idx="84">
                  <c:v>105</c:v>
                </c:pt>
                <c:pt idx="85">
                  <c:v>-55</c:v>
                </c:pt>
                <c:pt idx="86">
                  <c:v>0</c:v>
                </c:pt>
                <c:pt idx="87">
                  <c:v>0</c:v>
                </c:pt>
                <c:pt idx="88">
                  <c:v>-45</c:v>
                </c:pt>
                <c:pt idx="89">
                  <c:v>-325</c:v>
                </c:pt>
                <c:pt idx="90">
                  <c:v>-380</c:v>
                </c:pt>
                <c:pt idx="91">
                  <c:v>-265</c:v>
                </c:pt>
                <c:pt idx="92">
                  <c:v>-135</c:v>
                </c:pt>
                <c:pt idx="93">
                  <c:v>140</c:v>
                </c:pt>
                <c:pt idx="94">
                  <c:v>110</c:v>
                </c:pt>
                <c:pt idx="95">
                  <c:v>205</c:v>
                </c:pt>
                <c:pt idx="96">
                  <c:v>340</c:v>
                </c:pt>
                <c:pt idx="97">
                  <c:v>605</c:v>
                </c:pt>
                <c:pt idx="98">
                  <c:v>1170</c:v>
                </c:pt>
                <c:pt idx="99">
                  <c:v>155</c:v>
                </c:pt>
                <c:pt idx="100">
                  <c:v>-75</c:v>
                </c:pt>
                <c:pt idx="101">
                  <c:v>-405</c:v>
                </c:pt>
                <c:pt idx="102">
                  <c:v>-435</c:v>
                </c:pt>
                <c:pt idx="103">
                  <c:v>-450</c:v>
                </c:pt>
                <c:pt idx="104">
                  <c:v>-480</c:v>
                </c:pt>
              </c:numCache>
            </c:numRef>
          </c:val>
          <c:extLst>
            <c:ext xmlns:c16="http://schemas.microsoft.com/office/drawing/2014/chart" uri="{C3380CC4-5D6E-409C-BE32-E72D297353CC}">
              <c16:uniqueId val="{00000000-1BB1-424A-90AB-13437EA75FD3}"/>
            </c:ext>
          </c:extLst>
        </c:ser>
        <c:dLbls>
          <c:showLegendKey val="0"/>
          <c:showVal val="0"/>
          <c:showCatName val="0"/>
          <c:showSerName val="0"/>
          <c:showPercent val="0"/>
          <c:showBubbleSize val="0"/>
        </c:dLbls>
        <c:gapWidth val="30"/>
        <c:axId val="1839186832"/>
        <c:axId val="1839203696"/>
      </c:barChart>
      <c:lineChart>
        <c:grouping val="standard"/>
        <c:varyColors val="0"/>
        <c:ser>
          <c:idx val="0"/>
          <c:order val="0"/>
          <c:tx>
            <c:strRef>
              <c:f>'Devizni kurs'!$U$2</c:f>
              <c:strCache>
                <c:ptCount val="1"/>
                <c:pt idx="0">
                  <c:v>Просечан девизни курс ЕУР/РСД</c:v>
                </c:pt>
              </c:strCache>
            </c:strRef>
          </c:tx>
          <c:spPr>
            <a:ln w="22225" cap="rnd">
              <a:solidFill>
                <a:srgbClr val="FF0000"/>
              </a:solidFill>
              <a:round/>
            </a:ln>
            <a:effectLst/>
          </c:spPr>
          <c:marker>
            <c:symbol val="none"/>
          </c:marker>
          <c:cat>
            <c:numRef>
              <c:f>'Devizni kurs'!$Q$39:$Q$143</c:f>
              <c:numCache>
                <c:formatCode>yyyy</c:formatCode>
                <c:ptCount val="105"/>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pt idx="100" formatCode="yy">
                  <c:v>44682</c:v>
                </c:pt>
                <c:pt idx="101" formatCode="yy">
                  <c:v>44713</c:v>
                </c:pt>
                <c:pt idx="102" formatCode="yy">
                  <c:v>44743</c:v>
                </c:pt>
                <c:pt idx="103" formatCode="yy">
                  <c:v>44774</c:v>
                </c:pt>
                <c:pt idx="104" formatCode="yy">
                  <c:v>44805</c:v>
                </c:pt>
              </c:numCache>
            </c:numRef>
          </c:cat>
          <c:val>
            <c:numRef>
              <c:f>'Devizni kurs'!$U$39:$U$143</c:f>
              <c:numCache>
                <c:formatCode>0.00</c:formatCode>
                <c:ptCount val="105"/>
                <c:pt idx="0">
                  <c:v>115.50068000000002</c:v>
                </c:pt>
                <c:pt idx="1">
                  <c:v>115.89948421052632</c:v>
                </c:pt>
                <c:pt idx="2">
                  <c:v>115.84343333333334</c:v>
                </c:pt>
                <c:pt idx="3">
                  <c:v>115.5407</c:v>
                </c:pt>
                <c:pt idx="4">
                  <c:v>115.65779999999999</c:v>
                </c:pt>
                <c:pt idx="5">
                  <c:v>115.5341</c:v>
                </c:pt>
                <c:pt idx="6">
                  <c:v>116.22490000000001</c:v>
                </c:pt>
                <c:pt idx="7">
                  <c:v>117.3078</c:v>
                </c:pt>
                <c:pt idx="8">
                  <c:v>118.61799999999999</c:v>
                </c:pt>
                <c:pt idx="9">
                  <c:v>119.3497</c:v>
                </c:pt>
                <c:pt idx="10">
                  <c:v>119.9829</c:v>
                </c:pt>
                <c:pt idx="11">
                  <c:v>121.53</c:v>
                </c:pt>
                <c:pt idx="12">
                  <c:v>122.62</c:v>
                </c:pt>
                <c:pt idx="13">
                  <c:v>121.58</c:v>
                </c:pt>
                <c:pt idx="14">
                  <c:v>120.47</c:v>
                </c:pt>
                <c:pt idx="15">
                  <c:v>120.17</c:v>
                </c:pt>
                <c:pt idx="16">
                  <c:v>120.59</c:v>
                </c:pt>
                <c:pt idx="17">
                  <c:v>120.55517727272726</c:v>
                </c:pt>
                <c:pt idx="18">
                  <c:v>120.21342173913044</c:v>
                </c:pt>
                <c:pt idx="19">
                  <c:v>120.22183333333331</c:v>
                </c:pt>
                <c:pt idx="20">
                  <c:v>120.18703181818181</c:v>
                </c:pt>
                <c:pt idx="21">
                  <c:v>120.07991818181817</c:v>
                </c:pt>
                <c:pt idx="22">
                  <c:v>120.65054000000001</c:v>
                </c:pt>
                <c:pt idx="23">
                  <c:v>121.75174782608696</c:v>
                </c:pt>
                <c:pt idx="24">
                  <c:v>122.54524736842107</c:v>
                </c:pt>
                <c:pt idx="25">
                  <c:v>122.87654736842104</c:v>
                </c:pt>
                <c:pt idx="26">
                  <c:v>123.13206956521738</c:v>
                </c:pt>
                <c:pt idx="27">
                  <c:v>122.80799500000001</c:v>
                </c:pt>
                <c:pt idx="28">
                  <c:v>122.82450500000002</c:v>
                </c:pt>
                <c:pt idx="29">
                  <c:v>123.40000909090909</c:v>
                </c:pt>
                <c:pt idx="30">
                  <c:v>123.34886190476189</c:v>
                </c:pt>
                <c:pt idx="31">
                  <c:v>123.30531739130437</c:v>
                </c:pt>
                <c:pt idx="32">
                  <c:v>123.23121818181816</c:v>
                </c:pt>
                <c:pt idx="33">
                  <c:v>123.17817142857142</c:v>
                </c:pt>
                <c:pt idx="34">
                  <c:v>123.18741904761906</c:v>
                </c:pt>
                <c:pt idx="35">
                  <c:v>123.42</c:v>
                </c:pt>
                <c:pt idx="36">
                  <c:v>123.8</c:v>
                </c:pt>
                <c:pt idx="37">
                  <c:v>123.94</c:v>
                </c:pt>
                <c:pt idx="38">
                  <c:v>123.89</c:v>
                </c:pt>
                <c:pt idx="39">
                  <c:v>123.66</c:v>
                </c:pt>
                <c:pt idx="40">
                  <c:v>123.05</c:v>
                </c:pt>
                <c:pt idx="41">
                  <c:v>122.02</c:v>
                </c:pt>
                <c:pt idx="42">
                  <c:v>120.42</c:v>
                </c:pt>
                <c:pt idx="43">
                  <c:v>119.57</c:v>
                </c:pt>
                <c:pt idx="44">
                  <c:v>119.2957</c:v>
                </c:pt>
                <c:pt idx="45">
                  <c:v>119.2818</c:v>
                </c:pt>
                <c:pt idx="46">
                  <c:v>118.89884545454547</c:v>
                </c:pt>
                <c:pt idx="47">
                  <c:v>119.13943333333332</c:v>
                </c:pt>
                <c:pt idx="48">
                  <c:v>118.61770952380952</c:v>
                </c:pt>
                <c:pt idx="49">
                  <c:v>118.39149999999999</c:v>
                </c:pt>
                <c:pt idx="50">
                  <c:v>118.2688</c:v>
                </c:pt>
                <c:pt idx="51">
                  <c:v>118.19159999999999</c:v>
                </c:pt>
                <c:pt idx="52">
                  <c:v>118.18894761904762</c:v>
                </c:pt>
                <c:pt idx="53">
                  <c:v>118.13484285714287</c:v>
                </c:pt>
                <c:pt idx="54">
                  <c:v>118.04732272727273</c:v>
                </c:pt>
                <c:pt idx="55">
                  <c:v>118.10411304347828</c:v>
                </c:pt>
                <c:pt idx="56">
                  <c:v>118.278565</c:v>
                </c:pt>
                <c:pt idx="57">
                  <c:v>118.43672608695648</c:v>
                </c:pt>
                <c:pt idx="58">
                  <c:v>118.34287619047618</c:v>
                </c:pt>
                <c:pt idx="59">
                  <c:v>118.27724285714282</c:v>
                </c:pt>
                <c:pt idx="60">
                  <c:v>118.41</c:v>
                </c:pt>
                <c:pt idx="61">
                  <c:v>118.24</c:v>
                </c:pt>
                <c:pt idx="62">
                  <c:v>118.04</c:v>
                </c:pt>
                <c:pt idx="63">
                  <c:v>117.99</c:v>
                </c:pt>
                <c:pt idx="64">
                  <c:v>117.96469999999999</c:v>
                </c:pt>
                <c:pt idx="65">
                  <c:v>117.93766999999998</c:v>
                </c:pt>
                <c:pt idx="66">
                  <c:v>117.78449999999999</c:v>
                </c:pt>
                <c:pt idx="67">
                  <c:v>117.777</c:v>
                </c:pt>
                <c:pt idx="68">
                  <c:v>117.5958</c:v>
                </c:pt>
                <c:pt idx="69">
                  <c:v>117.5453</c:v>
                </c:pt>
                <c:pt idx="70">
                  <c:v>117.51315499999998</c:v>
                </c:pt>
                <c:pt idx="71">
                  <c:v>117.54</c:v>
                </c:pt>
                <c:pt idx="72">
                  <c:v>117.5643</c:v>
                </c:pt>
                <c:pt idx="73">
                  <c:v>117.57170000000001</c:v>
                </c:pt>
                <c:pt idx="74">
                  <c:v>117.5625</c:v>
                </c:pt>
                <c:pt idx="75">
                  <c:v>117.5694</c:v>
                </c:pt>
                <c:pt idx="76">
                  <c:v>117.5913</c:v>
                </c:pt>
                <c:pt idx="77">
                  <c:v>117.5852</c:v>
                </c:pt>
                <c:pt idx="78">
                  <c:v>117.58579130434782</c:v>
                </c:pt>
                <c:pt idx="79">
                  <c:v>117.58645238095237</c:v>
                </c:pt>
                <c:pt idx="80">
                  <c:v>117.58302727272726</c:v>
                </c:pt>
                <c:pt idx="81" formatCode="General">
                  <c:v>117.58</c:v>
                </c:pt>
                <c:pt idx="82">
                  <c:v>117.57380000000001</c:v>
                </c:pt>
                <c:pt idx="83">
                  <c:v>117.57769999999999</c:v>
                </c:pt>
                <c:pt idx="84">
                  <c:v>117.58203684210527</c:v>
                </c:pt>
                <c:pt idx="85">
                  <c:v>117.57634999999998</c:v>
                </c:pt>
                <c:pt idx="86">
                  <c:v>117.57657826086957</c:v>
                </c:pt>
                <c:pt idx="87">
                  <c:v>117.57283333333332</c:v>
                </c:pt>
                <c:pt idx="88">
                  <c:v>117.57888421052631</c:v>
                </c:pt>
                <c:pt idx="89">
                  <c:v>117.57026363636363</c:v>
                </c:pt>
                <c:pt idx="90">
                  <c:v>117.56288181818182</c:v>
                </c:pt>
                <c:pt idx="91">
                  <c:v>117.56745909090908</c:v>
                </c:pt>
                <c:pt idx="92">
                  <c:v>117.5668</c:v>
                </c:pt>
                <c:pt idx="93">
                  <c:v>117.56744285714285</c:v>
                </c:pt>
                <c:pt idx="94">
                  <c:v>117.58056666666668</c:v>
                </c:pt>
                <c:pt idx="95">
                  <c:v>117.58005217391303</c:v>
                </c:pt>
                <c:pt idx="96">
                  <c:v>117.58427894736842</c:v>
                </c:pt>
                <c:pt idx="97">
                  <c:v>117.59068333333335</c:v>
                </c:pt>
                <c:pt idx="98">
                  <c:v>117.67664782608693</c:v>
                </c:pt>
                <c:pt idx="99">
                  <c:v>117.72751578947369</c:v>
                </c:pt>
                <c:pt idx="100">
                  <c:v>117.55720999999998</c:v>
                </c:pt>
                <c:pt idx="101">
                  <c:v>117.42971363636362</c:v>
                </c:pt>
                <c:pt idx="102">
                  <c:v>117.39375714285714</c:v>
                </c:pt>
                <c:pt idx="103">
                  <c:v>117.35496086956519</c:v>
                </c:pt>
                <c:pt idx="104">
                  <c:v>117.32463636363637</c:v>
                </c:pt>
              </c:numCache>
            </c:numRef>
          </c:val>
          <c:smooth val="0"/>
          <c:extLst>
            <c:ext xmlns:c16="http://schemas.microsoft.com/office/drawing/2014/chart" uri="{C3380CC4-5D6E-409C-BE32-E72D297353CC}">
              <c16:uniqueId val="{00000001-1BB1-424A-90AB-13437EA75FD3}"/>
            </c:ext>
          </c:extLst>
        </c:ser>
        <c:ser>
          <c:idx val="2"/>
          <c:order val="2"/>
          <c:tx>
            <c:strRef>
              <c:f>'Devizni kurs'!$W$2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1.9343465382005237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BB1-424A-90AB-13437EA75FD3}"/>
                </c:ext>
              </c:extLst>
            </c:dLbl>
            <c:dLbl>
              <c:idx val="12"/>
              <c:layout>
                <c:manualLayout>
                  <c:x val="-1.9364581907361119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BB1-424A-90AB-13437EA75FD3}"/>
                </c:ext>
              </c:extLst>
            </c:dLbl>
            <c:dLbl>
              <c:idx val="24"/>
              <c:layout>
                <c:manualLayout>
                  <c:x val="-1.9360577049103975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BB1-424A-90AB-13437EA75FD3}"/>
                </c:ext>
              </c:extLst>
            </c:dLbl>
            <c:dLbl>
              <c:idx val="36"/>
              <c:layout>
                <c:manualLayout>
                  <c:x val="-2.3982547555871456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BB1-424A-90AB-13437EA75FD3}"/>
                </c:ext>
              </c:extLst>
            </c:dLbl>
            <c:dLbl>
              <c:idx val="48"/>
              <c:layout>
                <c:manualLayout>
                  <c:x val="-2.0142252565293752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BB1-424A-90AB-13437EA75FD3}"/>
                </c:ext>
              </c:extLst>
            </c:dLbl>
            <c:dLbl>
              <c:idx val="60"/>
              <c:layout>
                <c:manualLayout>
                  <c:x val="-2.0803054177722501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BB1-424A-90AB-13437EA75FD3}"/>
                </c:ext>
              </c:extLst>
            </c:dLbl>
            <c:dLbl>
              <c:idx val="72"/>
              <c:layout>
                <c:manualLayout>
                  <c:x val="-2.1343345964413642E-2"/>
                  <c:y val="3.790456167555141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BB1-424A-90AB-13437EA75FD3}"/>
                </c:ext>
              </c:extLst>
            </c:dLbl>
            <c:dLbl>
              <c:idx val="84"/>
              <c:layout>
                <c:manualLayout>
                  <c:x val="-2.2236793433780117E-2"/>
                  <c:y val="3.752938672273084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BB1-424A-90AB-13437EA75FD3}"/>
                </c:ext>
              </c:extLst>
            </c:dLbl>
            <c:dLbl>
              <c:idx val="96"/>
              <c:layout>
                <c:manualLayout>
                  <c:x val="-3.1481481481481478E-2"/>
                  <c:y val="3.7950106703951728E-2"/>
                </c:manualLayout>
              </c:layout>
              <c:tx>
                <c:rich>
                  <a:bodyPr/>
                  <a:lstStyle/>
                  <a:p>
                    <a:r>
                      <a:rPr lang="en-US"/>
                      <a:t>20</a:t>
                    </a:r>
                    <a:fld id="{9E091F39-C69A-4ADA-A850-62877071C232}" type="CATEGORYNAME">
                      <a:rPr lang="en-US"/>
                      <a:pPr/>
                      <a:t>[CATEGORY NAME]</a:t>
                    </a:fld>
                    <a:endParaRPr lang="en-US"/>
                  </a:p>
                </c:rich>
              </c:tx>
              <c:dLblPos val="r"/>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1BB1-424A-90AB-13437EA75FD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'Devizni kurs'!$Q$39:$Q$143</c:f>
              <c:numCache>
                <c:formatCode>yyyy</c:formatCode>
                <c:ptCount val="105"/>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pt idx="100" formatCode="yy">
                  <c:v>44682</c:v>
                </c:pt>
                <c:pt idx="101" formatCode="yy">
                  <c:v>44713</c:v>
                </c:pt>
                <c:pt idx="102" formatCode="yy">
                  <c:v>44743</c:v>
                </c:pt>
                <c:pt idx="103" formatCode="yy">
                  <c:v>44774</c:v>
                </c:pt>
                <c:pt idx="104" formatCode="yy">
                  <c:v>44805</c:v>
                </c:pt>
              </c:numCache>
            </c:numRef>
          </c:cat>
          <c:val>
            <c:numRef>
              <c:f>'Devizni kurs'!$W$39:$W$143</c:f>
              <c:numCache>
                <c:formatCode>General</c:formatCode>
                <c:ptCount val="105"/>
                <c:pt idx="0">
                  <c:v>85</c:v>
                </c:pt>
                <c:pt idx="12">
                  <c:v>85</c:v>
                </c:pt>
                <c:pt idx="24">
                  <c:v>85</c:v>
                </c:pt>
                <c:pt idx="36">
                  <c:v>85</c:v>
                </c:pt>
                <c:pt idx="48">
                  <c:v>85</c:v>
                </c:pt>
                <c:pt idx="60">
                  <c:v>85</c:v>
                </c:pt>
                <c:pt idx="72">
                  <c:v>85</c:v>
                </c:pt>
                <c:pt idx="84">
                  <c:v>85</c:v>
                </c:pt>
                <c:pt idx="96">
                  <c:v>85</c:v>
                </c:pt>
              </c:numCache>
            </c:numRef>
          </c:val>
          <c:smooth val="0"/>
          <c:extLst>
            <c:ext xmlns:c16="http://schemas.microsoft.com/office/drawing/2014/chart" uri="{C3380CC4-5D6E-409C-BE32-E72D297353CC}">
              <c16:uniqueId val="{0000000B-1BB1-424A-90AB-13437EA75FD3}"/>
            </c:ext>
          </c:extLst>
        </c:ser>
        <c:dLbls>
          <c:showLegendKey val="0"/>
          <c:showVal val="0"/>
          <c:showCatName val="0"/>
          <c:showSerName val="0"/>
          <c:showPercent val="0"/>
          <c:showBubbleSize val="0"/>
        </c:dLbls>
        <c:marker val="1"/>
        <c:smooth val="0"/>
        <c:axId val="1839186288"/>
        <c:axId val="1839187920"/>
      </c:lineChart>
      <c:catAx>
        <c:axId val="1839186288"/>
        <c:scaling>
          <c:orientation val="minMax"/>
        </c:scaling>
        <c:delete val="0"/>
        <c:axPos val="b"/>
        <c:numFmt formatCode="\I\ 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7920"/>
        <c:crosses val="autoZero"/>
        <c:auto val="0"/>
        <c:lblAlgn val="ctr"/>
        <c:lblOffset val="100"/>
        <c:tickLblSkip val="12"/>
        <c:noMultiLvlLbl val="1"/>
      </c:catAx>
      <c:valAx>
        <c:axId val="1839187920"/>
        <c:scaling>
          <c:orientation val="minMax"/>
          <c:max val="140"/>
          <c:min val="8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6288"/>
        <c:crosses val="autoZero"/>
        <c:crossBetween val="midCat"/>
        <c:majorUnit val="10"/>
      </c:valAx>
      <c:valAx>
        <c:axId val="183920369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6832"/>
        <c:crosses val="max"/>
        <c:crossBetween val="between"/>
        <c:majorUnit val="200"/>
      </c:valAx>
      <c:dateAx>
        <c:axId val="1839186832"/>
        <c:scaling>
          <c:orientation val="minMax"/>
        </c:scaling>
        <c:delete val="1"/>
        <c:axPos val="b"/>
        <c:numFmt formatCode="yyyy" sourceLinked="1"/>
        <c:majorTickMark val="out"/>
        <c:minorTickMark val="none"/>
        <c:tickLblPos val="nextTo"/>
        <c:crossAx val="1839203696"/>
        <c:crosses val="autoZero"/>
        <c:auto val="1"/>
        <c:lblOffset val="100"/>
        <c:baseTimeUnit val="months"/>
      </c:dateAx>
      <c:spPr>
        <a:noFill/>
        <a:ln>
          <a:noFill/>
        </a:ln>
        <a:effectLst/>
      </c:spPr>
    </c:plotArea>
    <c:legend>
      <c:legendPos val="b"/>
      <c:legendEntry>
        <c:idx val="2"/>
        <c:delete val="1"/>
      </c:legendEntry>
      <c:layout>
        <c:manualLayout>
          <c:xMode val="edge"/>
          <c:yMode val="edge"/>
          <c:x val="0"/>
          <c:y val="0.83348870056497193"/>
          <c:w val="0.99854002624671911"/>
          <c:h val="0.154159604519774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4.9388888888888892E-2"/>
          <c:w val="0.85158573928258963"/>
          <c:h val="0.68513222222222225"/>
        </c:manualLayout>
      </c:layout>
      <c:barChart>
        <c:barDir val="col"/>
        <c:grouping val="clustered"/>
        <c:varyColors val="0"/>
        <c:ser>
          <c:idx val="1"/>
          <c:order val="1"/>
          <c:tx>
            <c:strRef>
              <c:f>'Stednja i rezerve'!$V$2</c:f>
              <c:strCache>
                <c:ptCount val="1"/>
                <c:pt idx="0">
                  <c:v>Девизне резерве НБС </c:v>
                </c:pt>
              </c:strCache>
            </c:strRef>
          </c:tx>
          <c:spPr>
            <a:solidFill>
              <a:srgbClr val="9ED1E6"/>
            </a:solidFill>
            <a:ln>
              <a:noFill/>
            </a:ln>
            <a:effectLst/>
          </c:spPr>
          <c:invertIfNegative val="0"/>
          <c:cat>
            <c:numRef>
              <c:f>'Stednja i rezerve'!$Q$27:$Q$131</c:f>
              <c:numCache>
                <c:formatCode>yyyy</c:formatCode>
                <c:ptCount val="105"/>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pt idx="100" formatCode="yy">
                  <c:v>44682</c:v>
                </c:pt>
                <c:pt idx="101" formatCode="yy">
                  <c:v>44713</c:v>
                </c:pt>
                <c:pt idx="102" formatCode="yy">
                  <c:v>44743</c:v>
                </c:pt>
                <c:pt idx="103" formatCode="yy">
                  <c:v>44774</c:v>
                </c:pt>
                <c:pt idx="104" formatCode="yy">
                  <c:v>44805</c:v>
                </c:pt>
              </c:numCache>
            </c:numRef>
          </c:cat>
          <c:val>
            <c:numRef>
              <c:f>'Stednja i rezerve'!$V$27:$V$131</c:f>
              <c:numCache>
                <c:formatCode>0.000</c:formatCode>
                <c:ptCount val="105"/>
                <c:pt idx="0">
                  <c:v>11.125999999999999</c:v>
                </c:pt>
                <c:pt idx="1">
                  <c:v>10.832000000000001</c:v>
                </c:pt>
                <c:pt idx="2">
                  <c:v>10.428000000000001</c:v>
                </c:pt>
                <c:pt idx="3">
                  <c:v>10.448</c:v>
                </c:pt>
                <c:pt idx="4">
                  <c:v>10.37</c:v>
                </c:pt>
                <c:pt idx="5">
                  <c:v>10.125</c:v>
                </c:pt>
                <c:pt idx="6">
                  <c:v>10.122999999999999</c:v>
                </c:pt>
                <c:pt idx="7">
                  <c:v>10.949</c:v>
                </c:pt>
                <c:pt idx="8">
                  <c:v>10.878</c:v>
                </c:pt>
                <c:pt idx="9">
                  <c:v>10.714</c:v>
                </c:pt>
                <c:pt idx="10">
                  <c:v>10.271000000000001</c:v>
                </c:pt>
                <c:pt idx="11">
                  <c:v>9.907</c:v>
                </c:pt>
                <c:pt idx="12">
                  <c:v>10.048999999999999</c:v>
                </c:pt>
                <c:pt idx="13">
                  <c:v>10.313000000000001</c:v>
                </c:pt>
                <c:pt idx="14">
                  <c:v>10.515000000000001</c:v>
                </c:pt>
                <c:pt idx="15">
                  <c:v>10.534000000000001</c:v>
                </c:pt>
                <c:pt idx="16">
                  <c:v>10.545</c:v>
                </c:pt>
                <c:pt idx="17">
                  <c:v>10.292999999999999</c:v>
                </c:pt>
                <c:pt idx="18">
                  <c:v>10.631</c:v>
                </c:pt>
                <c:pt idx="19">
                  <c:v>10.61</c:v>
                </c:pt>
                <c:pt idx="20">
                  <c:v>10.510999999999999</c:v>
                </c:pt>
                <c:pt idx="21">
                  <c:v>10.673999999999999</c:v>
                </c:pt>
                <c:pt idx="22">
                  <c:v>10.746</c:v>
                </c:pt>
                <c:pt idx="23">
                  <c:v>10.378</c:v>
                </c:pt>
                <c:pt idx="24">
                  <c:v>10.1045</c:v>
                </c:pt>
                <c:pt idx="25">
                  <c:v>9.8507999999999996</c:v>
                </c:pt>
                <c:pt idx="26">
                  <c:v>9.5008999999999997</c:v>
                </c:pt>
                <c:pt idx="27">
                  <c:v>9.3379999999999992</c:v>
                </c:pt>
                <c:pt idx="28">
                  <c:v>9.2639999999999993</c:v>
                </c:pt>
                <c:pt idx="29">
                  <c:v>9.2910000000000004</c:v>
                </c:pt>
                <c:pt idx="30">
                  <c:v>9.6059999999999999</c:v>
                </c:pt>
                <c:pt idx="31">
                  <c:v>9.5839999999999996</c:v>
                </c:pt>
                <c:pt idx="32">
                  <c:v>9.5519999999999996</c:v>
                </c:pt>
                <c:pt idx="33">
                  <c:v>9.7070000000000007</c:v>
                </c:pt>
                <c:pt idx="34">
                  <c:v>9.8179999999999996</c:v>
                </c:pt>
                <c:pt idx="35">
                  <c:v>10.205</c:v>
                </c:pt>
                <c:pt idx="36">
                  <c:v>9.8539999999999992</c:v>
                </c:pt>
                <c:pt idx="37">
                  <c:v>9.7590000000000003</c:v>
                </c:pt>
                <c:pt idx="38">
                  <c:v>9.73</c:v>
                </c:pt>
                <c:pt idx="39">
                  <c:v>9.4090000000000007</c:v>
                </c:pt>
                <c:pt idx="40">
                  <c:v>9.4920000000000009</c:v>
                </c:pt>
                <c:pt idx="41">
                  <c:v>9.67</c:v>
                </c:pt>
                <c:pt idx="42">
                  <c:v>9.9480000000000004</c:v>
                </c:pt>
                <c:pt idx="43">
                  <c:v>10.278</c:v>
                </c:pt>
                <c:pt idx="44">
                  <c:v>10.635999999999999</c:v>
                </c:pt>
                <c:pt idx="45">
                  <c:v>10.76</c:v>
                </c:pt>
                <c:pt idx="46">
                  <c:v>10.105</c:v>
                </c:pt>
                <c:pt idx="47">
                  <c:v>9.9617000000000004</c:v>
                </c:pt>
                <c:pt idx="48">
                  <c:v>9.6477000000000004</c:v>
                </c:pt>
                <c:pt idx="49">
                  <c:v>9.7910000000000004</c:v>
                </c:pt>
                <c:pt idx="50">
                  <c:v>10.234999999999999</c:v>
                </c:pt>
                <c:pt idx="51">
                  <c:v>10.43</c:v>
                </c:pt>
                <c:pt idx="52">
                  <c:v>10.882999999999999</c:v>
                </c:pt>
                <c:pt idx="53">
                  <c:v>11.103999999999999</c:v>
                </c:pt>
                <c:pt idx="54">
                  <c:v>11.403</c:v>
                </c:pt>
                <c:pt idx="55">
                  <c:v>11.326000000000001</c:v>
                </c:pt>
                <c:pt idx="56">
                  <c:v>11.17249</c:v>
                </c:pt>
                <c:pt idx="57">
                  <c:v>11.5504</c:v>
                </c:pt>
                <c:pt idx="58">
                  <c:v>11.627000000000001</c:v>
                </c:pt>
                <c:pt idx="59">
                  <c:v>11.262</c:v>
                </c:pt>
                <c:pt idx="60">
                  <c:v>11.346</c:v>
                </c:pt>
                <c:pt idx="61">
                  <c:v>11.398</c:v>
                </c:pt>
                <c:pt idx="62">
                  <c:v>11.44</c:v>
                </c:pt>
                <c:pt idx="63">
                  <c:v>11.336</c:v>
                </c:pt>
                <c:pt idx="64">
                  <c:v>11.656000000000001</c:v>
                </c:pt>
                <c:pt idx="65">
                  <c:v>12.146000000000001</c:v>
                </c:pt>
                <c:pt idx="66">
                  <c:v>12.757999999999999</c:v>
                </c:pt>
                <c:pt idx="67">
                  <c:v>13.1</c:v>
                </c:pt>
                <c:pt idx="68">
                  <c:v>13.295</c:v>
                </c:pt>
                <c:pt idx="69">
                  <c:v>13.499000000000001</c:v>
                </c:pt>
                <c:pt idx="70">
                  <c:v>13.464700000000001</c:v>
                </c:pt>
                <c:pt idx="71">
                  <c:v>13.378500000000001</c:v>
                </c:pt>
                <c:pt idx="72">
                  <c:v>13.694000000000001</c:v>
                </c:pt>
                <c:pt idx="73">
                  <c:v>13.459</c:v>
                </c:pt>
                <c:pt idx="74">
                  <c:v>13.115</c:v>
                </c:pt>
                <c:pt idx="75">
                  <c:v>12.792999999999999</c:v>
                </c:pt>
                <c:pt idx="76">
                  <c:v>14.345000000000001</c:v>
                </c:pt>
                <c:pt idx="77">
                  <c:v>13.956</c:v>
                </c:pt>
                <c:pt idx="78">
                  <c:v>13.521000000000001</c:v>
                </c:pt>
                <c:pt idx="79">
                  <c:v>13.369</c:v>
                </c:pt>
                <c:pt idx="80">
                  <c:v>13.03</c:v>
                </c:pt>
                <c:pt idx="81">
                  <c:v>13.05</c:v>
                </c:pt>
                <c:pt idx="82" formatCode="General">
                  <c:v>12.843999999999999</c:v>
                </c:pt>
                <c:pt idx="83" formatCode="General">
                  <c:v>13.492000000000001</c:v>
                </c:pt>
                <c:pt idx="84">
                  <c:v>13.602928</c:v>
                </c:pt>
                <c:pt idx="85">
                  <c:v>13.4227504</c:v>
                </c:pt>
                <c:pt idx="86">
                  <c:v>14.275499999999999</c:v>
                </c:pt>
                <c:pt idx="87">
                  <c:v>13.997441199999999</c:v>
                </c:pt>
                <c:pt idx="88">
                  <c:v>14.181562900000001</c:v>
                </c:pt>
                <c:pt idx="89">
                  <c:v>14.091799999999999</c:v>
                </c:pt>
                <c:pt idx="90">
                  <c:v>14.5802736</c:v>
                </c:pt>
                <c:pt idx="91">
                  <c:v>15.585386699999999</c:v>
                </c:pt>
                <c:pt idx="92">
                  <c:v>16.802540499999999</c:v>
                </c:pt>
                <c:pt idx="93">
                  <c:v>16.277799999999999</c:v>
                </c:pt>
                <c:pt idx="94">
                  <c:v>16.453099999999999</c:v>
                </c:pt>
                <c:pt idx="95">
                  <c:v>16.454510200000001</c:v>
                </c:pt>
                <c:pt idx="96">
                  <c:v>16.110843299999999</c:v>
                </c:pt>
                <c:pt idx="97">
                  <c:v>15.561500000000001</c:v>
                </c:pt>
                <c:pt idx="98">
                  <c:v>14.296276199999999</c:v>
                </c:pt>
                <c:pt idx="99">
                  <c:v>14.1136</c:v>
                </c:pt>
                <c:pt idx="100">
                  <c:v>13.903600000000001</c:v>
                </c:pt>
                <c:pt idx="101">
                  <c:v>14.775700000000001</c:v>
                </c:pt>
                <c:pt idx="102">
                  <c:v>15.0228</c:v>
                </c:pt>
                <c:pt idx="103">
                  <c:v>15.8756</c:v>
                </c:pt>
                <c:pt idx="104">
                  <c:v>16.502299999999998</c:v>
                </c:pt>
              </c:numCache>
            </c:numRef>
          </c:val>
          <c:extLst>
            <c:ext xmlns:c16="http://schemas.microsoft.com/office/drawing/2014/chart" uri="{C3380CC4-5D6E-409C-BE32-E72D297353CC}">
              <c16:uniqueId val="{00000000-5AB1-4A00-B349-3931BDAC99B4}"/>
            </c:ext>
          </c:extLst>
        </c:ser>
        <c:dLbls>
          <c:showLegendKey val="0"/>
          <c:showVal val="0"/>
          <c:showCatName val="0"/>
          <c:showSerName val="0"/>
          <c:showPercent val="0"/>
          <c:showBubbleSize val="0"/>
        </c:dLbls>
        <c:gapWidth val="100"/>
        <c:axId val="2067915440"/>
        <c:axId val="2067938832"/>
      </c:barChart>
      <c:lineChart>
        <c:grouping val="standard"/>
        <c:varyColors val="0"/>
        <c:ser>
          <c:idx val="0"/>
          <c:order val="0"/>
          <c:tx>
            <c:strRef>
              <c:f>'Stednja i rezerve'!$U$2</c:f>
              <c:strCache>
                <c:ptCount val="1"/>
                <c:pt idx="0">
                  <c:v>Девизна штедња становништва</c:v>
                </c:pt>
              </c:strCache>
            </c:strRef>
          </c:tx>
          <c:spPr>
            <a:ln w="22225" cap="rnd">
              <a:solidFill>
                <a:srgbClr val="FF0000"/>
              </a:solidFill>
              <a:round/>
            </a:ln>
            <a:effectLst/>
          </c:spPr>
          <c:marker>
            <c:symbol val="none"/>
          </c:marker>
          <c:cat>
            <c:numRef>
              <c:f>'Stednja i rezerve'!$Q$27:$Q$131</c:f>
              <c:numCache>
                <c:formatCode>yyyy</c:formatCode>
                <c:ptCount val="105"/>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pt idx="100" formatCode="yy">
                  <c:v>44682</c:v>
                </c:pt>
                <c:pt idx="101" formatCode="yy">
                  <c:v>44713</c:v>
                </c:pt>
                <c:pt idx="102" formatCode="yy">
                  <c:v>44743</c:v>
                </c:pt>
                <c:pt idx="103" formatCode="yy">
                  <c:v>44774</c:v>
                </c:pt>
                <c:pt idx="104" formatCode="yy">
                  <c:v>44805</c:v>
                </c:pt>
              </c:numCache>
            </c:numRef>
          </c:cat>
          <c:val>
            <c:numRef>
              <c:f>'Stednja i rezerve'!$U$27:$U$131</c:f>
              <c:numCache>
                <c:formatCode>0.000</c:formatCode>
                <c:ptCount val="105"/>
                <c:pt idx="0">
                  <c:v>8.3740000000000006</c:v>
                </c:pt>
                <c:pt idx="1">
                  <c:v>8.4179999999999993</c:v>
                </c:pt>
                <c:pt idx="2">
                  <c:v>8.4039999999999999</c:v>
                </c:pt>
                <c:pt idx="3">
                  <c:v>8.4369999999999994</c:v>
                </c:pt>
                <c:pt idx="4">
                  <c:v>8.4329999999999998</c:v>
                </c:pt>
                <c:pt idx="5">
                  <c:v>8.4860000000000007</c:v>
                </c:pt>
                <c:pt idx="6">
                  <c:v>8.4960000000000004</c:v>
                </c:pt>
                <c:pt idx="7">
                  <c:v>8.4890000000000008</c:v>
                </c:pt>
                <c:pt idx="8">
                  <c:v>8.4890000000000008</c:v>
                </c:pt>
                <c:pt idx="9">
                  <c:v>8.5120000000000005</c:v>
                </c:pt>
                <c:pt idx="10">
                  <c:v>8.4830000000000005</c:v>
                </c:pt>
                <c:pt idx="11">
                  <c:v>8.5250000000000004</c:v>
                </c:pt>
                <c:pt idx="12">
                  <c:v>8.6050000000000004</c:v>
                </c:pt>
                <c:pt idx="13">
                  <c:v>8.61</c:v>
                </c:pt>
                <c:pt idx="14">
                  <c:v>8.6419999999999995</c:v>
                </c:pt>
                <c:pt idx="15">
                  <c:v>8.6389999999999993</c:v>
                </c:pt>
                <c:pt idx="16">
                  <c:v>8.6349999999999998</c:v>
                </c:pt>
                <c:pt idx="17">
                  <c:v>8.67</c:v>
                </c:pt>
                <c:pt idx="18">
                  <c:v>8.6210000000000004</c:v>
                </c:pt>
                <c:pt idx="19">
                  <c:v>8.6050000000000004</c:v>
                </c:pt>
                <c:pt idx="20">
                  <c:v>8.59</c:v>
                </c:pt>
                <c:pt idx="21">
                  <c:v>8.6039999999999992</c:v>
                </c:pt>
                <c:pt idx="22">
                  <c:v>8.5969999999999995</c:v>
                </c:pt>
                <c:pt idx="23">
                  <c:v>8.6289999999999996</c:v>
                </c:pt>
                <c:pt idx="24">
                  <c:v>8.6264760000000003</c:v>
                </c:pt>
                <c:pt idx="25">
                  <c:v>8.636355</c:v>
                </c:pt>
                <c:pt idx="26">
                  <c:v>8.6437650000000001</c:v>
                </c:pt>
                <c:pt idx="27">
                  <c:v>8.6690000000000005</c:v>
                </c:pt>
                <c:pt idx="28">
                  <c:v>8.7550000000000008</c:v>
                </c:pt>
                <c:pt idx="29">
                  <c:v>8.7959999999999994</c:v>
                </c:pt>
                <c:pt idx="30">
                  <c:v>8.8219999999999992</c:v>
                </c:pt>
                <c:pt idx="31">
                  <c:v>8.8309999999999995</c:v>
                </c:pt>
                <c:pt idx="32">
                  <c:v>8.843</c:v>
                </c:pt>
                <c:pt idx="33">
                  <c:v>8.8960000000000008</c:v>
                </c:pt>
                <c:pt idx="34">
                  <c:v>8.9149999999999991</c:v>
                </c:pt>
                <c:pt idx="35">
                  <c:v>8.9870000000000001</c:v>
                </c:pt>
                <c:pt idx="36">
                  <c:v>9.0310000000000006</c:v>
                </c:pt>
                <c:pt idx="37">
                  <c:v>9.0555649999999996</c:v>
                </c:pt>
                <c:pt idx="38">
                  <c:v>9.0842139999999993</c:v>
                </c:pt>
                <c:pt idx="39">
                  <c:v>9.1143780000000003</c:v>
                </c:pt>
                <c:pt idx="40">
                  <c:v>9.1059999999999999</c:v>
                </c:pt>
                <c:pt idx="41">
                  <c:v>9.1370000000000005</c:v>
                </c:pt>
                <c:pt idx="42">
                  <c:v>9.1780000000000008</c:v>
                </c:pt>
                <c:pt idx="43">
                  <c:v>9.2170000000000005</c:v>
                </c:pt>
                <c:pt idx="44">
                  <c:v>9.2629999999999999</c:v>
                </c:pt>
                <c:pt idx="45">
                  <c:v>9.2880000000000003</c:v>
                </c:pt>
                <c:pt idx="46">
                  <c:v>9.298</c:v>
                </c:pt>
                <c:pt idx="47">
                  <c:v>9.373151</c:v>
                </c:pt>
                <c:pt idx="48">
                  <c:v>9.4209999999999994</c:v>
                </c:pt>
                <c:pt idx="49">
                  <c:v>9.5150000000000006</c:v>
                </c:pt>
                <c:pt idx="50">
                  <c:v>9.5660000000000007</c:v>
                </c:pt>
                <c:pt idx="51">
                  <c:v>9.5939999999999994</c:v>
                </c:pt>
                <c:pt idx="52">
                  <c:v>9.6340000000000003</c:v>
                </c:pt>
                <c:pt idx="53">
                  <c:v>9.6869999999999994</c:v>
                </c:pt>
                <c:pt idx="54">
                  <c:v>9.718</c:v>
                </c:pt>
                <c:pt idx="55">
                  <c:v>9.7629999999999999</c:v>
                </c:pt>
                <c:pt idx="56">
                  <c:v>9.7824939999999998</c:v>
                </c:pt>
                <c:pt idx="57">
                  <c:v>9.8469999999999995</c:v>
                </c:pt>
                <c:pt idx="58">
                  <c:v>9.875</c:v>
                </c:pt>
                <c:pt idx="59">
                  <c:v>9.9550000000000001</c:v>
                </c:pt>
                <c:pt idx="60">
                  <c:v>10.105</c:v>
                </c:pt>
                <c:pt idx="61">
                  <c:v>10.167</c:v>
                </c:pt>
                <c:pt idx="62">
                  <c:v>10.217000000000001</c:v>
                </c:pt>
                <c:pt idx="63">
                  <c:v>10.295999999999999</c:v>
                </c:pt>
                <c:pt idx="64">
                  <c:v>10.340999999999999</c:v>
                </c:pt>
                <c:pt idx="65">
                  <c:v>10.391</c:v>
                </c:pt>
                <c:pt idx="66">
                  <c:v>10.474</c:v>
                </c:pt>
                <c:pt idx="67">
                  <c:v>10.547000000000001</c:v>
                </c:pt>
                <c:pt idx="68">
                  <c:v>10.612</c:v>
                </c:pt>
                <c:pt idx="69">
                  <c:v>10.661</c:v>
                </c:pt>
                <c:pt idx="70">
                  <c:v>10.72</c:v>
                </c:pt>
                <c:pt idx="71">
                  <c:v>10.804</c:v>
                </c:pt>
                <c:pt idx="72">
                  <c:v>10.941129999999999</c:v>
                </c:pt>
                <c:pt idx="73">
                  <c:v>11.007695</c:v>
                </c:pt>
                <c:pt idx="74">
                  <c:v>10.819725</c:v>
                </c:pt>
                <c:pt idx="75">
                  <c:v>10.889227</c:v>
                </c:pt>
                <c:pt idx="76">
                  <c:v>10.915190000000001</c:v>
                </c:pt>
                <c:pt idx="77">
                  <c:v>10.987965000000001</c:v>
                </c:pt>
                <c:pt idx="78">
                  <c:v>10.998704</c:v>
                </c:pt>
                <c:pt idx="79">
                  <c:v>11.069706</c:v>
                </c:pt>
                <c:pt idx="80">
                  <c:v>11.155711999999999</c:v>
                </c:pt>
                <c:pt idx="81" formatCode="General">
                  <c:v>11.256</c:v>
                </c:pt>
                <c:pt idx="82" formatCode="General">
                  <c:v>11.291</c:v>
                </c:pt>
                <c:pt idx="83" formatCode="General">
                  <c:v>11.436</c:v>
                </c:pt>
                <c:pt idx="84" formatCode="General">
                  <c:v>11.586</c:v>
                </c:pt>
                <c:pt idx="85" formatCode="General">
                  <c:v>11.683999999999999</c:v>
                </c:pt>
                <c:pt idx="86">
                  <c:v>11.778</c:v>
                </c:pt>
                <c:pt idx="87">
                  <c:v>11.84</c:v>
                </c:pt>
                <c:pt idx="88">
                  <c:v>12.006</c:v>
                </c:pt>
                <c:pt idx="89">
                  <c:v>12.118</c:v>
                </c:pt>
                <c:pt idx="90">
                  <c:v>12.221</c:v>
                </c:pt>
                <c:pt idx="91">
                  <c:v>12.275</c:v>
                </c:pt>
                <c:pt idx="92">
                  <c:v>12.321999999999999</c:v>
                </c:pt>
                <c:pt idx="93">
                  <c:v>12.417999999999999</c:v>
                </c:pt>
                <c:pt idx="94">
                  <c:v>12.554</c:v>
                </c:pt>
                <c:pt idx="95">
                  <c:v>12.736000000000001</c:v>
                </c:pt>
                <c:pt idx="96">
                  <c:v>12.88</c:v>
                </c:pt>
                <c:pt idx="97">
                  <c:v>12.94</c:v>
                </c:pt>
                <c:pt idx="98">
                  <c:v>12.803000000000001</c:v>
                </c:pt>
                <c:pt idx="99">
                  <c:v>12.930524</c:v>
                </c:pt>
                <c:pt idx="100">
                  <c:v>12.987158000000001</c:v>
                </c:pt>
                <c:pt idx="101">
                  <c:v>13.180187999999999</c:v>
                </c:pt>
                <c:pt idx="102">
                  <c:v>13.3729</c:v>
                </c:pt>
                <c:pt idx="103">
                  <c:v>13.474511</c:v>
                </c:pt>
              </c:numCache>
            </c:numRef>
          </c:val>
          <c:smooth val="0"/>
          <c:extLst>
            <c:ext xmlns:c16="http://schemas.microsoft.com/office/drawing/2014/chart" uri="{C3380CC4-5D6E-409C-BE32-E72D297353CC}">
              <c16:uniqueId val="{00000001-5AB1-4A00-B349-3931BDAC99B4}"/>
            </c:ext>
          </c:extLst>
        </c:ser>
        <c:ser>
          <c:idx val="2"/>
          <c:order val="2"/>
          <c:tx>
            <c:strRef>
              <c:f>'Stednja i rezerve'!$W$2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1.0975851600994615E-2"/>
                  <c:y val="2.79154630111422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B1-4A00-B349-3931BDAC99B4}"/>
                </c:ext>
              </c:extLst>
            </c:dLbl>
            <c:dLbl>
              <c:idx val="12"/>
              <c:layout>
                <c:manualLayout>
                  <c:x val="-1.3682131434179396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B1-4A00-B349-3931BDAC99B4}"/>
                </c:ext>
              </c:extLst>
            </c:dLbl>
            <c:dLbl>
              <c:idx val="24"/>
              <c:layout>
                <c:manualLayout>
                  <c:x val="-1.3682131434179437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B1-4A00-B349-3931BDAC99B4}"/>
                </c:ext>
              </c:extLst>
            </c:dLbl>
            <c:dLbl>
              <c:idx val="36"/>
              <c:layout>
                <c:manualLayout>
                  <c:x val="-1.8302529469066471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B1-4A00-B349-3931BDAC99B4}"/>
                </c:ext>
              </c:extLst>
            </c:dLbl>
            <c:dLbl>
              <c:idx val="48"/>
              <c:layout>
                <c:manualLayout>
                  <c:x val="-1.5531961415445094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B1-4A00-B349-3931BDAC99B4}"/>
                </c:ext>
              </c:extLst>
            </c:dLbl>
            <c:dLbl>
              <c:idx val="60"/>
              <c:layout>
                <c:manualLayout>
                  <c:x val="-1.7948762651522249E-2"/>
                  <c:y val="2.802255844831594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AB1-4A00-B349-3931BDAC99B4}"/>
                </c:ext>
              </c:extLst>
            </c:dLbl>
            <c:dLbl>
              <c:idx val="72"/>
              <c:layout>
                <c:manualLayout>
                  <c:x val="-1.6719659047241393E-2"/>
                  <c:y val="2.873409829006154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AB1-4A00-B349-3931BDAC99B4}"/>
                </c:ext>
              </c:extLst>
            </c:dLbl>
            <c:dLbl>
              <c:idx val="84"/>
              <c:layout>
                <c:manualLayout>
                  <c:x val="-2.066673957421989E-2"/>
                  <c:y val="2.8534277252040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AB1-4A00-B349-3931BDAC99B4}"/>
                </c:ext>
              </c:extLst>
            </c:dLbl>
            <c:dLbl>
              <c:idx val="96"/>
              <c:layout>
                <c:manualLayout>
                  <c:x val="-3.2154053659959173E-2"/>
                  <c:y val="2.8769330792013735E-2"/>
                </c:manualLayout>
              </c:layout>
              <c:tx>
                <c:rich>
                  <a:bodyPr/>
                  <a:lstStyle/>
                  <a:p>
                    <a:r>
                      <a:rPr lang="en-US"/>
                      <a:t>20</a:t>
                    </a:r>
                    <a:fld id="{3C4C3D0F-BF14-4A05-95E8-1DB62CFCB384}" type="CATEGORYNAME">
                      <a:rPr lang="en-US"/>
                      <a:pPr/>
                      <a:t>[CATEGORY NAME]</a:t>
                    </a:fld>
                    <a:endParaRPr lang="en-US"/>
                  </a:p>
                </c:rich>
              </c:tx>
              <c:dLblPos val="r"/>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5AB1-4A00-B349-3931BDAC99B4}"/>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'Stednja i rezerve'!$Q$27:$Q$131</c:f>
              <c:numCache>
                <c:formatCode>yyyy</c:formatCode>
                <c:ptCount val="105"/>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pt idx="100" formatCode="yy">
                  <c:v>44682</c:v>
                </c:pt>
                <c:pt idx="101" formatCode="yy">
                  <c:v>44713</c:v>
                </c:pt>
                <c:pt idx="102" formatCode="yy">
                  <c:v>44743</c:v>
                </c:pt>
                <c:pt idx="103" formatCode="yy">
                  <c:v>44774</c:v>
                </c:pt>
                <c:pt idx="104" formatCode="yy">
                  <c:v>44805</c:v>
                </c:pt>
              </c:numCache>
            </c:numRef>
          </c:cat>
          <c:val>
            <c:numRef>
              <c:f>'Stednja i rezerve'!$W$27:$W$131</c:f>
              <c:numCache>
                <c:formatCode>General</c:formatCode>
                <c:ptCount val="105"/>
                <c:pt idx="0">
                  <c:v>7</c:v>
                </c:pt>
                <c:pt idx="12">
                  <c:v>7</c:v>
                </c:pt>
                <c:pt idx="24">
                  <c:v>7</c:v>
                </c:pt>
                <c:pt idx="36">
                  <c:v>7</c:v>
                </c:pt>
                <c:pt idx="48">
                  <c:v>7</c:v>
                </c:pt>
                <c:pt idx="60">
                  <c:v>7</c:v>
                </c:pt>
                <c:pt idx="72">
                  <c:v>7</c:v>
                </c:pt>
                <c:pt idx="84">
                  <c:v>7</c:v>
                </c:pt>
                <c:pt idx="96">
                  <c:v>7</c:v>
                </c:pt>
              </c:numCache>
            </c:numRef>
          </c:val>
          <c:smooth val="0"/>
          <c:extLst>
            <c:ext xmlns:c16="http://schemas.microsoft.com/office/drawing/2014/chart" uri="{C3380CC4-5D6E-409C-BE32-E72D297353CC}">
              <c16:uniqueId val="{0000000B-5AB1-4A00-B349-3931BDAC99B4}"/>
            </c:ext>
          </c:extLst>
        </c:ser>
        <c:dLbls>
          <c:showLegendKey val="0"/>
          <c:showVal val="0"/>
          <c:showCatName val="0"/>
          <c:showSerName val="0"/>
          <c:showPercent val="0"/>
          <c:showBubbleSize val="0"/>
        </c:dLbls>
        <c:marker val="1"/>
        <c:smooth val="0"/>
        <c:axId val="2067915440"/>
        <c:axId val="2067938832"/>
      </c:lineChart>
      <c:catAx>
        <c:axId val="206791544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8832"/>
        <c:crosses val="autoZero"/>
        <c:auto val="0"/>
        <c:lblAlgn val="ctr"/>
        <c:lblOffset val="100"/>
        <c:tickLblSkip val="12"/>
        <c:noMultiLvlLbl val="1"/>
      </c:catAx>
      <c:valAx>
        <c:axId val="2067938832"/>
        <c:scaling>
          <c:orientation val="minMax"/>
          <c:min val="7"/>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15440"/>
        <c:crosses val="autoZero"/>
        <c:crossBetween val="midCat"/>
        <c:majorUnit val="1"/>
      </c:valAx>
      <c:spPr>
        <a:noFill/>
        <a:ln>
          <a:noFill/>
        </a:ln>
        <a:effectLst/>
      </c:spPr>
    </c:plotArea>
    <c:legend>
      <c:legendPos val="b"/>
      <c:legendEntry>
        <c:idx val="2"/>
        <c:delete val="1"/>
      </c:legendEntry>
      <c:layout>
        <c:manualLayout>
          <c:xMode val="edge"/>
          <c:yMode val="edge"/>
          <c:x val="5.2835374744823561E-2"/>
          <c:y val="0.81213222222222226"/>
          <c:w val="0.91284740449110524"/>
          <c:h val="0.1455344444444444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6188914802072E-2"/>
          <c:y val="5.633805593782408E-2"/>
          <c:w val="0.86437336615075899"/>
          <c:h val="0.64068107026989318"/>
        </c:manualLayout>
      </c:layout>
      <c:lineChart>
        <c:grouping val="standard"/>
        <c:varyColors val="0"/>
        <c:ser>
          <c:idx val="1"/>
          <c:order val="0"/>
          <c:tx>
            <c:strRef>
              <c:f>'Projekcija inflacije'!$C$7</c:f>
              <c:strCache>
                <c:ptCount val="1"/>
                <c:pt idx="0">
                  <c:v>Инфлација, просек периода</c:v>
                </c:pt>
              </c:strCache>
            </c:strRef>
          </c:tx>
          <c:spPr>
            <a:ln w="22225" cap="rnd">
              <a:solidFill>
                <a:srgbClr val="EC008C"/>
              </a:solidFill>
              <a:round/>
            </a:ln>
            <a:effectLst/>
          </c:spPr>
          <c:marker>
            <c:symbol val="none"/>
          </c:marker>
          <c:cat>
            <c:numRef>
              <c:f>'Projekcija inflacije'!$I$5:$U$5</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'Projekcija inflacije'!$I$7:$U$7</c:f>
              <c:numCache>
                <c:formatCode>0.0</c:formatCode>
                <c:ptCount val="13"/>
                <c:pt idx="0">
                  <c:v>7.8</c:v>
                </c:pt>
                <c:pt idx="1">
                  <c:v>2.9</c:v>
                </c:pt>
                <c:pt idx="2">
                  <c:v>1.9</c:v>
                </c:pt>
                <c:pt idx="3">
                  <c:v>1.2</c:v>
                </c:pt>
                <c:pt idx="4">
                  <c:v>3</c:v>
                </c:pt>
                <c:pt idx="5">
                  <c:v>2</c:v>
                </c:pt>
                <c:pt idx="6">
                  <c:v>1.7</c:v>
                </c:pt>
                <c:pt idx="7">
                  <c:v>1.6</c:v>
                </c:pt>
                <c:pt idx="8">
                  <c:v>4</c:v>
                </c:pt>
                <c:pt idx="9">
                  <c:v>11.6</c:v>
                </c:pt>
                <c:pt idx="10">
                  <c:v>11.1</c:v>
                </c:pt>
                <c:pt idx="11">
                  <c:v>5</c:v>
                </c:pt>
                <c:pt idx="12">
                  <c:v>3.5</c:v>
                </c:pt>
              </c:numCache>
            </c:numRef>
          </c:val>
          <c:smooth val="0"/>
          <c:extLst>
            <c:ext xmlns:c16="http://schemas.microsoft.com/office/drawing/2014/chart" uri="{C3380CC4-5D6E-409C-BE32-E72D297353CC}">
              <c16:uniqueId val="{00000000-F0B4-4E4F-81F0-83E221DEDE33}"/>
            </c:ext>
          </c:extLst>
        </c:ser>
        <c:ser>
          <c:idx val="2"/>
          <c:order val="1"/>
          <c:tx>
            <c:strRef>
              <c:f>'Projekcija inflacije'!$C$8</c:f>
              <c:strCache>
                <c:ptCount val="1"/>
                <c:pt idx="0">
                  <c:v>Дефлатор БДП</c:v>
                </c:pt>
              </c:strCache>
            </c:strRef>
          </c:tx>
          <c:spPr>
            <a:ln w="22225" cap="rnd">
              <a:solidFill>
                <a:srgbClr val="7F3F98"/>
              </a:solidFill>
              <a:round/>
            </a:ln>
            <a:effectLst/>
          </c:spPr>
          <c:marker>
            <c:symbol val="none"/>
          </c:marker>
          <c:cat>
            <c:numRef>
              <c:f>'Projekcija inflacije'!$I$5:$U$5</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'Projekcija inflacije'!$I$8:$U$8</c:f>
              <c:numCache>
                <c:formatCode>0.0</c:formatCode>
                <c:ptCount val="13"/>
                <c:pt idx="0">
                  <c:v>5.1254413454188068</c:v>
                </c:pt>
                <c:pt idx="1">
                  <c:v>2.585383220508831</c:v>
                </c:pt>
                <c:pt idx="2">
                  <c:v>1.872893376087049</c:v>
                </c:pt>
                <c:pt idx="3">
                  <c:v>1.5498888324771798</c:v>
                </c:pt>
                <c:pt idx="4">
                  <c:v>2.9707931698183216</c:v>
                </c:pt>
                <c:pt idx="5">
                  <c:v>1.9749425621523642</c:v>
                </c:pt>
                <c:pt idx="6">
                  <c:v>2.440598124427737</c:v>
                </c:pt>
                <c:pt idx="7">
                  <c:v>2.4499700873471966</c:v>
                </c:pt>
                <c:pt idx="8">
                  <c:v>6.0913449196546168</c:v>
                </c:pt>
                <c:pt idx="9">
                  <c:v>10.199999999999999</c:v>
                </c:pt>
                <c:pt idx="10">
                  <c:v>10.6</c:v>
                </c:pt>
                <c:pt idx="11">
                  <c:v>5.6</c:v>
                </c:pt>
                <c:pt idx="12">
                  <c:v>4.3</c:v>
                </c:pt>
              </c:numCache>
            </c:numRef>
          </c:val>
          <c:smooth val="0"/>
          <c:extLst>
            <c:ext xmlns:c16="http://schemas.microsoft.com/office/drawing/2014/chart" uri="{C3380CC4-5D6E-409C-BE32-E72D297353CC}">
              <c16:uniqueId val="{00000001-F0B4-4E4F-81F0-83E221DEDE33}"/>
            </c:ext>
          </c:extLst>
        </c:ser>
        <c:ser>
          <c:idx val="3"/>
          <c:order val="2"/>
          <c:tx>
            <c:strRef>
              <c:f>'Projekcija inflacije'!$C$9</c:f>
              <c:strCache>
                <c:ptCount val="1"/>
              </c:strCache>
            </c:strRef>
          </c:tx>
          <c:spPr>
            <a:ln w="28575" cap="rnd">
              <a:noFill/>
              <a:round/>
            </a:ln>
            <a:effectLst/>
          </c:spPr>
          <c:marker>
            <c:symbol val="square"/>
            <c:size val="2"/>
            <c:spPr>
              <a:solidFill>
                <a:schemeClr val="bg1"/>
              </a:solidFill>
              <a:ln w="9525">
                <a:noFill/>
              </a:ln>
              <a:effectLst/>
            </c:spPr>
          </c:marker>
          <c:dLbls>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'Projekcija inflacije'!$I$5:$U$5</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'Projekcija inflacije'!$I$9:$U$9</c:f>
              <c:numCache>
                <c:formatCode>General</c:formatCode>
                <c:ptCount val="13"/>
                <c:pt idx="0">
                  <c:v>0</c:v>
                </c:pt>
                <c:pt idx="1">
                  <c:v>0</c:v>
                </c:pt>
                <c:pt idx="2">
                  <c:v>0</c:v>
                </c:pt>
                <c:pt idx="3">
                  <c:v>0</c:v>
                </c:pt>
                <c:pt idx="4">
                  <c:v>0</c:v>
                </c:pt>
                <c:pt idx="5">
                  <c:v>0</c:v>
                </c:pt>
                <c:pt idx="6">
                  <c:v>0</c:v>
                </c:pt>
                <c:pt idx="7">
                  <c:v>0</c:v>
                </c:pt>
                <c:pt idx="8">
                  <c:v>0</c:v>
                </c:pt>
                <c:pt idx="9">
                  <c:v>0</c:v>
                </c:pt>
                <c:pt idx="10">
                  <c:v>0</c:v>
                </c:pt>
                <c:pt idx="11">
                  <c:v>0</c:v>
                </c:pt>
                <c:pt idx="12">
                  <c:v>0</c:v>
                </c:pt>
              </c:numCache>
            </c:numRef>
          </c:val>
          <c:smooth val="0"/>
          <c:extLst>
            <c:ext xmlns:c16="http://schemas.microsoft.com/office/drawing/2014/chart" uri="{C3380CC4-5D6E-409C-BE32-E72D297353CC}">
              <c16:uniqueId val="{00000002-F0B4-4E4F-81F0-83E221DEDE33}"/>
            </c:ext>
          </c:extLst>
        </c:ser>
        <c:dLbls>
          <c:showLegendKey val="0"/>
          <c:showVal val="0"/>
          <c:showCatName val="0"/>
          <c:showSerName val="0"/>
          <c:showPercent val="0"/>
          <c:showBubbleSize val="0"/>
        </c:dLbls>
        <c:smooth val="0"/>
        <c:axId val="2067937200"/>
        <c:axId val="2067931760"/>
      </c:lineChart>
      <c:catAx>
        <c:axId val="206793720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1760"/>
        <c:crosses val="autoZero"/>
        <c:auto val="1"/>
        <c:lblAlgn val="ctr"/>
        <c:lblOffset val="100"/>
        <c:noMultiLvlLbl val="0"/>
      </c:catAx>
      <c:valAx>
        <c:axId val="2067931760"/>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7200"/>
        <c:crosses val="autoZero"/>
        <c:crossBetween val="midCat"/>
        <c:majorUnit val="2"/>
      </c:valAx>
      <c:spPr>
        <a:noFill/>
        <a:ln>
          <a:noFill/>
        </a:ln>
        <a:effectLst/>
      </c:spPr>
    </c:plotArea>
    <c:legend>
      <c:legendPos val="b"/>
      <c:legendEntry>
        <c:idx val="2"/>
        <c:delete val="1"/>
      </c:legendEntry>
      <c:layout>
        <c:manualLayout>
          <c:xMode val="edge"/>
          <c:yMode val="edge"/>
          <c:x val="2.5218401951955399E-3"/>
          <c:y val="0.81351522231044981"/>
          <c:w val="0.99380576517352959"/>
          <c:h val="0.1864847776895502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4.6435480042223712E-2"/>
          <c:w val="0.85158573928258963"/>
          <c:h val="0.64260453652401861"/>
        </c:manualLayout>
      </c:layout>
      <c:barChart>
        <c:barDir val="col"/>
        <c:grouping val="stacked"/>
        <c:varyColors val="0"/>
        <c:ser>
          <c:idx val="5"/>
          <c:order val="1"/>
          <c:tx>
            <c:strRef>
              <c:f>'Uvoz_ek. namena'!$B$7</c:f>
              <c:strCache>
                <c:ptCount val="1"/>
                <c:pt idx="0">
                  <c:v>Средства за рад</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0">
                <a:spAutoFit/>
              </a:bodyPr>
              <a:lstStyle/>
              <a:p>
                <a:pPr algn="ctr">
                  <a:defRPr lang="en-US" sz="7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I–IX 2022</c:v>
                </c:pt>
              </c:strCache>
            </c:strRef>
          </c:cat>
          <c:val>
            <c:numRef>
              <c:f>'Uvoz_ek. namena'!$D$7:$H$7</c:f>
              <c:numCache>
                <c:formatCode>0.0</c:formatCode>
                <c:ptCount val="5"/>
                <c:pt idx="0">
                  <c:v>2.0698649206021851</c:v>
                </c:pt>
                <c:pt idx="1">
                  <c:v>2.8085607266854353</c:v>
                </c:pt>
                <c:pt idx="2">
                  <c:v>0.22111135776304344</c:v>
                </c:pt>
                <c:pt idx="3">
                  <c:v>2.2711855946071671</c:v>
                </c:pt>
                <c:pt idx="4">
                  <c:v>2.5925708067409778</c:v>
                </c:pt>
              </c:numCache>
            </c:numRef>
          </c:val>
          <c:extLst>
            <c:ext xmlns:c16="http://schemas.microsoft.com/office/drawing/2014/chart" uri="{C3380CC4-5D6E-409C-BE32-E72D297353CC}">
              <c16:uniqueId val="{00000000-4B6C-48BE-8C6B-4CE16CA2C812}"/>
            </c:ext>
          </c:extLst>
        </c:ser>
        <c:ser>
          <c:idx val="0"/>
          <c:order val="2"/>
          <c:tx>
            <c:strRef>
              <c:f>'Uvoz_ek. namena'!$B$8</c:f>
              <c:strCache>
                <c:ptCount val="1"/>
                <c:pt idx="0">
                  <c:v>Репродукција</c:v>
                </c:pt>
              </c:strCache>
            </c:strRef>
          </c:tx>
          <c:spPr>
            <a:solidFill>
              <a:srgbClr val="2183C4"/>
            </a:solidFill>
            <a:ln>
              <a:noFill/>
            </a:ln>
            <a:effectLst/>
          </c:spPr>
          <c:invertIfNegative val="0"/>
          <c:dLbls>
            <c:dLbl>
              <c:idx val="2"/>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6C-48BE-8C6B-4CE16CA2C812}"/>
                </c:ext>
              </c:extLst>
            </c:dLbl>
            <c:dLbl>
              <c:idx val="3"/>
              <c:layout>
                <c:manualLayout>
                  <c:x val="0"/>
                  <c:y val="-1.92424242424242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6C-48BE-8C6B-4CE16CA2C812}"/>
                </c:ext>
              </c:extLst>
            </c:dLbl>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I–IX 2022</c:v>
                </c:pt>
              </c:strCache>
            </c:strRef>
          </c:cat>
          <c:val>
            <c:numRef>
              <c:f>'Uvoz_ek. namena'!$D$8:$H$8</c:f>
              <c:numCache>
                <c:formatCode>0.0</c:formatCode>
                <c:ptCount val="5"/>
                <c:pt idx="0">
                  <c:v>6.5890595999175119</c:v>
                </c:pt>
                <c:pt idx="1">
                  <c:v>3.6183715275084705</c:v>
                </c:pt>
                <c:pt idx="2">
                  <c:v>-5.8440229023300203</c:v>
                </c:pt>
                <c:pt idx="3">
                  <c:v>16.917636183517509</c:v>
                </c:pt>
                <c:pt idx="4">
                  <c:v>25.443859494328596</c:v>
                </c:pt>
              </c:numCache>
            </c:numRef>
          </c:val>
          <c:extLst>
            <c:ext xmlns:c16="http://schemas.microsoft.com/office/drawing/2014/chart" uri="{C3380CC4-5D6E-409C-BE32-E72D297353CC}">
              <c16:uniqueId val="{00000003-4B6C-48BE-8C6B-4CE16CA2C812}"/>
            </c:ext>
          </c:extLst>
        </c:ser>
        <c:ser>
          <c:idx val="1"/>
          <c:order val="3"/>
          <c:tx>
            <c:strRef>
              <c:f>'Uvoz_ek. namena'!$B$9</c:f>
              <c:strCache>
                <c:ptCount val="1"/>
                <c:pt idx="0">
                  <c:v>Потрошна роба</c:v>
                </c:pt>
              </c:strCache>
            </c:strRef>
          </c:tx>
          <c:spPr>
            <a:solidFill>
              <a:srgbClr val="51BBE7"/>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I–IX 2022</c:v>
                </c:pt>
              </c:strCache>
            </c:strRef>
          </c:cat>
          <c:val>
            <c:numRef>
              <c:f>'Uvoz_ek. namena'!$D$9:$H$9</c:f>
              <c:numCache>
                <c:formatCode>0.0</c:formatCode>
                <c:ptCount val="5"/>
                <c:pt idx="0">
                  <c:v>2.0636419880387735</c:v>
                </c:pt>
                <c:pt idx="1">
                  <c:v>2.4162016907937023</c:v>
                </c:pt>
                <c:pt idx="2">
                  <c:v>1.5972699819478706</c:v>
                </c:pt>
                <c:pt idx="3">
                  <c:v>2.7121643410937772</c:v>
                </c:pt>
                <c:pt idx="4">
                  <c:v>4.0292932560807033</c:v>
                </c:pt>
              </c:numCache>
            </c:numRef>
          </c:val>
          <c:extLst>
            <c:ext xmlns:c16="http://schemas.microsoft.com/office/drawing/2014/chart" uri="{C3380CC4-5D6E-409C-BE32-E72D297353CC}">
              <c16:uniqueId val="{00000004-4B6C-48BE-8C6B-4CE16CA2C812}"/>
            </c:ext>
          </c:extLst>
        </c:ser>
        <c:ser>
          <c:idx val="2"/>
          <c:order val="4"/>
          <c:tx>
            <c:strRef>
              <c:f>'Uvoz_ek. namena'!$B$10</c:f>
              <c:strCache>
                <c:ptCount val="1"/>
                <c:pt idx="0">
                  <c:v>Некласификовано</c:v>
                </c:pt>
              </c:strCache>
            </c:strRef>
          </c:tx>
          <c:spPr>
            <a:solidFill>
              <a:srgbClr val="C9E4EB"/>
            </a:solidFill>
            <a:ln>
              <a:noFill/>
            </a:ln>
            <a:effectLst/>
          </c:spPr>
          <c:invertIfNegative val="0"/>
          <c:dLbls>
            <c:dLbl>
              <c:idx val="1"/>
              <c:layout>
                <c:manualLayout>
                  <c:x val="8.7771580635753868E-2"/>
                  <c:y val="-2.9574135265224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6C-48BE-8C6B-4CE16CA2C812}"/>
                </c:ext>
              </c:extLst>
            </c:dLbl>
            <c:dLbl>
              <c:idx val="2"/>
              <c:layout>
                <c:manualLayout>
                  <c:x val="8.3384929833017069E-2"/>
                  <c:y val="-4.46535353535353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6C-48BE-8C6B-4CE16CA2C812}"/>
                </c:ext>
              </c:extLst>
            </c:dLbl>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I–IX 2022</c:v>
                </c:pt>
              </c:strCache>
            </c:strRef>
          </c:cat>
          <c:val>
            <c:numRef>
              <c:f>'Uvoz_ek. namena'!$D$10:$H$10</c:f>
              <c:numCache>
                <c:formatCode>0.0</c:formatCode>
                <c:ptCount val="5"/>
                <c:pt idx="0">
                  <c:v>2.2843833780160847</c:v>
                </c:pt>
                <c:pt idx="1">
                  <c:v>8.2577890112096625E-2</c:v>
                </c:pt>
                <c:pt idx="2">
                  <c:v>0.18220504035551299</c:v>
                </c:pt>
                <c:pt idx="3">
                  <c:v>2.6818954567881286</c:v>
                </c:pt>
                <c:pt idx="4">
                  <c:v>4.7714282913247654</c:v>
                </c:pt>
              </c:numCache>
            </c:numRef>
          </c:val>
          <c:extLst>
            <c:ext xmlns:c16="http://schemas.microsoft.com/office/drawing/2014/chart" uri="{C3380CC4-5D6E-409C-BE32-E72D297353CC}">
              <c16:uniqueId val="{00000007-4B6C-48BE-8C6B-4CE16CA2C812}"/>
            </c:ext>
          </c:extLst>
        </c:ser>
        <c:dLbls>
          <c:showLegendKey val="0"/>
          <c:showVal val="0"/>
          <c:showCatName val="0"/>
          <c:showSerName val="0"/>
          <c:showPercent val="0"/>
          <c:showBubbleSize val="0"/>
        </c:dLbls>
        <c:gapWidth val="70"/>
        <c:overlap val="100"/>
        <c:axId val="1839193360"/>
        <c:axId val="1839196080"/>
      </c:barChart>
      <c:lineChart>
        <c:grouping val="standard"/>
        <c:varyColors val="0"/>
        <c:ser>
          <c:idx val="3"/>
          <c:order val="0"/>
          <c:tx>
            <c:strRef>
              <c:f>'Uvoz_ek. namena'!$B$6</c:f>
              <c:strCache>
                <c:ptCount val="1"/>
                <c:pt idx="0">
                  <c:v>Укупно</c:v>
                </c:pt>
              </c:strCache>
            </c:strRef>
          </c:tx>
          <c:spPr>
            <a:ln w="28575" cap="rnd">
              <a:solidFill>
                <a:srgbClr val="FF0000"/>
              </a:solidFill>
              <a:round/>
            </a:ln>
            <a:effectLst/>
          </c:spPr>
          <c:marker>
            <c:symbol val="none"/>
          </c:marker>
          <c:dLbls>
            <c:dLbl>
              <c:idx val="2"/>
              <c:layout>
                <c:manualLayout>
                  <c:x val="1.1948454359871767E-2"/>
                  <c:y val="-2.980555555555620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6C-48BE-8C6B-4CE16CA2C812}"/>
                </c:ext>
              </c:extLst>
            </c:dLbl>
            <c:dLbl>
              <c:idx val="3"/>
              <c:layout>
                <c:manualLayout>
                  <c:x val="2.3148190376672081E-2"/>
                  <c:y val="2.8222222222222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6C-48BE-8C6B-4CE16CA2C812}"/>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I–IX 2022</c:v>
                </c:pt>
              </c:strCache>
            </c:strRef>
          </c:cat>
          <c:val>
            <c:numRef>
              <c:f>'Uvoz_ek. namena'!$D$6:$H$6</c:f>
              <c:numCache>
                <c:formatCode>0.0</c:formatCode>
                <c:ptCount val="5"/>
                <c:pt idx="0">
                  <c:v>13.006289956692115</c:v>
                </c:pt>
                <c:pt idx="1">
                  <c:v>8.9266242979738593</c:v>
                </c:pt>
                <c:pt idx="2">
                  <c:v>-3.8438511767391508</c:v>
                </c:pt>
                <c:pt idx="3">
                  <c:v>24.583312806334149</c:v>
                </c:pt>
                <c:pt idx="4">
                  <c:v>36.837642030136379</c:v>
                </c:pt>
              </c:numCache>
            </c:numRef>
          </c:val>
          <c:smooth val="0"/>
          <c:extLst>
            <c:ext xmlns:c16="http://schemas.microsoft.com/office/drawing/2014/chart" uri="{C3380CC4-5D6E-409C-BE32-E72D297353CC}">
              <c16:uniqueId val="{0000000A-4B6C-48BE-8C6B-4CE16CA2C812}"/>
            </c:ext>
          </c:extLst>
        </c:ser>
        <c:dLbls>
          <c:showLegendKey val="0"/>
          <c:showVal val="0"/>
          <c:showCatName val="0"/>
          <c:showSerName val="0"/>
          <c:showPercent val="0"/>
          <c:showBubbleSize val="0"/>
        </c:dLbls>
        <c:marker val="1"/>
        <c:smooth val="0"/>
        <c:axId val="1839193360"/>
        <c:axId val="1839196080"/>
      </c:lineChart>
      <c:catAx>
        <c:axId val="183919336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6080"/>
        <c:crosses val="autoZero"/>
        <c:auto val="1"/>
        <c:lblAlgn val="ctr"/>
        <c:lblOffset val="100"/>
        <c:noMultiLvlLbl val="0"/>
      </c:catAx>
      <c:valAx>
        <c:axId val="1839196080"/>
        <c:scaling>
          <c:orientation val="minMax"/>
          <c:max val="50"/>
          <c:min val="-6"/>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3360"/>
        <c:crosses val="autoZero"/>
        <c:crossBetween val="between"/>
        <c:majorUnit val="6"/>
      </c:valAx>
      <c:spPr>
        <a:noFill/>
        <a:ln>
          <a:noFill/>
        </a:ln>
        <a:effectLst/>
      </c:spPr>
    </c:plotArea>
    <c:legend>
      <c:legendPos val="b"/>
      <c:layout>
        <c:manualLayout>
          <c:xMode val="edge"/>
          <c:yMode val="edge"/>
          <c:x val="1.2789078448527259E-2"/>
          <c:y val="0.80912929292929292"/>
          <c:w val="0.91940033537474486"/>
          <c:h val="0.1908707070707071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80796150481189"/>
          <c:y val="4.6989720998531569E-2"/>
          <c:w val="0.86246828521434815"/>
          <c:h val="0.81779689433093983"/>
        </c:manualLayout>
      </c:layout>
      <c:areaChart>
        <c:grouping val="standard"/>
        <c:varyColors val="0"/>
        <c:ser>
          <c:idx val="1"/>
          <c:order val="0"/>
          <c:tx>
            <c:strRef>
              <c:f>'Izvoz, uvoz (Q)'!$A$7</c:f>
              <c:strCache>
                <c:ptCount val="1"/>
                <c:pt idx="0">
                  <c:v>Увоз</c:v>
                </c:pt>
              </c:strCache>
            </c:strRef>
          </c:tx>
          <c:spPr>
            <a:solidFill>
              <a:srgbClr val="51BBE7"/>
            </a:solidFill>
            <a:ln>
              <a:noFill/>
            </a:ln>
            <a:effectLst/>
          </c:spPr>
          <c:dLbls>
            <c:dLbl>
              <c:idx val="0"/>
              <c:layout>
                <c:manualLayout>
                  <c:x val="9.2592592592592587E-3"/>
                  <c:y val="-0.114781633926069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37A7-4D50-95F6-446363294ED5}"/>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(Q)'!$O$3:$AS$4</c:f>
              <c:multiLvlStrCache>
                <c:ptCount val="31"/>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lvl>
                <c:lvl>
                  <c:pt idx="0">
                    <c:v>2015</c:v>
                  </c:pt>
                  <c:pt idx="4">
                    <c:v>2016</c:v>
                  </c:pt>
                  <c:pt idx="8">
                    <c:v>2017</c:v>
                  </c:pt>
                  <c:pt idx="12">
                    <c:v>2018</c:v>
                  </c:pt>
                  <c:pt idx="16">
                    <c:v>2019</c:v>
                  </c:pt>
                  <c:pt idx="20">
                    <c:v>2020</c:v>
                  </c:pt>
                  <c:pt idx="24">
                    <c:v>2021</c:v>
                  </c:pt>
                  <c:pt idx="28">
                    <c:v>2022</c:v>
                  </c:pt>
                </c:lvl>
              </c:multiLvlStrCache>
            </c:multiLvlStrRef>
          </c:cat>
          <c:val>
            <c:numRef>
              <c:f>'Izvoz, uvoz (Q)'!$O$7:$AS$7</c:f>
              <c:numCache>
                <c:formatCode>#,##0.0</c:formatCode>
                <c:ptCount val="31"/>
                <c:pt idx="0">
                  <c:v>3784.8</c:v>
                </c:pt>
                <c:pt idx="1">
                  <c:v>4090.1</c:v>
                </c:pt>
                <c:pt idx="2">
                  <c:v>3962.6</c:v>
                </c:pt>
                <c:pt idx="3">
                  <c:v>4249.1000000000004</c:v>
                </c:pt>
                <c:pt idx="4">
                  <c:v>3898.7717211190502</c:v>
                </c:pt>
                <c:pt idx="5">
                  <c:v>4458.9206734116106</c:v>
                </c:pt>
                <c:pt idx="6">
                  <c:v>4149.7076054693389</c:v>
                </c:pt>
                <c:pt idx="7">
                  <c:v>4560.5000000000018</c:v>
                </c:pt>
                <c:pt idx="8">
                  <c:v>4508.1000000000004</c:v>
                </c:pt>
                <c:pt idx="9">
                  <c:v>4918.5</c:v>
                </c:pt>
                <c:pt idx="10">
                  <c:v>4707.2999999999993</c:v>
                </c:pt>
                <c:pt idx="11">
                  <c:v>5262.1</c:v>
                </c:pt>
                <c:pt idx="12">
                  <c:v>5075.8999999999996</c:v>
                </c:pt>
                <c:pt idx="13">
                  <c:v>5458.7000000000007</c:v>
                </c:pt>
                <c:pt idx="14">
                  <c:v>5419</c:v>
                </c:pt>
                <c:pt idx="15">
                  <c:v>5965.1</c:v>
                </c:pt>
                <c:pt idx="16">
                  <c:v>5560.6</c:v>
                </c:pt>
                <c:pt idx="17">
                  <c:v>5942</c:v>
                </c:pt>
                <c:pt idx="18">
                  <c:v>5842.9999999999982</c:v>
                </c:pt>
                <c:pt idx="19">
                  <c:v>6529.7000000000007</c:v>
                </c:pt>
                <c:pt idx="20">
                  <c:v>5986.9</c:v>
                </c:pt>
                <c:pt idx="21">
                  <c:v>4743.2000000000007</c:v>
                </c:pt>
                <c:pt idx="22">
                  <c:v>5793.9999999999982</c:v>
                </c:pt>
                <c:pt idx="23">
                  <c:v>6433.5</c:v>
                </c:pt>
                <c:pt idx="24">
                  <c:v>6016.4</c:v>
                </c:pt>
                <c:pt idx="25">
                  <c:v>7087.5</c:v>
                </c:pt>
                <c:pt idx="26">
                  <c:v>7296.6999999999989</c:v>
                </c:pt>
                <c:pt idx="27">
                  <c:v>8200.6756910592994</c:v>
                </c:pt>
                <c:pt idx="28">
                  <c:v>8931.6852413599299</c:v>
                </c:pt>
                <c:pt idx="29">
                  <c:v>9970.3258094155717</c:v>
                </c:pt>
                <c:pt idx="30">
                  <c:v>9013.6889492244991</c:v>
                </c:pt>
              </c:numCache>
            </c:numRef>
          </c:val>
          <c:extLst>
            <c:ext xmlns:c16="http://schemas.microsoft.com/office/drawing/2014/chart" uri="{C3380CC4-5D6E-409C-BE32-E72D297353CC}">
              <c16:uniqueId val="{00000001-37A7-4D50-95F6-446363294ED5}"/>
            </c:ext>
          </c:extLst>
        </c:ser>
        <c:ser>
          <c:idx val="0"/>
          <c:order val="1"/>
          <c:tx>
            <c:strRef>
              <c:f>'Izvoz, uvoz (Q)'!$A$8</c:f>
              <c:strCache>
                <c:ptCount val="1"/>
                <c:pt idx="0">
                  <c:v>Извоз</c:v>
                </c:pt>
              </c:strCache>
            </c:strRef>
          </c:tx>
          <c:spPr>
            <a:solidFill>
              <a:srgbClr val="29489A"/>
            </a:solidFill>
            <a:ln>
              <a:noFill/>
            </a:ln>
            <a:effectLst/>
          </c:spPr>
          <c:dLbls>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(Q)'!$O$3:$AS$4</c:f>
              <c:multiLvlStrCache>
                <c:ptCount val="31"/>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lvl>
                <c:lvl>
                  <c:pt idx="0">
                    <c:v>2015</c:v>
                  </c:pt>
                  <c:pt idx="4">
                    <c:v>2016</c:v>
                  </c:pt>
                  <c:pt idx="8">
                    <c:v>2017</c:v>
                  </c:pt>
                  <c:pt idx="12">
                    <c:v>2018</c:v>
                  </c:pt>
                  <c:pt idx="16">
                    <c:v>2019</c:v>
                  </c:pt>
                  <c:pt idx="20">
                    <c:v>2020</c:v>
                  </c:pt>
                  <c:pt idx="24">
                    <c:v>2021</c:v>
                  </c:pt>
                  <c:pt idx="28">
                    <c:v>2022</c:v>
                  </c:pt>
                </c:lvl>
              </c:multiLvlStrCache>
            </c:multiLvlStrRef>
          </c:cat>
          <c:val>
            <c:numRef>
              <c:f>'Izvoz, uvoz (Q)'!$O$8:$AS$8</c:f>
              <c:numCache>
                <c:formatCode>#,##0.0</c:formatCode>
                <c:ptCount val="31"/>
                <c:pt idx="0">
                  <c:v>2774.5</c:v>
                </c:pt>
                <c:pt idx="1">
                  <c:v>3193.8</c:v>
                </c:pt>
                <c:pt idx="2">
                  <c:v>3041.9</c:v>
                </c:pt>
                <c:pt idx="3">
                  <c:v>3028.5</c:v>
                </c:pt>
                <c:pt idx="4">
                  <c:v>3093.6981629093693</c:v>
                </c:pt>
                <c:pt idx="5">
                  <c:v>3473.8402049835208</c:v>
                </c:pt>
                <c:pt idx="6">
                  <c:v>3353.2616321071091</c:v>
                </c:pt>
                <c:pt idx="7">
                  <c:v>3511.3000000000011</c:v>
                </c:pt>
                <c:pt idx="8">
                  <c:v>3516.4</c:v>
                </c:pt>
                <c:pt idx="9">
                  <c:v>3948.9999999999995</c:v>
                </c:pt>
                <c:pt idx="10">
                  <c:v>3785.7000000000007</c:v>
                </c:pt>
                <c:pt idx="11">
                  <c:v>3799.6999999999989</c:v>
                </c:pt>
                <c:pt idx="12">
                  <c:v>3829.1</c:v>
                </c:pt>
                <c:pt idx="13">
                  <c:v>4218.6000000000004</c:v>
                </c:pt>
                <c:pt idx="14">
                  <c:v>4091.0999999999995</c:v>
                </c:pt>
                <c:pt idx="15">
                  <c:v>4143.2000000000007</c:v>
                </c:pt>
                <c:pt idx="16">
                  <c:v>4102.1000000000004</c:v>
                </c:pt>
                <c:pt idx="17">
                  <c:v>4488.7999999999993</c:v>
                </c:pt>
                <c:pt idx="18">
                  <c:v>4404.1000000000004</c:v>
                </c:pt>
                <c:pt idx="19">
                  <c:v>4541.4000000000015</c:v>
                </c:pt>
                <c:pt idx="20">
                  <c:v>4237.5</c:v>
                </c:pt>
                <c:pt idx="21">
                  <c:v>3597.2</c:v>
                </c:pt>
                <c:pt idx="22">
                  <c:v>4371.2</c:v>
                </c:pt>
                <c:pt idx="23">
                  <c:v>4848.6000000000004</c:v>
                </c:pt>
                <c:pt idx="24">
                  <c:v>4837.7</c:v>
                </c:pt>
                <c:pt idx="25">
                  <c:v>5236.7</c:v>
                </c:pt>
                <c:pt idx="26">
                  <c:v>5560.6</c:v>
                </c:pt>
                <c:pt idx="27">
                  <c:v>5985.826326402901</c:v>
                </c:pt>
                <c:pt idx="28">
                  <c:v>6215.7695300192099</c:v>
                </c:pt>
                <c:pt idx="29">
                  <c:v>6931.5406756664888</c:v>
                </c:pt>
                <c:pt idx="30">
                  <c:v>6825.6897943143013</c:v>
                </c:pt>
              </c:numCache>
            </c:numRef>
          </c:val>
          <c:extLst>
            <c:ext xmlns:c16="http://schemas.microsoft.com/office/drawing/2014/chart" uri="{C3380CC4-5D6E-409C-BE32-E72D297353CC}">
              <c16:uniqueId val="{00000002-37A7-4D50-95F6-446363294ED5}"/>
            </c:ext>
          </c:extLst>
        </c:ser>
        <c:ser>
          <c:idx val="2"/>
          <c:order val="2"/>
          <c:tx>
            <c:strRef>
              <c:f>'Izvoz, uvoz (Q)'!$A$9</c:f>
              <c:strCache>
                <c:ptCount val="1"/>
                <c:pt idx="0">
                  <c:v>Дефицит</c:v>
                </c:pt>
              </c:strCache>
            </c:strRef>
          </c:tx>
          <c:spPr>
            <a:solidFill>
              <a:srgbClr val="ED1C24"/>
            </a:solidFill>
            <a:ln>
              <a:noFill/>
            </a:ln>
            <a:effectLst/>
          </c:spPr>
          <c:dLbls>
            <c:dLbl>
              <c:idx val="0"/>
              <c:layout>
                <c:manualLayout>
                  <c:x val="0"/>
                  <c:y val="-2.2962112514351322E-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E6AB-4C76-8250-09A41399675D}"/>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(Q)'!$O$3:$AS$4</c:f>
              <c:multiLvlStrCache>
                <c:ptCount val="31"/>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lvl>
                <c:lvl>
                  <c:pt idx="0">
                    <c:v>2015</c:v>
                  </c:pt>
                  <c:pt idx="4">
                    <c:v>2016</c:v>
                  </c:pt>
                  <c:pt idx="8">
                    <c:v>2017</c:v>
                  </c:pt>
                  <c:pt idx="12">
                    <c:v>2018</c:v>
                  </c:pt>
                  <c:pt idx="16">
                    <c:v>2019</c:v>
                  </c:pt>
                  <c:pt idx="20">
                    <c:v>2020</c:v>
                  </c:pt>
                  <c:pt idx="24">
                    <c:v>2021</c:v>
                  </c:pt>
                  <c:pt idx="28">
                    <c:v>2022</c:v>
                  </c:pt>
                </c:lvl>
              </c:multiLvlStrCache>
            </c:multiLvlStrRef>
          </c:cat>
          <c:val>
            <c:numRef>
              <c:f>'Izvoz, uvoz (Q)'!$O$9:$AS$9</c:f>
              <c:numCache>
                <c:formatCode>#,##0.0</c:formatCode>
                <c:ptCount val="31"/>
                <c:pt idx="0">
                  <c:v>-1010.3000000000002</c:v>
                </c:pt>
                <c:pt idx="1">
                  <c:v>-896.29999999999973</c:v>
                </c:pt>
                <c:pt idx="2">
                  <c:v>-920.69999999999982</c:v>
                </c:pt>
                <c:pt idx="3">
                  <c:v>-1220.6000000000004</c:v>
                </c:pt>
                <c:pt idx="4">
                  <c:v>-805.07355820968087</c:v>
                </c:pt>
                <c:pt idx="5">
                  <c:v>-985.08046842808972</c:v>
                </c:pt>
                <c:pt idx="6">
                  <c:v>-796.44597336222978</c:v>
                </c:pt>
                <c:pt idx="7">
                  <c:v>-1049.2000000000007</c:v>
                </c:pt>
                <c:pt idx="8">
                  <c:v>-991.70000000000027</c:v>
                </c:pt>
                <c:pt idx="9">
                  <c:v>-969.50000000000045</c:v>
                </c:pt>
                <c:pt idx="10">
                  <c:v>-921.59999999999854</c:v>
                </c:pt>
                <c:pt idx="11">
                  <c:v>-1462.4000000000015</c:v>
                </c:pt>
                <c:pt idx="12">
                  <c:v>-1246.7999999999997</c:v>
                </c:pt>
                <c:pt idx="13">
                  <c:v>-1240.1000000000004</c:v>
                </c:pt>
                <c:pt idx="14">
                  <c:v>-1327.9000000000005</c:v>
                </c:pt>
                <c:pt idx="15">
                  <c:v>-1821.8999999999996</c:v>
                </c:pt>
                <c:pt idx="16">
                  <c:v>-1458.5</c:v>
                </c:pt>
                <c:pt idx="17">
                  <c:v>-1453.2000000000007</c:v>
                </c:pt>
                <c:pt idx="18">
                  <c:v>-1438.8999999999978</c:v>
                </c:pt>
                <c:pt idx="19">
                  <c:v>-1988.2999999999993</c:v>
                </c:pt>
                <c:pt idx="20">
                  <c:v>-1749.3999999999996</c:v>
                </c:pt>
                <c:pt idx="21">
                  <c:v>-1146.0000000000009</c:v>
                </c:pt>
                <c:pt idx="22">
                  <c:v>-1422.7999999999984</c:v>
                </c:pt>
                <c:pt idx="23">
                  <c:v>-1584.8999999999996</c:v>
                </c:pt>
                <c:pt idx="24">
                  <c:v>-1178.6999999999998</c:v>
                </c:pt>
                <c:pt idx="25">
                  <c:v>-1850.8000000000002</c:v>
                </c:pt>
                <c:pt idx="26">
                  <c:v>-1736.0999999999985</c:v>
                </c:pt>
                <c:pt idx="27">
                  <c:v>-2214.8493646563984</c:v>
                </c:pt>
                <c:pt idx="28">
                  <c:v>-2715.91571134072</c:v>
                </c:pt>
                <c:pt idx="29">
                  <c:v>-3038.7851337490829</c:v>
                </c:pt>
                <c:pt idx="30">
                  <c:v>-2187.9991549101978</c:v>
                </c:pt>
              </c:numCache>
            </c:numRef>
          </c:val>
          <c:extLst>
            <c:ext xmlns:c16="http://schemas.microsoft.com/office/drawing/2014/chart" uri="{C3380CC4-5D6E-409C-BE32-E72D297353CC}">
              <c16:uniqueId val="{00000003-37A7-4D50-95F6-446363294ED5}"/>
            </c:ext>
          </c:extLst>
        </c:ser>
        <c:dLbls>
          <c:showLegendKey val="0"/>
          <c:showVal val="0"/>
          <c:showCatName val="0"/>
          <c:showSerName val="0"/>
          <c:showPercent val="0"/>
          <c:showBubbleSize val="0"/>
        </c:dLbls>
        <c:axId val="1839202064"/>
        <c:axId val="1839196624"/>
      </c:areaChart>
      <c:catAx>
        <c:axId val="18392020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5400000" spcFirstLastPara="1" vertOverflow="ellipsis" wrap="square" anchor="ctr" anchorCtr="1"/>
          <a:lstStyle/>
          <a:p>
            <a:pPr>
              <a:defRPr sz="490" b="0" i="0" u="none" strike="noStrike" kern="1200" baseline="0">
                <a:solidFill>
                  <a:schemeClr val="tx2"/>
                </a:solidFill>
                <a:latin typeface="+mn-lt"/>
                <a:ea typeface="+mn-ea"/>
                <a:cs typeface="+mn-cs"/>
              </a:defRPr>
            </a:pPr>
            <a:endParaRPr lang="en-US"/>
          </a:p>
        </c:txPr>
        <c:crossAx val="1839196624"/>
        <c:crosses val="autoZero"/>
        <c:auto val="1"/>
        <c:lblAlgn val="ctr"/>
        <c:lblOffset val="0"/>
        <c:noMultiLvlLbl val="0"/>
      </c:catAx>
      <c:valAx>
        <c:axId val="1839196624"/>
        <c:scaling>
          <c:orientation val="minMax"/>
          <c:max val="10000"/>
          <c:min val="-350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202064"/>
        <c:crosses val="autoZero"/>
        <c:crossBetween val="between"/>
        <c:majorUnit val="1500"/>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39150826485673E-2"/>
          <c:y val="3.2258064516129031E-2"/>
          <c:w val="0.90409995360749396"/>
          <c:h val="0.75972906612479885"/>
        </c:manualLayout>
      </c:layout>
      <c:barChart>
        <c:barDir val="col"/>
        <c:grouping val="stacked"/>
        <c:varyColors val="0"/>
        <c:ser>
          <c:idx val="0"/>
          <c:order val="1"/>
          <c:tx>
            <c:strRef>
              <c:f>'Struktura CA i FA'!$B$10</c:f>
              <c:strCache>
                <c:ptCount val="1"/>
                <c:pt idx="0">
                  <c:v>Салдо робне размене </c:v>
                </c:pt>
              </c:strCache>
            </c:strRef>
          </c:tx>
          <c:spPr>
            <a:solidFill>
              <a:srgbClr val="10103C"/>
            </a:solidFill>
            <a:ln>
              <a:noFill/>
            </a:ln>
            <a:effectLst/>
          </c:spPr>
          <c:invertIfNegative val="0"/>
          <c:cat>
            <c:strRef>
              <c:f>'Struktura CA i FA'!$G$8:$M$8</c:f>
              <c:strCache>
                <c:ptCount val="7"/>
                <c:pt idx="0">
                  <c:v>2019</c:v>
                </c:pt>
                <c:pt idx="1">
                  <c:v>2020</c:v>
                </c:pt>
                <c:pt idx="2">
                  <c:v>2021</c:v>
                </c:pt>
                <c:pt idx="3">
                  <c:v>2022*</c:v>
                </c:pt>
                <c:pt idx="4">
                  <c:v>2023</c:v>
                </c:pt>
                <c:pt idx="5">
                  <c:v>2024</c:v>
                </c:pt>
                <c:pt idx="6">
                  <c:v>2025</c:v>
                </c:pt>
              </c:strCache>
            </c:strRef>
          </c:cat>
          <c:val>
            <c:numRef>
              <c:f>'Struktura CA i FA'!$G$10:$M$10</c:f>
              <c:numCache>
                <c:formatCode>0.0</c:formatCode>
                <c:ptCount val="7"/>
                <c:pt idx="0">
                  <c:v>-12.223377198901446</c:v>
                </c:pt>
                <c:pt idx="1">
                  <c:v>-11.109010566379723</c:v>
                </c:pt>
                <c:pt idx="2">
                  <c:v>-11.108391470734293</c:v>
                </c:pt>
                <c:pt idx="3">
                  <c:v>-14.768590795026103</c:v>
                </c:pt>
                <c:pt idx="4">
                  <c:v>-13.526612526288762</c:v>
                </c:pt>
                <c:pt idx="5">
                  <c:v>-12.054005279929818</c:v>
                </c:pt>
                <c:pt idx="6">
                  <c:v>-11.097711133804612</c:v>
                </c:pt>
              </c:numCache>
            </c:numRef>
          </c:val>
          <c:extLst>
            <c:ext xmlns:c16="http://schemas.microsoft.com/office/drawing/2014/chart" uri="{C3380CC4-5D6E-409C-BE32-E72D297353CC}">
              <c16:uniqueId val="{00000000-EF1E-4971-8279-39962E1CEDB4}"/>
            </c:ext>
          </c:extLst>
        </c:ser>
        <c:ser>
          <c:idx val="1"/>
          <c:order val="2"/>
          <c:tx>
            <c:strRef>
              <c:f>'Struktura CA i FA'!$B$11</c:f>
              <c:strCache>
                <c:ptCount val="1"/>
                <c:pt idx="0">
                  <c:v>Салдо услугa</c:v>
                </c:pt>
              </c:strCache>
            </c:strRef>
          </c:tx>
          <c:spPr>
            <a:solidFill>
              <a:srgbClr val="29489A"/>
            </a:solidFill>
            <a:ln>
              <a:noFill/>
            </a:ln>
            <a:effectLst/>
          </c:spPr>
          <c:invertIfNegative val="0"/>
          <c:cat>
            <c:strRef>
              <c:f>'Struktura CA i FA'!$G$8:$M$8</c:f>
              <c:strCache>
                <c:ptCount val="7"/>
                <c:pt idx="0">
                  <c:v>2019</c:v>
                </c:pt>
                <c:pt idx="1">
                  <c:v>2020</c:v>
                </c:pt>
                <c:pt idx="2">
                  <c:v>2021</c:v>
                </c:pt>
                <c:pt idx="3">
                  <c:v>2022*</c:v>
                </c:pt>
                <c:pt idx="4">
                  <c:v>2023</c:v>
                </c:pt>
                <c:pt idx="5">
                  <c:v>2024</c:v>
                </c:pt>
                <c:pt idx="6">
                  <c:v>2025</c:v>
                </c:pt>
              </c:strCache>
            </c:strRef>
          </c:cat>
          <c:val>
            <c:numRef>
              <c:f>'Struktura CA i FA'!$G$11:$M$11</c:f>
              <c:numCache>
                <c:formatCode>0.0</c:formatCode>
                <c:ptCount val="7"/>
                <c:pt idx="0">
                  <c:v>2.1992703934762119</c:v>
                </c:pt>
                <c:pt idx="1">
                  <c:v>2.3531802586861801</c:v>
                </c:pt>
                <c:pt idx="2">
                  <c:v>2.6223421620591698</c:v>
                </c:pt>
                <c:pt idx="3">
                  <c:v>2.554881809331675</c:v>
                </c:pt>
                <c:pt idx="4">
                  <c:v>2.642203206437304</c:v>
                </c:pt>
                <c:pt idx="5">
                  <c:v>2.6128234908451207</c:v>
                </c:pt>
                <c:pt idx="6">
                  <c:v>2.7307850992170879</c:v>
                </c:pt>
              </c:numCache>
            </c:numRef>
          </c:val>
          <c:extLst>
            <c:ext xmlns:c16="http://schemas.microsoft.com/office/drawing/2014/chart" uri="{C3380CC4-5D6E-409C-BE32-E72D297353CC}">
              <c16:uniqueId val="{00000001-EF1E-4971-8279-39962E1CEDB4}"/>
            </c:ext>
          </c:extLst>
        </c:ser>
        <c:ser>
          <c:idx val="2"/>
          <c:order val="3"/>
          <c:tx>
            <c:strRef>
              <c:f>'Struktura CA i FA'!$B$12</c:f>
              <c:strCache>
                <c:ptCount val="1"/>
                <c:pt idx="0">
                  <c:v>Салдо дохотка           </c:v>
                </c:pt>
              </c:strCache>
            </c:strRef>
          </c:tx>
          <c:spPr>
            <a:solidFill>
              <a:srgbClr val="2183C4"/>
            </a:solidFill>
            <a:ln>
              <a:noFill/>
            </a:ln>
            <a:effectLst/>
          </c:spPr>
          <c:invertIfNegative val="0"/>
          <c:cat>
            <c:strRef>
              <c:f>'Struktura CA i FA'!$G$8:$M$8</c:f>
              <c:strCache>
                <c:ptCount val="7"/>
                <c:pt idx="0">
                  <c:v>2019</c:v>
                </c:pt>
                <c:pt idx="1">
                  <c:v>2020</c:v>
                </c:pt>
                <c:pt idx="2">
                  <c:v>2021</c:v>
                </c:pt>
                <c:pt idx="3">
                  <c:v>2022*</c:v>
                </c:pt>
                <c:pt idx="4">
                  <c:v>2023</c:v>
                </c:pt>
                <c:pt idx="5">
                  <c:v>2024</c:v>
                </c:pt>
                <c:pt idx="6">
                  <c:v>2025</c:v>
                </c:pt>
              </c:strCache>
            </c:strRef>
          </c:cat>
          <c:val>
            <c:numRef>
              <c:f>'Struktura CA i FA'!$G$12:$M$12</c:f>
              <c:numCache>
                <c:formatCode>0.0</c:formatCode>
                <c:ptCount val="7"/>
                <c:pt idx="0">
                  <c:v>-5.3875041050492367</c:v>
                </c:pt>
                <c:pt idx="1">
                  <c:v>-3.0429940120534491</c:v>
                </c:pt>
                <c:pt idx="2">
                  <c:v>-3.8587147300336189</c:v>
                </c:pt>
                <c:pt idx="3">
                  <c:v>-4.7282053208070538</c:v>
                </c:pt>
                <c:pt idx="4">
                  <c:v>-4.74128686488472</c:v>
                </c:pt>
                <c:pt idx="5">
                  <c:v>-4.7811976250000967</c:v>
                </c:pt>
                <c:pt idx="6">
                  <c:v>-5.112428724561676</c:v>
                </c:pt>
              </c:numCache>
            </c:numRef>
          </c:val>
          <c:extLst>
            <c:ext xmlns:c16="http://schemas.microsoft.com/office/drawing/2014/chart" uri="{C3380CC4-5D6E-409C-BE32-E72D297353CC}">
              <c16:uniqueId val="{00000002-EF1E-4971-8279-39962E1CEDB4}"/>
            </c:ext>
          </c:extLst>
        </c:ser>
        <c:ser>
          <c:idx val="3"/>
          <c:order val="4"/>
          <c:tx>
            <c:strRef>
              <c:f>'Struktura CA i FA'!$B$13</c:f>
              <c:strCache>
                <c:ptCount val="1"/>
                <c:pt idx="0">
                  <c:v>Салдо текућих трансфера</c:v>
                </c:pt>
              </c:strCache>
            </c:strRef>
          </c:tx>
          <c:spPr>
            <a:solidFill>
              <a:srgbClr val="51BBE7"/>
            </a:solidFill>
            <a:ln>
              <a:noFill/>
            </a:ln>
            <a:effectLst/>
          </c:spPr>
          <c:invertIfNegative val="0"/>
          <c:cat>
            <c:strRef>
              <c:f>'Struktura CA i FA'!$G$8:$M$8</c:f>
              <c:strCache>
                <c:ptCount val="7"/>
                <c:pt idx="0">
                  <c:v>2019</c:v>
                </c:pt>
                <c:pt idx="1">
                  <c:v>2020</c:v>
                </c:pt>
                <c:pt idx="2">
                  <c:v>2021</c:v>
                </c:pt>
                <c:pt idx="3">
                  <c:v>2022*</c:v>
                </c:pt>
                <c:pt idx="4">
                  <c:v>2023</c:v>
                </c:pt>
                <c:pt idx="5">
                  <c:v>2024</c:v>
                </c:pt>
                <c:pt idx="6">
                  <c:v>2025</c:v>
                </c:pt>
              </c:strCache>
            </c:strRef>
          </c:cat>
          <c:val>
            <c:numRef>
              <c:f>'Struktura CA i FA'!$G$13:$M$13</c:f>
              <c:numCache>
                <c:formatCode>0.0</c:formatCode>
                <c:ptCount val="7"/>
                <c:pt idx="0">
                  <c:v>8.5408920891201952</c:v>
                </c:pt>
                <c:pt idx="1">
                  <c:v>7.6788649807282559</c:v>
                </c:pt>
                <c:pt idx="2">
                  <c:v>8.03868088721973</c:v>
                </c:pt>
                <c:pt idx="3">
                  <c:v>7.9798833659936594</c:v>
                </c:pt>
                <c:pt idx="4">
                  <c:v>7.133948657380726</c:v>
                </c:pt>
                <c:pt idx="5">
                  <c:v>7.5421709014086042</c:v>
                </c:pt>
                <c:pt idx="6">
                  <c:v>7.4816030115536725</c:v>
                </c:pt>
              </c:numCache>
            </c:numRef>
          </c:val>
          <c:extLst>
            <c:ext xmlns:c16="http://schemas.microsoft.com/office/drawing/2014/chart" uri="{C3380CC4-5D6E-409C-BE32-E72D297353CC}">
              <c16:uniqueId val="{00000003-EF1E-4971-8279-39962E1CEDB4}"/>
            </c:ext>
          </c:extLst>
        </c:ser>
        <c:dLbls>
          <c:showLegendKey val="0"/>
          <c:showVal val="0"/>
          <c:showCatName val="0"/>
          <c:showSerName val="0"/>
          <c:showPercent val="0"/>
          <c:showBubbleSize val="0"/>
        </c:dLbls>
        <c:gapWidth val="50"/>
        <c:overlap val="100"/>
        <c:axId val="1763590384"/>
        <c:axId val="1763611056"/>
      </c:barChart>
      <c:lineChart>
        <c:grouping val="standard"/>
        <c:varyColors val="0"/>
        <c:ser>
          <c:idx val="4"/>
          <c:order val="0"/>
          <c:tx>
            <c:strRef>
              <c:f>'Struktura CA i FA'!$B$9</c:f>
              <c:strCache>
                <c:ptCount val="1"/>
                <c:pt idx="0">
                  <c:v>Дефицит текућег рачуна</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'Struktura CA i FA'!$G$8:$M$8</c:f>
              <c:strCache>
                <c:ptCount val="7"/>
                <c:pt idx="0">
                  <c:v>2019</c:v>
                </c:pt>
                <c:pt idx="1">
                  <c:v>2020</c:v>
                </c:pt>
                <c:pt idx="2">
                  <c:v>2021</c:v>
                </c:pt>
                <c:pt idx="3">
                  <c:v>2022*</c:v>
                </c:pt>
                <c:pt idx="4">
                  <c:v>2023</c:v>
                </c:pt>
                <c:pt idx="5">
                  <c:v>2024</c:v>
                </c:pt>
                <c:pt idx="6">
                  <c:v>2025</c:v>
                </c:pt>
              </c:strCache>
            </c:strRef>
          </c:cat>
          <c:val>
            <c:numRef>
              <c:f>'Struktura CA i FA'!$G$9:$M$9</c:f>
              <c:numCache>
                <c:formatCode>0.0</c:formatCode>
                <c:ptCount val="7"/>
                <c:pt idx="0">
                  <c:v>-6.8707188213542798</c:v>
                </c:pt>
                <c:pt idx="1">
                  <c:v>-4.1199593390187337</c:v>
                </c:pt>
                <c:pt idx="2">
                  <c:v>-4.3060831514890108</c:v>
                </c:pt>
                <c:pt idx="3">
                  <c:v>-8.9620309405078267</c:v>
                </c:pt>
                <c:pt idx="4">
                  <c:v>-8.4917475273554537</c:v>
                </c:pt>
                <c:pt idx="5">
                  <c:v>-6.6802085126761916</c:v>
                </c:pt>
                <c:pt idx="6">
                  <c:v>-5.9977517475955286</c:v>
                </c:pt>
              </c:numCache>
            </c:numRef>
          </c:val>
          <c:smooth val="0"/>
          <c:extLst>
            <c:ext xmlns:c16="http://schemas.microsoft.com/office/drawing/2014/chart" uri="{C3380CC4-5D6E-409C-BE32-E72D297353CC}">
              <c16:uniqueId val="{00000004-EF1E-4971-8279-39962E1CEDB4}"/>
            </c:ext>
          </c:extLst>
        </c:ser>
        <c:dLbls>
          <c:showLegendKey val="0"/>
          <c:showVal val="0"/>
          <c:showCatName val="0"/>
          <c:showSerName val="0"/>
          <c:showPercent val="0"/>
          <c:showBubbleSize val="0"/>
        </c:dLbls>
        <c:marker val="1"/>
        <c:smooth val="0"/>
        <c:axId val="1763590384"/>
        <c:axId val="1763611056"/>
      </c:lineChart>
      <c:catAx>
        <c:axId val="1763590384"/>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bg1"/>
                </a:solidFill>
                <a:latin typeface="+mn-lt"/>
                <a:ea typeface="+mn-ea"/>
                <a:cs typeface="+mn-cs"/>
              </a:defRPr>
            </a:pPr>
            <a:endParaRPr lang="en-US"/>
          </a:p>
        </c:txPr>
        <c:crossAx val="1763611056"/>
        <c:crosses val="autoZero"/>
        <c:auto val="1"/>
        <c:lblAlgn val="ctr"/>
        <c:lblOffset val="100"/>
        <c:noMultiLvlLbl val="0"/>
      </c:catAx>
      <c:valAx>
        <c:axId val="1763611056"/>
        <c:scaling>
          <c:orientation val="minMax"/>
          <c:max val="15"/>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3590384"/>
        <c:crosses val="autoZero"/>
        <c:crossBetween val="between"/>
        <c:majorUnit val="5"/>
      </c:valAx>
      <c:spPr>
        <a:noFill/>
        <a:ln>
          <a:noFill/>
        </a:ln>
        <a:effectLst/>
      </c:spPr>
    </c:plotArea>
    <c:legend>
      <c:legendPos val="b"/>
      <c:layout>
        <c:manualLayout>
          <c:xMode val="edge"/>
          <c:yMode val="edge"/>
          <c:x val="1.14209682123068E-3"/>
          <c:y val="0.85112691558716447"/>
          <c:w val="0.99885790317876932"/>
          <c:h val="0.148873084412835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7937445319335081E-2"/>
          <c:y val="5.0925925925925923E-2"/>
          <c:w val="0.92150699912510936"/>
          <c:h val="0.70304067460317465"/>
        </c:manualLayout>
      </c:layout>
      <c:barChart>
        <c:barDir val="col"/>
        <c:grouping val="clustered"/>
        <c:varyColors val="0"/>
        <c:ser>
          <c:idx val="0"/>
          <c:order val="0"/>
          <c:tx>
            <c:strRef>
              <c:f>'Def. tek. racuna i SDI'!$B$8</c:f>
              <c:strCache>
                <c:ptCount val="1"/>
                <c:pt idx="0">
                  <c:v>Дефицит текућег рачуна, % БДП</c:v>
                </c:pt>
              </c:strCache>
            </c:strRef>
          </c:tx>
          <c:spPr>
            <a:solidFill>
              <a:srgbClr val="29489A"/>
            </a:solidFill>
            <a:ln>
              <a:noFill/>
            </a:ln>
            <a:effectLst/>
          </c:spPr>
          <c:invertIfNegative val="0"/>
          <c:cat>
            <c:numRef>
              <c:f>'Def. tek. racuna i SDI'!$F$7:$M$7</c:f>
              <c:numCache>
                <c:formatCode>General</c:formatCode>
                <c:ptCount val="8"/>
                <c:pt idx="0">
                  <c:v>2018</c:v>
                </c:pt>
                <c:pt idx="1">
                  <c:v>2019</c:v>
                </c:pt>
                <c:pt idx="2">
                  <c:v>2020</c:v>
                </c:pt>
                <c:pt idx="3">
                  <c:v>2021</c:v>
                </c:pt>
                <c:pt idx="4">
                  <c:v>2022</c:v>
                </c:pt>
                <c:pt idx="5">
                  <c:v>2023</c:v>
                </c:pt>
                <c:pt idx="6">
                  <c:v>2024</c:v>
                </c:pt>
                <c:pt idx="7">
                  <c:v>2025</c:v>
                </c:pt>
              </c:numCache>
            </c:numRef>
          </c:cat>
          <c:val>
            <c:numRef>
              <c:f>'Def. tek. racuna i SDI'!$F$8:$M$8</c:f>
              <c:numCache>
                <c:formatCode>0.0</c:formatCode>
                <c:ptCount val="8"/>
                <c:pt idx="0">
                  <c:v>4.8403457796066034</c:v>
                </c:pt>
                <c:pt idx="1">
                  <c:v>6.8707188213542798</c:v>
                </c:pt>
                <c:pt idx="2">
                  <c:v>4.1199593390187337</c:v>
                </c:pt>
                <c:pt idx="3">
                  <c:v>4.3060831514890108</c:v>
                </c:pt>
                <c:pt idx="4">
                  <c:v>8.9620309405078267</c:v>
                </c:pt>
                <c:pt idx="5">
                  <c:v>8.4917475273554537</c:v>
                </c:pt>
                <c:pt idx="6">
                  <c:v>6.6802085126761916</c:v>
                </c:pt>
                <c:pt idx="7">
                  <c:v>5.9977517475955286</c:v>
                </c:pt>
              </c:numCache>
            </c:numRef>
          </c:val>
          <c:extLst>
            <c:ext xmlns:c16="http://schemas.microsoft.com/office/drawing/2014/chart" uri="{C3380CC4-5D6E-409C-BE32-E72D297353CC}">
              <c16:uniqueId val="{00000000-AE4A-480D-B0FD-33CB03D35A4A}"/>
            </c:ext>
          </c:extLst>
        </c:ser>
        <c:ser>
          <c:idx val="1"/>
          <c:order val="1"/>
          <c:tx>
            <c:strRef>
              <c:f>'Def. tek. racuna i SDI'!$B$9</c:f>
              <c:strCache>
                <c:ptCount val="1"/>
                <c:pt idx="0">
                  <c:v>Стране директне инвестиције, нето, % БДП</c:v>
                </c:pt>
              </c:strCache>
            </c:strRef>
          </c:tx>
          <c:spPr>
            <a:solidFill>
              <a:srgbClr val="51BBE7"/>
            </a:solidFill>
            <a:ln>
              <a:noFill/>
            </a:ln>
            <a:effectLst/>
          </c:spPr>
          <c:invertIfNegative val="0"/>
          <c:cat>
            <c:numRef>
              <c:f>'Def. tek. racuna i SDI'!$F$7:$M$7</c:f>
              <c:numCache>
                <c:formatCode>General</c:formatCode>
                <c:ptCount val="8"/>
                <c:pt idx="0">
                  <c:v>2018</c:v>
                </c:pt>
                <c:pt idx="1">
                  <c:v>2019</c:v>
                </c:pt>
                <c:pt idx="2">
                  <c:v>2020</c:v>
                </c:pt>
                <c:pt idx="3">
                  <c:v>2021</c:v>
                </c:pt>
                <c:pt idx="4">
                  <c:v>2022</c:v>
                </c:pt>
                <c:pt idx="5">
                  <c:v>2023</c:v>
                </c:pt>
                <c:pt idx="6">
                  <c:v>2024</c:v>
                </c:pt>
                <c:pt idx="7">
                  <c:v>2025</c:v>
                </c:pt>
              </c:numCache>
            </c:numRef>
          </c:cat>
          <c:val>
            <c:numRef>
              <c:f>'Def. tek. racuna i SDI'!$F$9:$M$9</c:f>
              <c:numCache>
                <c:formatCode>0.0</c:formatCode>
                <c:ptCount val="8"/>
                <c:pt idx="0">
                  <c:v>7.3591834087842951</c:v>
                </c:pt>
                <c:pt idx="1">
                  <c:v>7.7188516246762404</c:v>
                </c:pt>
                <c:pt idx="2">
                  <c:v>6.2767610835053871</c:v>
                </c:pt>
                <c:pt idx="3">
                  <c:v>6.8572251962409165</c:v>
                </c:pt>
                <c:pt idx="4">
                  <c:v>6.1383718199951227</c:v>
                </c:pt>
                <c:pt idx="5">
                  <c:v>5.0789017190405978</c:v>
                </c:pt>
                <c:pt idx="6">
                  <c:v>5.5219465528170133</c:v>
                </c:pt>
                <c:pt idx="7">
                  <c:v>5.7358956421911484</c:v>
                </c:pt>
              </c:numCache>
            </c:numRef>
          </c:val>
          <c:extLst>
            <c:ext xmlns:c16="http://schemas.microsoft.com/office/drawing/2014/chart" uri="{C3380CC4-5D6E-409C-BE32-E72D297353CC}">
              <c16:uniqueId val="{00000001-AE4A-480D-B0FD-33CB03D35A4A}"/>
            </c:ext>
          </c:extLst>
        </c:ser>
        <c:dLbls>
          <c:showLegendKey val="0"/>
          <c:showVal val="0"/>
          <c:showCatName val="0"/>
          <c:showSerName val="0"/>
          <c:showPercent val="0"/>
          <c:showBubbleSize val="0"/>
        </c:dLbls>
        <c:gapWidth val="80"/>
        <c:overlap val="-11"/>
        <c:axId val="1839176496"/>
        <c:axId val="1839185744"/>
      </c:barChart>
      <c:catAx>
        <c:axId val="183917649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5744"/>
        <c:crosses val="autoZero"/>
        <c:auto val="1"/>
        <c:lblAlgn val="ctr"/>
        <c:lblOffset val="100"/>
        <c:noMultiLvlLbl val="0"/>
      </c:catAx>
      <c:valAx>
        <c:axId val="183918574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76496"/>
        <c:crosses val="autoZero"/>
        <c:crossBetween val="between"/>
      </c:valAx>
      <c:spPr>
        <a:noFill/>
        <a:ln>
          <a:noFill/>
        </a:ln>
        <a:effectLst/>
      </c:spPr>
    </c:plotArea>
    <c:legend>
      <c:legendPos val="b"/>
      <c:layout>
        <c:manualLayout>
          <c:xMode val="edge"/>
          <c:yMode val="edge"/>
          <c:x val="1.0742927967337418E-2"/>
          <c:y val="0.86493849206349194"/>
          <c:w val="0.97274511918886852"/>
          <c:h val="0.1224620951507275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379192184310296"/>
          <c:y val="6.842061127661922E-2"/>
          <c:w val="0.83883275007290758"/>
          <c:h val="0.89994549266247381"/>
        </c:manualLayout>
      </c:layout>
      <c:barChart>
        <c:barDir val="col"/>
        <c:grouping val="clustered"/>
        <c:varyColors val="0"/>
        <c:ser>
          <c:idx val="0"/>
          <c:order val="0"/>
          <c:tx>
            <c:v>Фискални резултат</c:v>
          </c:tx>
          <c:spPr>
            <a:solidFill>
              <a:schemeClr val="accent1">
                <a:shade val="76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6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Yearly'!$CI$7:$CP$8</c:f>
              <c:strCache>
                <c:ptCount val="8"/>
                <c:pt idx="0">
                  <c:v>2015</c:v>
                </c:pt>
                <c:pt idx="1">
                  <c:v>2016</c:v>
                </c:pt>
                <c:pt idx="2">
                  <c:v>2017</c:v>
                </c:pt>
                <c:pt idx="3">
                  <c:v>2018</c:v>
                </c:pt>
                <c:pt idx="4">
                  <c:v>2019</c:v>
                </c:pt>
                <c:pt idx="5">
                  <c:v>2020</c:v>
                </c:pt>
                <c:pt idx="6">
                  <c:v>2021</c:v>
                </c:pt>
                <c:pt idx="7">
                  <c:v>2022</c:v>
                </c:pt>
              </c:strCache>
            </c:strRef>
          </c:cat>
          <c:val>
            <c:numRef>
              <c:f>('Quaterly, Yearly'!$CI$78:$CO$78,'Quaterly, Yearly'!$CP$78)</c:f>
              <c:numCache>
                <c:formatCode>#,##0.00</c:formatCode>
                <c:ptCount val="8"/>
                <c:pt idx="0">
                  <c:v>-3.4561672728767112</c:v>
                </c:pt>
                <c:pt idx="1">
                  <c:v>-1.1926941660681765</c:v>
                </c:pt>
                <c:pt idx="2">
                  <c:v>1.0986349345465762</c:v>
                </c:pt>
                <c:pt idx="3">
                  <c:v>0.63523655395945411</c:v>
                </c:pt>
                <c:pt idx="4">
                  <c:v>-0.20497664525511922</c:v>
                </c:pt>
                <c:pt idx="5">
                  <c:v>-8.0441635730355401</c:v>
                </c:pt>
                <c:pt idx="6">
                  <c:v>-4.1369458955187222</c:v>
                </c:pt>
                <c:pt idx="7">
                  <c:v>-3.8</c:v>
                </c:pt>
              </c:numCache>
            </c:numRef>
          </c:val>
          <c:extLst>
            <c:ext xmlns:c16="http://schemas.microsoft.com/office/drawing/2014/chart" uri="{C3380CC4-5D6E-409C-BE32-E72D297353CC}">
              <c16:uniqueId val="{00000000-6DD3-4570-94CE-927215FBECBC}"/>
            </c:ext>
          </c:extLst>
        </c:ser>
        <c:ser>
          <c:idx val="1"/>
          <c:order val="1"/>
          <c:tx>
            <c:v>Примарни фискални резултат</c:v>
          </c:tx>
          <c:spPr>
            <a:solidFill>
              <a:schemeClr val="accent1">
                <a:tint val="77000"/>
              </a:schemeClr>
            </a:solidFill>
            <a:ln>
              <a:noFill/>
            </a:ln>
            <a:effectLst/>
          </c:spPr>
          <c:invertIfNegative val="0"/>
          <c:dLbls>
            <c:dLbl>
              <c:idx val="0"/>
              <c:layout>
                <c:manualLayout>
                  <c:x val="1.132097084431951E-2"/>
                  <c:y val="-2.7233807789914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D3-4570-94CE-927215FBECBC}"/>
                </c:ext>
              </c:extLst>
            </c:dLbl>
            <c:dLbl>
              <c:idx val="1"/>
              <c:layout>
                <c:manualLayout>
                  <c:x val="-3.2073297015369011E-3"/>
                  <c:y val="-1.41424978807239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DD3-4570-94CE-927215FBECBC}"/>
                </c:ext>
              </c:extLst>
            </c:dLbl>
            <c:dLbl>
              <c:idx val="2"/>
              <c:layout>
                <c:manualLayout>
                  <c:x val="-2.4176209155354405E-3"/>
                  <c:y val="-6.6515202784357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D3-4570-94CE-927215FBECBC}"/>
                </c:ext>
              </c:extLst>
            </c:dLbl>
            <c:dLbl>
              <c:idx val="3"/>
              <c:layout>
                <c:manualLayout>
                  <c:x val="2.6858041798127055E-3"/>
                  <c:y val="3.62947391256674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DD3-4570-94CE-927215FBECBC}"/>
                </c:ext>
              </c:extLst>
            </c:dLbl>
            <c:dLbl>
              <c:idx val="4"/>
              <c:layout>
                <c:manualLayout>
                  <c:x val="-3.9217883120591336E-3"/>
                  <c:y val="-1.08980896450816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DD3-4570-94CE-927215FBECBC}"/>
                </c:ext>
              </c:extLst>
            </c:dLbl>
            <c:dLbl>
              <c:idx val="5"/>
              <c:layout>
                <c:manualLayout>
                  <c:x val="1.8183368791494724E-3"/>
                  <c:y val="-1.3434844974070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DD3-4570-94CE-927215FBECBC}"/>
                </c:ext>
              </c:extLst>
            </c:dLbl>
            <c:dLbl>
              <c:idx val="6"/>
              <c:layout>
                <c:manualLayout>
                  <c:x val="1.3735038279346209E-2"/>
                  <c:y val="-1.31188348229063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DD3-4570-94CE-927215FBECBC}"/>
                </c:ext>
              </c:extLst>
            </c:dLbl>
            <c:dLbl>
              <c:idx val="7"/>
              <c:layout>
                <c:manualLayout>
                  <c:x val="1.9834639029877463E-2"/>
                  <c:y val="-8.47013624652181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DD3-4570-94CE-927215FBECBC}"/>
                </c:ext>
              </c:extLst>
            </c:dLbl>
            <c:dLbl>
              <c:idx val="8"/>
              <c:layout>
                <c:manualLayout>
                  <c:x val="-4.0694720170973364E-2"/>
                  <c:y val="-3.9956035200295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DD3-4570-94CE-927215FBECBC}"/>
                </c:ext>
              </c:extLst>
            </c:dLbl>
            <c:dLbl>
              <c:idx val="9"/>
              <c:layout>
                <c:manualLayout>
                  <c:x val="-4.7561598436538947E-2"/>
                  <c:y val="1.3799864516960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DD3-4570-94CE-927215FBECBC}"/>
                </c:ext>
              </c:extLst>
            </c:dLbl>
            <c:dLbl>
              <c:idx val="10"/>
              <c:layout>
                <c:manualLayout>
                  <c:x val="-3.1357910371513177E-2"/>
                  <c:y val="-1.5058062466060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DD3-4570-94CE-927215FBECBC}"/>
                </c:ext>
              </c:extLst>
            </c:dLbl>
            <c:dLbl>
              <c:idx val="11"/>
              <c:layout>
                <c:manualLayout>
                  <c:x val="-4.746385337205393E-2"/>
                  <c:y val="-2.50967707767667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DD3-4570-94CE-927215FBECBC}"/>
                </c:ext>
              </c:extLst>
            </c:dLbl>
            <c:numFmt formatCode="#,##0.0" sourceLinked="0"/>
            <c:spPr>
              <a:noFill/>
              <a:ln>
                <a:noFill/>
              </a:ln>
              <a:effectLst/>
            </c:spPr>
            <c:txPr>
              <a:bodyPr rot="0" spcFirstLastPara="1" vertOverflow="ellipsis" vert="horz" wrap="square" anchor="ctr" anchorCtr="1"/>
              <a:lstStyle/>
              <a:p>
                <a:pPr>
                  <a:defRPr sz="6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Yearly'!$CI$7:$CP$8</c:f>
              <c:strCache>
                <c:ptCount val="8"/>
                <c:pt idx="0">
                  <c:v>2015</c:v>
                </c:pt>
                <c:pt idx="1">
                  <c:v>2016</c:v>
                </c:pt>
                <c:pt idx="2">
                  <c:v>2017</c:v>
                </c:pt>
                <c:pt idx="3">
                  <c:v>2018</c:v>
                </c:pt>
                <c:pt idx="4">
                  <c:v>2019</c:v>
                </c:pt>
                <c:pt idx="5">
                  <c:v>2020</c:v>
                </c:pt>
                <c:pt idx="6">
                  <c:v>2021</c:v>
                </c:pt>
                <c:pt idx="7">
                  <c:v>2022</c:v>
                </c:pt>
              </c:strCache>
            </c:strRef>
          </c:cat>
          <c:val>
            <c:numRef>
              <c:f>('Quaterly, Yearly'!$CI$79:$CO$79,'Quaterly, Yearly'!$CP$79)</c:f>
              <c:numCache>
                <c:formatCode>#,##0.00</c:formatCode>
                <c:ptCount val="8"/>
                <c:pt idx="0">
                  <c:v>-0.47061316203530046</c:v>
                </c:pt>
                <c:pt idx="1">
                  <c:v>1.7045650732845505</c:v>
                </c:pt>
                <c:pt idx="2">
                  <c:v>3.634771068549187</c:v>
                </c:pt>
                <c:pt idx="3">
                  <c:v>2.7475533250713307</c:v>
                </c:pt>
                <c:pt idx="4">
                  <c:v>1.7916206652556272</c:v>
                </c:pt>
                <c:pt idx="5">
                  <c:v>-6.0431380560869226</c:v>
                </c:pt>
                <c:pt idx="6">
                  <c:v>-2.404213120233746</c:v>
                </c:pt>
                <c:pt idx="7">
                  <c:v>-2.2000000000000002</c:v>
                </c:pt>
              </c:numCache>
            </c:numRef>
          </c:val>
          <c:extLst>
            <c:ext xmlns:c16="http://schemas.microsoft.com/office/drawing/2014/chart" uri="{C3380CC4-5D6E-409C-BE32-E72D297353CC}">
              <c16:uniqueId val="{0000000D-6DD3-4570-94CE-927215FBECBC}"/>
            </c:ext>
          </c:extLst>
        </c:ser>
        <c:dLbls>
          <c:showLegendKey val="0"/>
          <c:showVal val="0"/>
          <c:showCatName val="0"/>
          <c:showSerName val="0"/>
          <c:showPercent val="0"/>
          <c:showBubbleSize val="0"/>
        </c:dLbls>
        <c:gapWidth val="150"/>
        <c:axId val="522006368"/>
        <c:axId val="522006928"/>
      </c:barChart>
      <c:catAx>
        <c:axId val="522006368"/>
        <c:scaling>
          <c:orientation val="minMax"/>
        </c:scaling>
        <c:delete val="0"/>
        <c:axPos val="b"/>
        <c:numFmt formatCode="General" sourceLinked="1"/>
        <c:majorTickMark val="out"/>
        <c:minorTickMark val="none"/>
        <c:tickLblPos val="high"/>
        <c:spPr>
          <a:noFill/>
          <a:ln w="12700" cap="flat" cmpd="sng" algn="ctr">
            <a:solidFill>
              <a:schemeClr val="tx1">
                <a:lumMod val="50000"/>
                <a:lumOff val="50000"/>
              </a:schemeClr>
            </a:solidFill>
            <a:prstDash val="sysDash"/>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22006928"/>
        <c:crosses val="autoZero"/>
        <c:auto val="1"/>
        <c:lblAlgn val="ctr"/>
        <c:lblOffset val="100"/>
        <c:noMultiLvlLbl val="0"/>
      </c:catAx>
      <c:valAx>
        <c:axId val="522006928"/>
        <c:scaling>
          <c:orientation val="minMax"/>
          <c:max val="5"/>
          <c:min val="-1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latin typeface="+mn-lt"/>
                  </a:rPr>
                  <a:t>% </a:t>
                </a:r>
                <a:r>
                  <a:rPr lang="sr-Cyrl-RS" sz="800">
                    <a:latin typeface="+mn-lt"/>
                  </a:rPr>
                  <a:t>БДП</a:t>
                </a:r>
                <a:endParaRPr lang="en-US" sz="800">
                  <a:latin typeface="+mn-lt"/>
                </a:endParaRPr>
              </a:p>
            </c:rich>
          </c:tx>
          <c:layout>
            <c:manualLayout>
              <c:xMode val="edge"/>
              <c:yMode val="edge"/>
              <c:x val="1.909631087780695E-2"/>
              <c:y val="0.40557475091732936"/>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22006368"/>
        <c:crosses val="autoZero"/>
        <c:crossBetween val="between"/>
      </c:valAx>
      <c:spPr>
        <a:noFill/>
        <a:ln>
          <a:noFill/>
        </a:ln>
        <a:effectLst/>
      </c:spPr>
    </c:plotArea>
    <c:legend>
      <c:legendPos val="b"/>
      <c:layout>
        <c:manualLayout>
          <c:xMode val="edge"/>
          <c:yMode val="edge"/>
          <c:x val="0.13473729785327859"/>
          <c:y val="0.79318357107626758"/>
          <c:w val="0.51810891150797223"/>
          <c:h val="0.1152205361251488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latin typeface="Georgia" panose="02040502050405020303"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055612097101833E-2"/>
          <c:y val="5.8666642029756626E-2"/>
          <c:w val="0.86447596098653134"/>
          <c:h val="0.63977673920136935"/>
        </c:manualLayout>
      </c:layout>
      <c:lineChart>
        <c:grouping val="standard"/>
        <c:varyColors val="0"/>
        <c:ser>
          <c:idx val="0"/>
          <c:order val="0"/>
          <c:tx>
            <c:strRef>
              <c:f>'NBS kretanje referentne ks'!$H$9</c:f>
              <c:strCache>
                <c:ptCount val="1"/>
                <c:pt idx="0">
                  <c:v>САД</c:v>
                </c:pt>
              </c:strCache>
            </c:strRef>
          </c:tx>
          <c:spPr>
            <a:ln w="22225" cap="rnd">
              <a:solidFill>
                <a:srgbClr val="00A651"/>
              </a:solidFill>
              <a:round/>
            </a:ln>
            <a:effectLst/>
          </c:spPr>
          <c:marker>
            <c:symbol val="none"/>
          </c:marker>
          <c:cat>
            <c:numRef>
              <c:f>'NBS kretanje referentne ks'!$G$130:$G$152</c:f>
              <c:numCache>
                <c:formatCode>mm\-yyyy</c:formatCode>
                <c:ptCount val="23"/>
                <c:pt idx="0">
                  <c:v>44227</c:v>
                </c:pt>
                <c:pt idx="1">
                  <c:v>44255</c:v>
                </c:pt>
                <c:pt idx="2">
                  <c:v>44286</c:v>
                </c:pt>
                <c:pt idx="3">
                  <c:v>44316</c:v>
                </c:pt>
                <c:pt idx="4">
                  <c:v>44347</c:v>
                </c:pt>
                <c:pt idx="5">
                  <c:v>44377</c:v>
                </c:pt>
                <c:pt idx="6">
                  <c:v>44408</c:v>
                </c:pt>
                <c:pt idx="7">
                  <c:v>44439</c:v>
                </c:pt>
                <c:pt idx="8">
                  <c:v>44469</c:v>
                </c:pt>
                <c:pt idx="9">
                  <c:v>44500</c:v>
                </c:pt>
                <c:pt idx="10">
                  <c:v>44530</c:v>
                </c:pt>
                <c:pt idx="11">
                  <c:v>44561</c:v>
                </c:pt>
                <c:pt idx="12">
                  <c:v>44592</c:v>
                </c:pt>
                <c:pt idx="13">
                  <c:v>44620</c:v>
                </c:pt>
                <c:pt idx="14">
                  <c:v>44651</c:v>
                </c:pt>
                <c:pt idx="15">
                  <c:v>44681</c:v>
                </c:pt>
                <c:pt idx="16">
                  <c:v>44712</c:v>
                </c:pt>
                <c:pt idx="17">
                  <c:v>44742</c:v>
                </c:pt>
                <c:pt idx="18">
                  <c:v>44773</c:v>
                </c:pt>
                <c:pt idx="19">
                  <c:v>44804</c:v>
                </c:pt>
                <c:pt idx="20">
                  <c:v>44834</c:v>
                </c:pt>
                <c:pt idx="21">
                  <c:v>44865</c:v>
                </c:pt>
                <c:pt idx="22">
                  <c:v>44895</c:v>
                </c:pt>
              </c:numCache>
            </c:numRef>
          </c:cat>
          <c:val>
            <c:numRef>
              <c:f>'NBS kretanje referentne ks'!$H$130:$H$152</c:f>
              <c:numCache>
                <c:formatCode>0.00</c:formatCode>
                <c:ptCount val="23"/>
                <c:pt idx="0">
                  <c:v>0.25</c:v>
                </c:pt>
                <c:pt idx="1">
                  <c:v>0.25</c:v>
                </c:pt>
                <c:pt idx="2">
                  <c:v>0.25</c:v>
                </c:pt>
                <c:pt idx="3">
                  <c:v>0.25</c:v>
                </c:pt>
                <c:pt idx="4">
                  <c:v>0.25</c:v>
                </c:pt>
                <c:pt idx="5">
                  <c:v>0.25</c:v>
                </c:pt>
                <c:pt idx="6">
                  <c:v>0.25</c:v>
                </c:pt>
                <c:pt idx="7">
                  <c:v>0.25</c:v>
                </c:pt>
                <c:pt idx="8">
                  <c:v>0.25</c:v>
                </c:pt>
                <c:pt idx="9">
                  <c:v>0.25</c:v>
                </c:pt>
                <c:pt idx="10">
                  <c:v>0.25</c:v>
                </c:pt>
                <c:pt idx="11">
                  <c:v>0.25</c:v>
                </c:pt>
                <c:pt idx="12">
                  <c:v>0.25</c:v>
                </c:pt>
                <c:pt idx="13">
                  <c:v>0.25</c:v>
                </c:pt>
                <c:pt idx="14">
                  <c:v>0.5</c:v>
                </c:pt>
                <c:pt idx="15">
                  <c:v>0.5</c:v>
                </c:pt>
                <c:pt idx="16">
                  <c:v>1</c:v>
                </c:pt>
                <c:pt idx="17">
                  <c:v>1.75</c:v>
                </c:pt>
                <c:pt idx="18">
                  <c:v>2.5</c:v>
                </c:pt>
                <c:pt idx="19">
                  <c:v>2.5</c:v>
                </c:pt>
                <c:pt idx="20">
                  <c:v>3.25</c:v>
                </c:pt>
                <c:pt idx="21">
                  <c:v>3.25</c:v>
                </c:pt>
                <c:pt idx="22">
                  <c:v>4</c:v>
                </c:pt>
              </c:numCache>
            </c:numRef>
          </c:val>
          <c:smooth val="0"/>
          <c:extLst>
            <c:ext xmlns:c16="http://schemas.microsoft.com/office/drawing/2014/chart" uri="{C3380CC4-5D6E-409C-BE32-E72D297353CC}">
              <c16:uniqueId val="{00000000-7C37-4E24-8AFD-CE3884D30ABC}"/>
            </c:ext>
          </c:extLst>
        </c:ser>
        <c:ser>
          <c:idx val="1"/>
          <c:order val="1"/>
          <c:tx>
            <c:strRef>
              <c:f>'NBS kretanje referentne ks'!$I$9</c:f>
              <c:strCache>
                <c:ptCount val="1"/>
                <c:pt idx="0">
                  <c:v>Еврозона</c:v>
                </c:pt>
              </c:strCache>
            </c:strRef>
          </c:tx>
          <c:spPr>
            <a:ln w="22225" cap="rnd">
              <a:solidFill>
                <a:srgbClr val="7F3F98"/>
              </a:solidFill>
              <a:round/>
            </a:ln>
            <a:effectLst/>
          </c:spPr>
          <c:marker>
            <c:symbol val="none"/>
          </c:marker>
          <c:cat>
            <c:numRef>
              <c:f>'NBS kretanje referentne ks'!$G$130:$G$152</c:f>
              <c:numCache>
                <c:formatCode>mm\-yyyy</c:formatCode>
                <c:ptCount val="23"/>
                <c:pt idx="0">
                  <c:v>44227</c:v>
                </c:pt>
                <c:pt idx="1">
                  <c:v>44255</c:v>
                </c:pt>
                <c:pt idx="2">
                  <c:v>44286</c:v>
                </c:pt>
                <c:pt idx="3">
                  <c:v>44316</c:v>
                </c:pt>
                <c:pt idx="4">
                  <c:v>44347</c:v>
                </c:pt>
                <c:pt idx="5">
                  <c:v>44377</c:v>
                </c:pt>
                <c:pt idx="6">
                  <c:v>44408</c:v>
                </c:pt>
                <c:pt idx="7">
                  <c:v>44439</c:v>
                </c:pt>
                <c:pt idx="8">
                  <c:v>44469</c:v>
                </c:pt>
                <c:pt idx="9">
                  <c:v>44500</c:v>
                </c:pt>
                <c:pt idx="10">
                  <c:v>44530</c:v>
                </c:pt>
                <c:pt idx="11">
                  <c:v>44561</c:v>
                </c:pt>
                <c:pt idx="12">
                  <c:v>44592</c:v>
                </c:pt>
                <c:pt idx="13">
                  <c:v>44620</c:v>
                </c:pt>
                <c:pt idx="14">
                  <c:v>44651</c:v>
                </c:pt>
                <c:pt idx="15">
                  <c:v>44681</c:v>
                </c:pt>
                <c:pt idx="16">
                  <c:v>44712</c:v>
                </c:pt>
                <c:pt idx="17">
                  <c:v>44742</c:v>
                </c:pt>
                <c:pt idx="18">
                  <c:v>44773</c:v>
                </c:pt>
                <c:pt idx="19">
                  <c:v>44804</c:v>
                </c:pt>
                <c:pt idx="20">
                  <c:v>44834</c:v>
                </c:pt>
                <c:pt idx="21">
                  <c:v>44865</c:v>
                </c:pt>
                <c:pt idx="22">
                  <c:v>44895</c:v>
                </c:pt>
              </c:numCache>
            </c:numRef>
          </c:cat>
          <c:val>
            <c:numRef>
              <c:f>'NBS kretanje referentne ks'!$I$130:$I$152</c:f>
              <c:numCache>
                <c:formatCode>0.00</c:formatCode>
                <c:ptCount val="2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0.5</c:v>
                </c:pt>
                <c:pt idx="19">
                  <c:v>0.5</c:v>
                </c:pt>
                <c:pt idx="20">
                  <c:v>1.25</c:v>
                </c:pt>
                <c:pt idx="21">
                  <c:v>1.25</c:v>
                </c:pt>
                <c:pt idx="22">
                  <c:v>2</c:v>
                </c:pt>
              </c:numCache>
            </c:numRef>
          </c:val>
          <c:smooth val="0"/>
          <c:extLst>
            <c:ext xmlns:c16="http://schemas.microsoft.com/office/drawing/2014/chart" uri="{C3380CC4-5D6E-409C-BE32-E72D297353CC}">
              <c16:uniqueId val="{00000001-7C37-4E24-8AFD-CE3884D30ABC}"/>
            </c:ext>
          </c:extLst>
        </c:ser>
        <c:ser>
          <c:idx val="2"/>
          <c:order val="2"/>
          <c:tx>
            <c:strRef>
              <c:f>'NBS kretanje referentne ks'!$J$9</c:f>
              <c:strCache>
                <c:ptCount val="1"/>
                <c:pt idx="0">
                  <c:v>Велика Британија</c:v>
                </c:pt>
              </c:strCache>
            </c:strRef>
          </c:tx>
          <c:spPr>
            <a:ln w="22225" cap="rnd">
              <a:solidFill>
                <a:srgbClr val="EC008C"/>
              </a:solidFill>
              <a:round/>
            </a:ln>
            <a:effectLst/>
          </c:spPr>
          <c:marker>
            <c:symbol val="none"/>
          </c:marker>
          <c:cat>
            <c:numRef>
              <c:f>'NBS kretanje referentne ks'!$G$130:$G$152</c:f>
              <c:numCache>
                <c:formatCode>mm\-yyyy</c:formatCode>
                <c:ptCount val="23"/>
                <c:pt idx="0">
                  <c:v>44227</c:v>
                </c:pt>
                <c:pt idx="1">
                  <c:v>44255</c:v>
                </c:pt>
                <c:pt idx="2">
                  <c:v>44286</c:v>
                </c:pt>
                <c:pt idx="3">
                  <c:v>44316</c:v>
                </c:pt>
                <c:pt idx="4">
                  <c:v>44347</c:v>
                </c:pt>
                <c:pt idx="5">
                  <c:v>44377</c:v>
                </c:pt>
                <c:pt idx="6">
                  <c:v>44408</c:v>
                </c:pt>
                <c:pt idx="7">
                  <c:v>44439</c:v>
                </c:pt>
                <c:pt idx="8">
                  <c:v>44469</c:v>
                </c:pt>
                <c:pt idx="9">
                  <c:v>44500</c:v>
                </c:pt>
                <c:pt idx="10">
                  <c:v>44530</c:v>
                </c:pt>
                <c:pt idx="11">
                  <c:v>44561</c:v>
                </c:pt>
                <c:pt idx="12">
                  <c:v>44592</c:v>
                </c:pt>
                <c:pt idx="13">
                  <c:v>44620</c:v>
                </c:pt>
                <c:pt idx="14">
                  <c:v>44651</c:v>
                </c:pt>
                <c:pt idx="15">
                  <c:v>44681</c:v>
                </c:pt>
                <c:pt idx="16">
                  <c:v>44712</c:v>
                </c:pt>
                <c:pt idx="17">
                  <c:v>44742</c:v>
                </c:pt>
                <c:pt idx="18">
                  <c:v>44773</c:v>
                </c:pt>
                <c:pt idx="19">
                  <c:v>44804</c:v>
                </c:pt>
                <c:pt idx="20">
                  <c:v>44834</c:v>
                </c:pt>
                <c:pt idx="21">
                  <c:v>44865</c:v>
                </c:pt>
                <c:pt idx="22">
                  <c:v>44895</c:v>
                </c:pt>
              </c:numCache>
            </c:numRef>
          </c:cat>
          <c:val>
            <c:numRef>
              <c:f>'NBS kretanje referentne ks'!$J$130:$J$152</c:f>
              <c:numCache>
                <c:formatCode>0.00</c:formatCode>
                <c:ptCount val="23"/>
                <c:pt idx="0">
                  <c:v>0.1</c:v>
                </c:pt>
                <c:pt idx="1">
                  <c:v>0.1</c:v>
                </c:pt>
                <c:pt idx="2">
                  <c:v>0.1</c:v>
                </c:pt>
                <c:pt idx="3">
                  <c:v>0.1</c:v>
                </c:pt>
                <c:pt idx="4">
                  <c:v>0.1</c:v>
                </c:pt>
                <c:pt idx="5">
                  <c:v>0.1</c:v>
                </c:pt>
                <c:pt idx="6">
                  <c:v>0.1</c:v>
                </c:pt>
                <c:pt idx="7">
                  <c:v>0.1</c:v>
                </c:pt>
                <c:pt idx="8">
                  <c:v>0.1</c:v>
                </c:pt>
                <c:pt idx="9">
                  <c:v>0.1</c:v>
                </c:pt>
                <c:pt idx="10">
                  <c:v>0.1</c:v>
                </c:pt>
                <c:pt idx="11">
                  <c:v>0.25</c:v>
                </c:pt>
                <c:pt idx="12">
                  <c:v>0.25</c:v>
                </c:pt>
                <c:pt idx="13">
                  <c:v>0.5</c:v>
                </c:pt>
                <c:pt idx="14">
                  <c:v>0.75</c:v>
                </c:pt>
                <c:pt idx="15">
                  <c:v>0.75</c:v>
                </c:pt>
                <c:pt idx="16">
                  <c:v>1</c:v>
                </c:pt>
                <c:pt idx="17">
                  <c:v>1.25</c:v>
                </c:pt>
                <c:pt idx="18">
                  <c:v>1.25</c:v>
                </c:pt>
                <c:pt idx="19">
                  <c:v>1.75</c:v>
                </c:pt>
                <c:pt idx="20">
                  <c:v>2.25</c:v>
                </c:pt>
                <c:pt idx="21">
                  <c:v>2.25</c:v>
                </c:pt>
                <c:pt idx="22">
                  <c:v>3</c:v>
                </c:pt>
              </c:numCache>
            </c:numRef>
          </c:val>
          <c:smooth val="0"/>
          <c:extLst>
            <c:ext xmlns:c16="http://schemas.microsoft.com/office/drawing/2014/chart" uri="{C3380CC4-5D6E-409C-BE32-E72D297353CC}">
              <c16:uniqueId val="{00000002-7C37-4E24-8AFD-CE3884D30ABC}"/>
            </c:ext>
          </c:extLst>
        </c:ser>
        <c:dLbls>
          <c:showLegendKey val="0"/>
          <c:showVal val="0"/>
          <c:showCatName val="0"/>
          <c:showSerName val="0"/>
          <c:showPercent val="0"/>
          <c:showBubbleSize val="0"/>
        </c:dLbls>
        <c:smooth val="0"/>
        <c:axId val="1425258495"/>
        <c:axId val="1425258911"/>
      </c:lineChart>
      <c:dateAx>
        <c:axId val="1425258495"/>
        <c:scaling>
          <c:orientation val="minMax"/>
        </c:scaling>
        <c:delete val="0"/>
        <c:axPos val="b"/>
        <c:numFmt formatCode="mm\-yyyy"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425258911"/>
        <c:crosses val="autoZero"/>
        <c:auto val="1"/>
        <c:lblOffset val="100"/>
        <c:baseTimeUnit val="days"/>
      </c:dateAx>
      <c:valAx>
        <c:axId val="1425258911"/>
        <c:scaling>
          <c:orientation val="minMax"/>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425258495"/>
        <c:crosses val="autoZero"/>
        <c:crossBetween val="between"/>
      </c:valAx>
      <c:spPr>
        <a:noFill/>
        <a:ln>
          <a:noFill/>
        </a:ln>
        <a:effectLst/>
      </c:spPr>
    </c:plotArea>
    <c:legend>
      <c:legendPos val="b"/>
      <c:layout>
        <c:manualLayout>
          <c:xMode val="edge"/>
          <c:yMode val="edge"/>
          <c:x val="1.8492834026814609E-2"/>
          <c:y val="0.91552239879936681"/>
          <c:w val="0.94835002420813908"/>
          <c:h val="8.0338443952359492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pPr>
      <a:endParaRPr lang="en-US"/>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sz="900" b="1" i="0" u="none" strike="noStrike" kern="1200" spc="0" baseline="0">
                <a:solidFill>
                  <a:srgbClr val="002060"/>
                </a:solidFill>
                <a:latin typeface="+mn-lt"/>
                <a:ea typeface="+mn-ea"/>
                <a:cs typeface="+mn-cs"/>
              </a:defRPr>
            </a:pPr>
            <a:r>
              <a:rPr lang="en-US" sz="900" b="1" i="0" u="none" strike="noStrike" kern="1200" spc="0" baseline="0">
                <a:solidFill>
                  <a:srgbClr val="002060"/>
                </a:solidFill>
                <a:latin typeface="+mn-lt"/>
                <a:ea typeface="+mn-ea"/>
                <a:cs typeface="+mn-cs"/>
              </a:rPr>
              <a:t>S0 </a:t>
            </a:r>
            <a:r>
              <a:rPr lang="sr-Cyrl-RS" sz="900" b="1" i="0" u="none" strike="noStrike" kern="1200" spc="0" baseline="0">
                <a:solidFill>
                  <a:srgbClr val="002060"/>
                </a:solidFill>
                <a:latin typeface="+mn-lt"/>
                <a:ea typeface="+mn-ea"/>
                <a:cs typeface="+mn-cs"/>
              </a:rPr>
              <a:t>индикатор са фискалним подиндексом и подиндексом финансијске конкурентности за Србију за период 2015-20</a:t>
            </a:r>
            <a:r>
              <a:rPr lang="sr-Latn-RS" sz="900" b="1" i="0" u="none" strike="noStrike" kern="1200" spc="0" baseline="0">
                <a:solidFill>
                  <a:srgbClr val="002060"/>
                </a:solidFill>
                <a:latin typeface="+mn-lt"/>
                <a:ea typeface="+mn-ea"/>
                <a:cs typeface="+mn-cs"/>
              </a:rPr>
              <a:t>2</a:t>
            </a:r>
            <a:r>
              <a:rPr lang="sr-Cyrl-RS" sz="900" b="1" i="0" u="none" strike="noStrike" kern="1200" spc="0" baseline="0">
                <a:solidFill>
                  <a:srgbClr val="002060"/>
                </a:solidFill>
                <a:latin typeface="+mn-lt"/>
                <a:ea typeface="+mn-ea"/>
                <a:cs typeface="+mn-cs"/>
              </a:rPr>
              <a:t>1. године </a:t>
            </a:r>
            <a:endParaRPr lang="en-US" sz="900" b="1" i="0" u="none" strike="noStrike" kern="1200" spc="0" baseline="0">
              <a:solidFill>
                <a:srgbClr val="002060"/>
              </a:solidFill>
              <a:latin typeface="+mn-lt"/>
              <a:ea typeface="+mn-ea"/>
              <a:cs typeface="+mn-cs"/>
            </a:endParaRPr>
          </a:p>
        </c:rich>
      </c:tx>
      <c:layout>
        <c:manualLayout>
          <c:xMode val="edge"/>
          <c:yMode val="edge"/>
          <c:x val="0.12665974044911052"/>
          <c:y val="1.6041183257889866E-2"/>
        </c:manualLayout>
      </c:layout>
      <c:overlay val="0"/>
      <c:spPr>
        <a:noFill/>
        <a:ln>
          <a:noFill/>
        </a:ln>
        <a:effectLst/>
      </c:spPr>
      <c:txPr>
        <a:bodyPr rot="0" spcFirstLastPara="1" vertOverflow="ellipsis" vert="horz" wrap="square" anchor="ctr" anchorCtr="1"/>
        <a:lstStyle/>
        <a:p>
          <a:pPr algn="ctr" rtl="0">
            <a:defRPr sz="900" b="1" i="0" u="none" strike="noStrike" kern="1200" spc="0" baseline="0">
              <a:solidFill>
                <a:srgbClr val="002060"/>
              </a:solidFill>
              <a:latin typeface="+mn-lt"/>
              <a:ea typeface="+mn-ea"/>
              <a:cs typeface="+mn-cs"/>
            </a:defRPr>
          </a:pPr>
          <a:endParaRPr lang="en-US"/>
        </a:p>
      </c:txPr>
    </c:title>
    <c:autoTitleDeleted val="0"/>
    <c:plotArea>
      <c:layout>
        <c:manualLayout>
          <c:layoutTarget val="inner"/>
          <c:xMode val="edge"/>
          <c:yMode val="edge"/>
          <c:x val="6.3415222230767468E-2"/>
          <c:y val="8.6538461538461536E-2"/>
          <c:w val="0.89818784226795878"/>
          <c:h val="0.56116520290732885"/>
        </c:manualLayout>
      </c:layout>
      <c:barChart>
        <c:barDir val="col"/>
        <c:grouping val="clustered"/>
        <c:varyColors val="0"/>
        <c:ser>
          <c:idx val="0"/>
          <c:order val="0"/>
          <c:tx>
            <c:strRef>
              <c:f>'S0 EU Serbia'!$AG$39</c:f>
              <c:strCache>
                <c:ptCount val="1"/>
                <c:pt idx="0">
                  <c:v>Фискални подиндекс</c:v>
                </c:pt>
              </c:strCache>
            </c:strRef>
          </c:tx>
          <c:spPr>
            <a:solidFill>
              <a:srgbClr val="7030A0"/>
            </a:solidFill>
            <a:ln w="9525">
              <a:noFill/>
            </a:ln>
            <a:effectLst/>
          </c:spPr>
          <c:invertIfNegative val="0"/>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Serbia'!$AG$41:$AG$49</c:f>
              <c:numCache>
                <c:formatCode>0.00</c:formatCode>
                <c:ptCount val="7"/>
                <c:pt idx="0">
                  <c:v>0.40718562874251496</c:v>
                </c:pt>
                <c:pt idx="1">
                  <c:v>0.19161676646706588</c:v>
                </c:pt>
                <c:pt idx="2">
                  <c:v>0</c:v>
                </c:pt>
                <c:pt idx="3">
                  <c:v>0</c:v>
                </c:pt>
                <c:pt idx="4">
                  <c:v>0</c:v>
                </c:pt>
                <c:pt idx="5">
                  <c:v>0.47904191616766456</c:v>
                </c:pt>
                <c:pt idx="6">
                  <c:v>0.21560000000000001</c:v>
                </c:pt>
              </c:numCache>
              <c:extLst/>
            </c:numRef>
          </c:val>
          <c:extLst>
            <c:ext xmlns:c16="http://schemas.microsoft.com/office/drawing/2014/chart" uri="{C3380CC4-5D6E-409C-BE32-E72D297353CC}">
              <c16:uniqueId val="{00000000-DFDB-41B0-906E-5450C4869F39}"/>
            </c:ext>
          </c:extLst>
        </c:ser>
        <c:ser>
          <c:idx val="1"/>
          <c:order val="1"/>
          <c:tx>
            <c:strRef>
              <c:f>'S0 EU Serbia'!$AH$39</c:f>
              <c:strCache>
                <c:ptCount val="1"/>
                <c:pt idx="0">
                  <c:v>Подиндекс макро-финансијске конкурентности</c:v>
                </c:pt>
              </c:strCache>
            </c:strRef>
          </c:tx>
          <c:spPr>
            <a:solidFill>
              <a:srgbClr val="5297AC"/>
            </a:solidFill>
            <a:ln w="9525">
              <a:noFill/>
            </a:ln>
            <a:effectLst/>
          </c:spPr>
          <c:invertIfNegative val="0"/>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Serbia'!$AH$41:$AH$49</c:f>
              <c:numCache>
                <c:formatCode>0.00</c:formatCode>
                <c:ptCount val="7"/>
                <c:pt idx="0">
                  <c:v>0.27243589743589747</c:v>
                </c:pt>
                <c:pt idx="1">
                  <c:v>0.27243589743589747</c:v>
                </c:pt>
                <c:pt idx="2">
                  <c:v>0.27243589743589747</c:v>
                </c:pt>
                <c:pt idx="3">
                  <c:v>0.27243589743589747</c:v>
                </c:pt>
                <c:pt idx="4">
                  <c:v>0.27243589743589747</c:v>
                </c:pt>
                <c:pt idx="5">
                  <c:v>0.42307692307692302</c:v>
                </c:pt>
                <c:pt idx="6">
                  <c:v>0.27239999999999998</c:v>
                </c:pt>
              </c:numCache>
              <c:extLst/>
            </c:numRef>
          </c:val>
          <c:extLst>
            <c:ext xmlns:c16="http://schemas.microsoft.com/office/drawing/2014/chart" uri="{C3380CC4-5D6E-409C-BE32-E72D297353CC}">
              <c16:uniqueId val="{00000001-DFDB-41B0-906E-5450C4869F39}"/>
            </c:ext>
          </c:extLst>
        </c:ser>
        <c:dLbls>
          <c:showLegendKey val="0"/>
          <c:showVal val="0"/>
          <c:showCatName val="0"/>
          <c:showSerName val="0"/>
          <c:showPercent val="0"/>
          <c:showBubbleSize val="0"/>
        </c:dLbls>
        <c:gapWidth val="150"/>
        <c:axId val="-486944112"/>
        <c:axId val="-486944656"/>
      </c:barChart>
      <c:lineChart>
        <c:grouping val="standard"/>
        <c:varyColors val="0"/>
        <c:ser>
          <c:idx val="2"/>
          <c:order val="2"/>
          <c:tx>
            <c:strRef>
              <c:f>'S0 EU Serbia'!$AI$39</c:f>
              <c:strCache>
                <c:ptCount val="1"/>
                <c:pt idx="0">
                  <c:v>S0 индикатор</c:v>
                </c:pt>
              </c:strCache>
            </c:strRef>
          </c:tx>
          <c:spPr>
            <a:ln w="22225" cap="rnd">
              <a:noFill/>
              <a:prstDash val="solid"/>
              <a:round/>
            </a:ln>
            <a:effectLst/>
          </c:spPr>
          <c:marker>
            <c:symbol val="triangle"/>
            <c:size val="16"/>
            <c:spPr>
              <a:solidFill>
                <a:schemeClr val="tx1"/>
              </a:solidFill>
              <a:ln w="9525">
                <a:noFill/>
              </a:ln>
              <a:effectLst/>
            </c:spPr>
          </c:marker>
          <c:dPt>
            <c:idx val="0"/>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3-DFDB-41B0-906E-5450C4869F39}"/>
              </c:ext>
            </c:extLst>
          </c:dPt>
          <c:dPt>
            <c:idx val="1"/>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5-DFDB-41B0-906E-5450C4869F39}"/>
              </c:ext>
            </c:extLst>
          </c:dPt>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Serbia'!$AI$41:$AI$49</c:f>
              <c:numCache>
                <c:formatCode>0.00</c:formatCode>
                <c:ptCount val="7"/>
                <c:pt idx="0">
                  <c:v>0.31941544885177453</c:v>
                </c:pt>
                <c:pt idx="1">
                  <c:v>0.24425887265135704</c:v>
                </c:pt>
                <c:pt idx="2">
                  <c:v>0.17745302713987476</c:v>
                </c:pt>
                <c:pt idx="3">
                  <c:v>0.17745302713987476</c:v>
                </c:pt>
                <c:pt idx="4">
                  <c:v>0.17745302713987476</c:v>
                </c:pt>
                <c:pt idx="5">
                  <c:v>0.4425887265135699</c:v>
                </c:pt>
                <c:pt idx="6">
                  <c:v>0.25259999999999999</c:v>
                </c:pt>
              </c:numCache>
              <c:extLst/>
            </c:numRef>
          </c:val>
          <c:smooth val="0"/>
          <c:extLst>
            <c:ext xmlns:c16="http://schemas.microsoft.com/office/drawing/2014/chart" uri="{C3380CC4-5D6E-409C-BE32-E72D297353CC}">
              <c16:uniqueId val="{00000006-DFDB-41B0-906E-5450C4869F39}"/>
            </c:ext>
          </c:extLst>
        </c:ser>
        <c:ser>
          <c:idx val="3"/>
          <c:order val="3"/>
          <c:tx>
            <c:strRef>
              <c:f>'S0 EU Serbia'!$AJ$39</c:f>
              <c:strCache>
                <c:ptCount val="1"/>
                <c:pt idx="0">
                  <c:v>Праг фискалног подиндекса</c:v>
                </c:pt>
              </c:strCache>
            </c:strRef>
          </c:tx>
          <c:spPr>
            <a:ln w="22225" cap="rnd">
              <a:solidFill>
                <a:srgbClr val="7030A0"/>
              </a:solidFill>
              <a:prstDash val="dash"/>
              <a:round/>
            </a:ln>
            <a:effectLst/>
          </c:spPr>
          <c:marker>
            <c:symbol val="none"/>
          </c:marker>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Serbia'!$AJ$41:$AJ$48,'S0 EU Serbia'!$AJ$49)</c:f>
              <c:numCache>
                <c:formatCode>General</c:formatCode>
                <c:ptCount val="7"/>
                <c:pt idx="0">
                  <c:v>0.36</c:v>
                </c:pt>
                <c:pt idx="1">
                  <c:v>0.36</c:v>
                </c:pt>
                <c:pt idx="2">
                  <c:v>0.36</c:v>
                </c:pt>
                <c:pt idx="3">
                  <c:v>0.36</c:v>
                </c:pt>
                <c:pt idx="4">
                  <c:v>0.36</c:v>
                </c:pt>
                <c:pt idx="5">
                  <c:v>0.36</c:v>
                </c:pt>
                <c:pt idx="6">
                  <c:v>0.36</c:v>
                </c:pt>
              </c:numCache>
              <c:extLst/>
            </c:numRef>
          </c:val>
          <c:smooth val="0"/>
          <c:extLst>
            <c:ext xmlns:c16="http://schemas.microsoft.com/office/drawing/2014/chart" uri="{C3380CC4-5D6E-409C-BE32-E72D297353CC}">
              <c16:uniqueId val="{00000007-DFDB-41B0-906E-5450C4869F39}"/>
            </c:ext>
          </c:extLst>
        </c:ser>
        <c:ser>
          <c:idx val="4"/>
          <c:order val="4"/>
          <c:tx>
            <c:strRef>
              <c:f>'S0 EU Serbia'!$AK$39</c:f>
              <c:strCache>
                <c:ptCount val="1"/>
                <c:pt idx="0">
                  <c:v>Праг финансијског подиндекса</c:v>
                </c:pt>
              </c:strCache>
            </c:strRef>
          </c:tx>
          <c:spPr>
            <a:ln w="22225" cap="rnd">
              <a:solidFill>
                <a:srgbClr val="5297AC"/>
              </a:solidFill>
              <a:prstDash val="dash"/>
              <a:round/>
            </a:ln>
            <a:effectLst/>
          </c:spPr>
          <c:marker>
            <c:symbol val="none"/>
          </c:marker>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Serbia'!$AK$41:$AK$48,'S0 EU Serbia'!$AK$49)</c:f>
              <c:numCache>
                <c:formatCode>General</c:formatCode>
                <c:ptCount val="7"/>
                <c:pt idx="0">
                  <c:v>0.49</c:v>
                </c:pt>
                <c:pt idx="1">
                  <c:v>0.49</c:v>
                </c:pt>
                <c:pt idx="2">
                  <c:v>0.49</c:v>
                </c:pt>
                <c:pt idx="3">
                  <c:v>0.49</c:v>
                </c:pt>
                <c:pt idx="4">
                  <c:v>0.49</c:v>
                </c:pt>
                <c:pt idx="5">
                  <c:v>0.49</c:v>
                </c:pt>
                <c:pt idx="6">
                  <c:v>0.49</c:v>
                </c:pt>
              </c:numCache>
              <c:extLst/>
            </c:numRef>
          </c:val>
          <c:smooth val="0"/>
          <c:extLst>
            <c:ext xmlns:c16="http://schemas.microsoft.com/office/drawing/2014/chart" uri="{C3380CC4-5D6E-409C-BE32-E72D297353CC}">
              <c16:uniqueId val="{00000008-DFDB-41B0-906E-5450C4869F39}"/>
            </c:ext>
          </c:extLst>
        </c:ser>
        <c:ser>
          <c:idx val="5"/>
          <c:order val="5"/>
          <c:tx>
            <c:strRef>
              <c:f>'S0 EU Serbia'!$AL$39</c:f>
              <c:strCache>
                <c:ptCount val="1"/>
                <c:pt idx="0">
                  <c:v>S0 праг</c:v>
                </c:pt>
              </c:strCache>
            </c:strRef>
          </c:tx>
          <c:spPr>
            <a:ln w="22225" cap="rnd">
              <a:solidFill>
                <a:schemeClr val="tx1"/>
              </a:solidFill>
              <a:prstDash val="dash"/>
              <a:round/>
            </a:ln>
            <a:effectLst/>
          </c:spPr>
          <c:marker>
            <c:symbol val="none"/>
          </c:marker>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Serbia'!$AL$41:$AL$48,'S0 EU Serbia'!$AL$49)</c:f>
              <c:numCache>
                <c:formatCode>General</c:formatCode>
                <c:ptCount val="7"/>
                <c:pt idx="0">
                  <c:v>0.46</c:v>
                </c:pt>
                <c:pt idx="1">
                  <c:v>0.46</c:v>
                </c:pt>
                <c:pt idx="2">
                  <c:v>0.46</c:v>
                </c:pt>
                <c:pt idx="3">
                  <c:v>0.46</c:v>
                </c:pt>
                <c:pt idx="4">
                  <c:v>0.46</c:v>
                </c:pt>
                <c:pt idx="5">
                  <c:v>0.46</c:v>
                </c:pt>
                <c:pt idx="6">
                  <c:v>0.46</c:v>
                </c:pt>
              </c:numCache>
              <c:extLst/>
            </c:numRef>
          </c:val>
          <c:smooth val="0"/>
          <c:extLst>
            <c:ext xmlns:c16="http://schemas.microsoft.com/office/drawing/2014/chart" uri="{C3380CC4-5D6E-409C-BE32-E72D297353CC}">
              <c16:uniqueId val="{00000009-DFDB-41B0-906E-5450C4869F39}"/>
            </c:ext>
          </c:extLst>
        </c:ser>
        <c:dLbls>
          <c:showLegendKey val="0"/>
          <c:showVal val="0"/>
          <c:showCatName val="0"/>
          <c:showSerName val="0"/>
          <c:showPercent val="0"/>
          <c:showBubbleSize val="0"/>
        </c:dLbls>
        <c:marker val="1"/>
        <c:smooth val="0"/>
        <c:axId val="-486944112"/>
        <c:axId val="-486944656"/>
      </c:lineChart>
      <c:catAx>
        <c:axId val="-486944112"/>
        <c:scaling>
          <c:orientation val="minMax"/>
        </c:scaling>
        <c:delete val="0"/>
        <c:axPos val="b"/>
        <c:numFmt formatCode="General" sourceLinked="1"/>
        <c:majorTickMark val="none"/>
        <c:minorTickMark val="none"/>
        <c:tickLblPos val="nextTo"/>
        <c:spPr>
          <a:noFill/>
          <a:ln w="6350"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6944656"/>
        <c:crosses val="autoZero"/>
        <c:auto val="1"/>
        <c:lblAlgn val="ctr"/>
        <c:lblOffset val="100"/>
        <c:noMultiLvlLbl val="0"/>
      </c:catAx>
      <c:valAx>
        <c:axId val="-486944656"/>
        <c:scaling>
          <c:orientation val="minMax"/>
          <c:max val="0.70000000000000007"/>
        </c:scaling>
        <c:delete val="0"/>
        <c:axPos val="l"/>
        <c:numFmt formatCode="#,##0.0" sourceLinked="0"/>
        <c:majorTickMark val="out"/>
        <c:minorTickMark val="none"/>
        <c:tickLblPos val="nextTo"/>
        <c:spPr>
          <a:noFill/>
          <a:ln w="6350">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6944112"/>
        <c:crossesAt val="1"/>
        <c:crossBetween val="between"/>
      </c:valAx>
      <c:spPr>
        <a:noFill/>
        <a:ln>
          <a:noFill/>
        </a:ln>
        <a:effectLst/>
      </c:spPr>
    </c:plotArea>
    <c:legend>
      <c:legendPos val="b"/>
      <c:layout>
        <c:manualLayout>
          <c:xMode val="edge"/>
          <c:yMode val="edge"/>
          <c:x val="2.930789712720251E-4"/>
          <c:y val="0.70762012921461737"/>
          <c:w val="0.99970692102872794"/>
          <c:h val="0.2644061679790025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rgbClr val="002060"/>
                </a:solidFill>
                <a:latin typeface="+mn-lt"/>
                <a:ea typeface="+mn-ea"/>
                <a:cs typeface="+mn-cs"/>
              </a:defRPr>
            </a:pPr>
            <a:r>
              <a:rPr lang="en-US" sz="900" b="1" i="0">
                <a:solidFill>
                  <a:srgbClr val="002060"/>
                </a:solidFill>
                <a:latin typeface="+mn-lt"/>
              </a:rPr>
              <a:t>S0</a:t>
            </a:r>
            <a:r>
              <a:rPr lang="en-US" sz="900" b="1" i="0" baseline="0">
                <a:solidFill>
                  <a:srgbClr val="002060"/>
                </a:solidFill>
                <a:latin typeface="+mn-lt"/>
              </a:rPr>
              <a:t> </a:t>
            </a:r>
            <a:r>
              <a:rPr lang="sr-Cyrl-RS" sz="900" b="1" i="0" baseline="0">
                <a:solidFill>
                  <a:srgbClr val="002060"/>
                </a:solidFill>
                <a:latin typeface="+mn-lt"/>
              </a:rPr>
              <a:t>земље ЕУ и Србија</a:t>
            </a:r>
            <a:endParaRPr lang="sr-Cyrl-RS" sz="900" b="1" i="0">
              <a:solidFill>
                <a:srgbClr val="002060"/>
              </a:solidFill>
              <a:latin typeface="+mn-lt"/>
            </a:endParaRPr>
          </a:p>
        </c:rich>
      </c:tx>
      <c:overlay val="0"/>
      <c:spPr>
        <a:noFill/>
        <a:ln>
          <a:noFill/>
        </a:ln>
        <a:effectLst/>
      </c:spPr>
      <c:txPr>
        <a:bodyPr rot="0" spcFirstLastPara="1" vertOverflow="ellipsis" vert="horz" wrap="square" anchor="ctr" anchorCtr="1"/>
        <a:lstStyle/>
        <a:p>
          <a:pPr>
            <a:defRPr sz="900" b="1" i="0" u="none" strike="noStrike" kern="1200" spc="0" baseline="0">
              <a:solidFill>
                <a:srgbClr val="002060"/>
              </a:solidFill>
              <a:latin typeface="+mn-lt"/>
              <a:ea typeface="+mn-ea"/>
              <a:cs typeface="+mn-cs"/>
            </a:defRPr>
          </a:pPr>
          <a:endParaRPr lang="en-US"/>
        </a:p>
      </c:txPr>
    </c:title>
    <c:autoTitleDeleted val="0"/>
    <c:plotArea>
      <c:layout>
        <c:manualLayout>
          <c:layoutTarget val="inner"/>
          <c:xMode val="edge"/>
          <c:yMode val="edge"/>
          <c:x val="7.0140553174856415E-2"/>
          <c:y val="0.13775301764159703"/>
          <c:w val="0.89795062064282105"/>
          <c:h val="0.4716665570007092"/>
        </c:manualLayout>
      </c:layout>
      <c:barChart>
        <c:barDir val="col"/>
        <c:grouping val="clustered"/>
        <c:varyColors val="0"/>
        <c:ser>
          <c:idx val="3"/>
          <c:order val="1"/>
          <c:tx>
            <c:strRef>
              <c:f>'S0 EU Serbia'!$F$2</c:f>
              <c:strCache>
                <c:ptCount val="1"/>
                <c:pt idx="0">
                  <c:v>S0
2014</c:v>
                </c:pt>
              </c:strCache>
            </c:strRef>
          </c:tx>
          <c:spPr>
            <a:solidFill>
              <a:schemeClr val="tx1"/>
            </a:solidFill>
            <a:ln w="6350">
              <a:solidFill>
                <a:schemeClr val="tx1"/>
              </a:solidFill>
            </a:ln>
            <a:effectLst/>
          </c:spPr>
          <c:invertIfNegative val="0"/>
          <c:cat>
            <c:strRef>
              <c:f>'S0 EU Serbia'!$A$3:$A$31</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f>'S0 EU Serbia'!$F$3:$F$31</c:f>
            </c:numRef>
          </c:val>
          <c:extLst>
            <c:ext xmlns:c16="http://schemas.microsoft.com/office/drawing/2014/chart" uri="{C3380CC4-5D6E-409C-BE32-E72D297353CC}">
              <c16:uniqueId val="{00000000-DD7E-43C3-A736-B8F609A58920}"/>
            </c:ext>
          </c:extLst>
        </c:ser>
        <c:dLbls>
          <c:showLegendKey val="0"/>
          <c:showVal val="0"/>
          <c:showCatName val="0"/>
          <c:showSerName val="0"/>
          <c:showPercent val="0"/>
          <c:showBubbleSize val="0"/>
        </c:dLbls>
        <c:gapWidth val="150"/>
        <c:axId val="-486950096"/>
        <c:axId val="-486949552"/>
      </c:barChart>
      <c:barChart>
        <c:barDir val="col"/>
        <c:grouping val="clustered"/>
        <c:varyColors val="0"/>
        <c:ser>
          <c:idx val="5"/>
          <c:order val="7"/>
          <c:tx>
            <c:strRef>
              <c:f>'S0 EU Serbia'!$X$2</c:f>
              <c:strCache>
                <c:ptCount val="1"/>
                <c:pt idx="0">
                  <c:v>S0 2020</c:v>
                </c:pt>
              </c:strCache>
            </c:strRef>
          </c:tx>
          <c:spPr>
            <a:solidFill>
              <a:srgbClr val="7030A0"/>
            </a:solidFill>
            <a:ln>
              <a:noFill/>
            </a:ln>
            <a:effectLst/>
          </c:spPr>
          <c:invertIfNegative val="0"/>
          <c:val>
            <c:numRef>
              <c:f>'S0 EU Serbia'!$X$3:$X$29</c:f>
              <c:numCache>
                <c:formatCode>0.00</c:formatCode>
                <c:ptCount val="27"/>
                <c:pt idx="0">
                  <c:v>0.4</c:v>
                </c:pt>
                <c:pt idx="1">
                  <c:v>0.48</c:v>
                </c:pt>
                <c:pt idx="2">
                  <c:v>0.35</c:v>
                </c:pt>
                <c:pt idx="3">
                  <c:v>0.37</c:v>
                </c:pt>
                <c:pt idx="4">
                  <c:v>0.61</c:v>
                </c:pt>
                <c:pt idx="5">
                  <c:v>0.64</c:v>
                </c:pt>
                <c:pt idx="6">
                  <c:v>0.41</c:v>
                </c:pt>
                <c:pt idx="7">
                  <c:v>0.33</c:v>
                </c:pt>
                <c:pt idx="8">
                  <c:v>0.49</c:v>
                </c:pt>
                <c:pt idx="9">
                  <c:v>0.55000000000000004</c:v>
                </c:pt>
                <c:pt idx="10">
                  <c:v>0.37</c:v>
                </c:pt>
                <c:pt idx="11">
                  <c:v>0.46</c:v>
                </c:pt>
                <c:pt idx="12">
                  <c:v>0.42</c:v>
                </c:pt>
                <c:pt idx="13">
                  <c:v>0.48</c:v>
                </c:pt>
                <c:pt idx="14">
                  <c:v>0.48</c:v>
                </c:pt>
                <c:pt idx="15">
                  <c:v>0.37</c:v>
                </c:pt>
                <c:pt idx="16">
                  <c:v>0.3</c:v>
                </c:pt>
                <c:pt idx="17">
                  <c:v>0.28999999999999998</c:v>
                </c:pt>
                <c:pt idx="18">
                  <c:v>0.39</c:v>
                </c:pt>
                <c:pt idx="19">
                  <c:v>0.45</c:v>
                </c:pt>
                <c:pt idx="20">
                  <c:v>0.61</c:v>
                </c:pt>
                <c:pt idx="21">
                  <c:v>0.49</c:v>
                </c:pt>
                <c:pt idx="22">
                  <c:v>0.4425887265135699</c:v>
                </c:pt>
                <c:pt idx="23">
                  <c:v>0.54</c:v>
                </c:pt>
                <c:pt idx="24">
                  <c:v>0.43</c:v>
                </c:pt>
                <c:pt idx="25">
                  <c:v>0.5</c:v>
                </c:pt>
                <c:pt idx="26">
                  <c:v>0.32</c:v>
                </c:pt>
              </c:numCache>
            </c:numRef>
          </c:val>
          <c:extLst>
            <c:ext xmlns:c16="http://schemas.microsoft.com/office/drawing/2014/chart" uri="{C3380CC4-5D6E-409C-BE32-E72D297353CC}">
              <c16:uniqueId val="{00000001-DD7E-43C3-A736-B8F609A58920}"/>
            </c:ext>
          </c:extLst>
        </c:ser>
        <c:ser>
          <c:idx val="7"/>
          <c:order val="8"/>
          <c:tx>
            <c:strRef>
              <c:f>'S0 EU Serbia'!$AA$2</c:f>
              <c:strCache>
                <c:ptCount val="1"/>
                <c:pt idx="0">
                  <c:v>S0 2021</c:v>
                </c:pt>
              </c:strCache>
            </c:strRef>
          </c:tx>
          <c:spPr>
            <a:solidFill>
              <a:srgbClr val="00B0F0"/>
            </a:solidFill>
            <a:ln>
              <a:noFill/>
            </a:ln>
            <a:effectLst/>
          </c:spPr>
          <c:invertIfNegative val="0"/>
          <c:val>
            <c:numRef>
              <c:f>'S0 EU Serbia'!$AA$3:$AA$29</c:f>
              <c:numCache>
                <c:formatCode>0.00</c:formatCode>
                <c:ptCount val="27"/>
                <c:pt idx="0">
                  <c:v>0.36</c:v>
                </c:pt>
                <c:pt idx="1">
                  <c:v>0.36</c:v>
                </c:pt>
                <c:pt idx="2">
                  <c:v>0.36</c:v>
                </c:pt>
                <c:pt idx="3">
                  <c:v>0.36</c:v>
                </c:pt>
                <c:pt idx="4">
                  <c:v>0.36</c:v>
                </c:pt>
                <c:pt idx="5">
                  <c:v>0.36</c:v>
                </c:pt>
                <c:pt idx="6">
                  <c:v>0.36</c:v>
                </c:pt>
                <c:pt idx="7">
                  <c:v>0.36</c:v>
                </c:pt>
                <c:pt idx="8">
                  <c:v>0.36</c:v>
                </c:pt>
                <c:pt idx="9">
                  <c:v>0.36</c:v>
                </c:pt>
                <c:pt idx="10">
                  <c:v>0.36</c:v>
                </c:pt>
                <c:pt idx="11">
                  <c:v>0.36</c:v>
                </c:pt>
                <c:pt idx="12">
                  <c:v>0.36</c:v>
                </c:pt>
                <c:pt idx="13">
                  <c:v>0.36</c:v>
                </c:pt>
                <c:pt idx="14">
                  <c:v>0.36</c:v>
                </c:pt>
                <c:pt idx="15">
                  <c:v>0.36</c:v>
                </c:pt>
                <c:pt idx="16">
                  <c:v>0.36</c:v>
                </c:pt>
                <c:pt idx="17">
                  <c:v>0.36</c:v>
                </c:pt>
                <c:pt idx="18">
                  <c:v>0.36</c:v>
                </c:pt>
                <c:pt idx="19">
                  <c:v>0.36</c:v>
                </c:pt>
                <c:pt idx="20">
                  <c:v>0.36</c:v>
                </c:pt>
                <c:pt idx="21">
                  <c:v>0.36</c:v>
                </c:pt>
                <c:pt idx="22">
                  <c:v>0.25259999999999999</c:v>
                </c:pt>
                <c:pt idx="23">
                  <c:v>0.36</c:v>
                </c:pt>
                <c:pt idx="24">
                  <c:v>0.36</c:v>
                </c:pt>
                <c:pt idx="25">
                  <c:v>0.36</c:v>
                </c:pt>
                <c:pt idx="26">
                  <c:v>0.36</c:v>
                </c:pt>
              </c:numCache>
            </c:numRef>
          </c:val>
          <c:extLst>
            <c:ext xmlns:c16="http://schemas.microsoft.com/office/drawing/2014/chart" uri="{C3380CC4-5D6E-409C-BE32-E72D297353CC}">
              <c16:uniqueId val="{00000002-DD7E-43C3-A736-B8F609A58920}"/>
            </c:ext>
          </c:extLst>
        </c:ser>
        <c:dLbls>
          <c:showLegendKey val="0"/>
          <c:showVal val="0"/>
          <c:showCatName val="0"/>
          <c:showSerName val="0"/>
          <c:showPercent val="0"/>
          <c:showBubbleSize val="0"/>
        </c:dLbls>
        <c:gapWidth val="150"/>
        <c:axId val="-486950096"/>
        <c:axId val="-486949552"/>
        <c:extLst>
          <c:ext xmlns:c15="http://schemas.microsoft.com/office/drawing/2012/chart" uri="{02D57815-91ED-43cb-92C2-25804820EDAC}">
            <c15:filteredBarSeries>
              <c15:ser>
                <c:idx val="6"/>
                <c:order val="2"/>
                <c:tx>
                  <c:strRef>
                    <c:extLst>
                      <c:ext uri="{02D57815-91ED-43cb-92C2-25804820EDAC}">
                        <c15:formulaRef>
                          <c15:sqref>'S0 EU Serbia'!$I$2</c15:sqref>
                        </c15:formulaRef>
                      </c:ext>
                    </c:extLst>
                    <c:strCache>
                      <c:ptCount val="1"/>
                      <c:pt idx="0">
                        <c:v>S0
2015</c:v>
                      </c:pt>
                    </c:strCache>
                  </c:strRef>
                </c:tx>
                <c:spPr>
                  <a:solidFill>
                    <a:schemeClr val="accent2"/>
                  </a:solidFill>
                  <a:ln>
                    <a:noFill/>
                  </a:ln>
                  <a:effectLst/>
                </c:spPr>
                <c:invertIfNegative val="0"/>
                <c:cat>
                  <c:strRef>
                    <c:extLst>
                      <c:ex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c:ext uri="{02D57815-91ED-43cb-92C2-25804820EDAC}">
                        <c15:formulaRef>
                          <c15:sqref>'S0 EU Serbia'!$I$3:$I$31</c15:sqref>
                        </c15:formulaRef>
                      </c:ext>
                    </c:extLst>
                    <c:numCache>
                      <c:formatCode>0.00</c:formatCode>
                      <c:ptCount val="29"/>
                      <c:pt idx="0">
                        <c:v>7.0000000000000007E-2</c:v>
                      </c:pt>
                      <c:pt idx="1">
                        <c:v>0.1</c:v>
                      </c:pt>
                      <c:pt idx="2">
                        <c:v>0.21</c:v>
                      </c:pt>
                      <c:pt idx="3">
                        <c:v>0.11</c:v>
                      </c:pt>
                      <c:pt idx="4">
                        <c:v>0.26</c:v>
                      </c:pt>
                      <c:pt idx="6">
                        <c:v>0.25</c:v>
                      </c:pt>
                      <c:pt idx="7">
                        <c:v>0.19</c:v>
                      </c:pt>
                      <c:pt idx="8">
                        <c:v>0.22</c:v>
                      </c:pt>
                      <c:pt idx="9">
                        <c:v>0.17</c:v>
                      </c:pt>
                      <c:pt idx="10">
                        <c:v>0.02</c:v>
                      </c:pt>
                      <c:pt idx="11">
                        <c:v>0.16</c:v>
                      </c:pt>
                      <c:pt idx="12">
                        <c:v>0.38</c:v>
                      </c:pt>
                      <c:pt idx="13">
                        <c:v>0.21</c:v>
                      </c:pt>
                      <c:pt idx="14">
                        <c:v>0.34</c:v>
                      </c:pt>
                      <c:pt idx="15">
                        <c:v>0.18</c:v>
                      </c:pt>
                      <c:pt idx="16">
                        <c:v>0.09</c:v>
                      </c:pt>
                      <c:pt idx="17">
                        <c:v>0.13</c:v>
                      </c:pt>
                      <c:pt idx="18">
                        <c:v>0.19</c:v>
                      </c:pt>
                      <c:pt idx="19">
                        <c:v>0.27</c:v>
                      </c:pt>
                      <c:pt idx="20">
                        <c:v>0.24</c:v>
                      </c:pt>
                      <c:pt idx="21">
                        <c:v>0.14000000000000001</c:v>
                      </c:pt>
                      <c:pt idx="22">
                        <c:v>0.36</c:v>
                      </c:pt>
                      <c:pt idx="23">
                        <c:v>0.21</c:v>
                      </c:pt>
                      <c:pt idx="24">
                        <c:v>0.08</c:v>
                      </c:pt>
                      <c:pt idx="25">
                        <c:v>0.21</c:v>
                      </c:pt>
                      <c:pt idx="26">
                        <c:v>0.15</c:v>
                      </c:pt>
                      <c:pt idx="27">
                        <c:v>0.36</c:v>
                      </c:pt>
                    </c:numCache>
                  </c:numRef>
                </c:val>
                <c:extLst>
                  <c:ext xmlns:c16="http://schemas.microsoft.com/office/drawing/2014/chart" uri="{C3380CC4-5D6E-409C-BE32-E72D297353CC}">
                    <c16:uniqueId val="{00000005-DD7E-43C3-A736-B8F609A58920}"/>
                  </c:ext>
                </c:extLst>
              </c15:ser>
            </c15:filteredBarSeries>
            <c15:filteredBarSeries>
              <c15:ser>
                <c:idx val="9"/>
                <c:order val="3"/>
                <c:tx>
                  <c:strRef>
                    <c:extLst xmlns:c15="http://schemas.microsoft.com/office/drawing/2012/chart">
                      <c:ext xmlns:c15="http://schemas.microsoft.com/office/drawing/2012/chart" uri="{02D57815-91ED-43cb-92C2-25804820EDAC}">
                        <c15:formulaRef>
                          <c15:sqref>'S0 EU Serbia'!$L$2</c15:sqref>
                        </c15:formulaRef>
                      </c:ext>
                    </c:extLst>
                    <c:strCache>
                      <c:ptCount val="1"/>
                      <c:pt idx="0">
                        <c:v>S0
 2016</c:v>
                      </c:pt>
                    </c:strCache>
                  </c:strRef>
                </c:tx>
                <c:spPr>
                  <a:solidFill>
                    <a:srgbClr val="7030A0"/>
                  </a:solidFill>
                  <a:ln>
                    <a:noFill/>
                  </a:ln>
                  <a:effectLst/>
                </c:spPr>
                <c:invertIfNegative val="0"/>
                <c:dPt>
                  <c:idx val="16"/>
                  <c:invertIfNegative val="0"/>
                  <c:bubble3D val="0"/>
                  <c:spPr>
                    <a:solidFill>
                      <a:srgbClr val="7F7F7F"/>
                    </a:solidFill>
                    <a:ln>
                      <a:noFill/>
                    </a:ln>
                    <a:effectLst/>
                  </c:spPr>
                  <c:extLst xmlns:c15="http://schemas.microsoft.com/office/drawing/2012/chart">
                    <c:ext xmlns:c16="http://schemas.microsoft.com/office/drawing/2014/chart" uri="{C3380CC4-5D6E-409C-BE32-E72D297353CC}">
                      <c16:uniqueId val="{00000007-DD7E-43C3-A736-B8F609A58920}"/>
                    </c:ext>
                  </c:extLst>
                </c:dPt>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Serbia'!$L$3:$L$31</c15:sqref>
                        </c15:formulaRef>
                      </c:ext>
                    </c:extLst>
                    <c:numCache>
                      <c:formatCode>0.00</c:formatCode>
                      <c:ptCount val="29"/>
                      <c:pt idx="0">
                        <c:v>0.15</c:v>
                      </c:pt>
                      <c:pt idx="1">
                        <c:v>0.42</c:v>
                      </c:pt>
                      <c:pt idx="2">
                        <c:v>0.28000000000000003</c:v>
                      </c:pt>
                      <c:pt idx="3">
                        <c:v>0.19</c:v>
                      </c:pt>
                      <c:pt idx="4">
                        <c:v>0.18</c:v>
                      </c:pt>
                      <c:pt idx="5">
                        <c:v>0.41</c:v>
                      </c:pt>
                      <c:pt idx="6">
                        <c:v>0.19</c:v>
                      </c:pt>
                      <c:pt idx="7">
                        <c:v>0.25</c:v>
                      </c:pt>
                      <c:pt idx="8">
                        <c:v>0.22</c:v>
                      </c:pt>
                      <c:pt idx="9">
                        <c:v>0.31</c:v>
                      </c:pt>
                      <c:pt idx="10">
                        <c:v>0.08</c:v>
                      </c:pt>
                      <c:pt idx="11">
                        <c:v>0.31</c:v>
                      </c:pt>
                      <c:pt idx="12">
                        <c:v>0.28000000000000003</c:v>
                      </c:pt>
                      <c:pt idx="13">
                        <c:v>0.42</c:v>
                      </c:pt>
                      <c:pt idx="14">
                        <c:v>0.28999999999999998</c:v>
                      </c:pt>
                      <c:pt idx="15">
                        <c:v>0.21</c:v>
                      </c:pt>
                      <c:pt idx="16">
                        <c:v>0.28999999999999998</c:v>
                      </c:pt>
                      <c:pt idx="17">
                        <c:v>0.15</c:v>
                      </c:pt>
                      <c:pt idx="18">
                        <c:v>0.2</c:v>
                      </c:pt>
                      <c:pt idx="19">
                        <c:v>0.28999999999999998</c:v>
                      </c:pt>
                      <c:pt idx="20">
                        <c:v>0.41</c:v>
                      </c:pt>
                      <c:pt idx="21">
                        <c:v>0.26</c:v>
                      </c:pt>
                      <c:pt idx="22">
                        <c:v>0.19161676646706588</c:v>
                      </c:pt>
                      <c:pt idx="23">
                        <c:v>0.34</c:v>
                      </c:pt>
                      <c:pt idx="24">
                        <c:v>0.14000000000000001</c:v>
                      </c:pt>
                      <c:pt idx="25">
                        <c:v>0.37</c:v>
                      </c:pt>
                      <c:pt idx="26">
                        <c:v>0.12</c:v>
                      </c:pt>
                      <c:pt idx="27">
                        <c:v>0.41</c:v>
                      </c:pt>
                    </c:numCache>
                  </c:numRef>
                </c:val>
                <c:extLst xmlns:c15="http://schemas.microsoft.com/office/drawing/2012/chart">
                  <c:ext xmlns:c16="http://schemas.microsoft.com/office/drawing/2014/chart" uri="{C3380CC4-5D6E-409C-BE32-E72D297353CC}">
                    <c16:uniqueId val="{00000008-DD7E-43C3-A736-B8F609A58920}"/>
                  </c:ext>
                </c:extLst>
              </c15:ser>
            </c15:filteredBarSeries>
            <c15:filteredBarSeries>
              <c15:ser>
                <c:idx val="0"/>
                <c:order val="4"/>
                <c:tx>
                  <c:strRef>
                    <c:extLst xmlns:c15="http://schemas.microsoft.com/office/drawing/2012/chart">
                      <c:ext xmlns:c15="http://schemas.microsoft.com/office/drawing/2012/chart" uri="{02D57815-91ED-43cb-92C2-25804820EDAC}">
                        <c15:formulaRef>
                          <c15:sqref>'S0 EU Serbia'!$O$2</c15:sqref>
                        </c15:formulaRef>
                      </c:ext>
                    </c:extLst>
                    <c:strCache>
                      <c:ptCount val="1"/>
                      <c:pt idx="0">
                        <c:v>S0 2017</c:v>
                      </c:pt>
                    </c:strCache>
                  </c:strRef>
                </c:tx>
                <c:spPr>
                  <a:solidFill>
                    <a:schemeClr val="accent1"/>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Serbia'!$O$3:$O$30</c15:sqref>
                        </c15:formulaRef>
                      </c:ext>
                    </c:extLst>
                    <c:numCache>
                      <c:formatCode>0.00</c:formatCode>
                      <c:ptCount val="28"/>
                      <c:pt idx="0">
                        <c:v>7.0000000000000007E-2</c:v>
                      </c:pt>
                      <c:pt idx="1">
                        <c:v>0.35</c:v>
                      </c:pt>
                      <c:pt idx="2">
                        <c:v>0.25</c:v>
                      </c:pt>
                      <c:pt idx="3">
                        <c:v>0.19</c:v>
                      </c:pt>
                      <c:pt idx="4">
                        <c:v>0.2</c:v>
                      </c:pt>
                      <c:pt idx="5">
                        <c:v>0.44</c:v>
                      </c:pt>
                      <c:pt idx="6">
                        <c:v>0.3</c:v>
                      </c:pt>
                      <c:pt idx="7">
                        <c:v>0.2</c:v>
                      </c:pt>
                      <c:pt idx="8">
                        <c:v>0.1</c:v>
                      </c:pt>
                      <c:pt idx="9">
                        <c:v>0.24</c:v>
                      </c:pt>
                      <c:pt idx="10">
                        <c:v>0.08</c:v>
                      </c:pt>
                      <c:pt idx="11">
                        <c:v>0.39</c:v>
                      </c:pt>
                      <c:pt idx="12">
                        <c:v>0.28000000000000003</c:v>
                      </c:pt>
                      <c:pt idx="13">
                        <c:v>0.36</c:v>
                      </c:pt>
                      <c:pt idx="14">
                        <c:v>0.24</c:v>
                      </c:pt>
                      <c:pt idx="15">
                        <c:v>0.21</c:v>
                      </c:pt>
                      <c:pt idx="16">
                        <c:v>0.12</c:v>
                      </c:pt>
                      <c:pt idx="17">
                        <c:v>0.05</c:v>
                      </c:pt>
                      <c:pt idx="18">
                        <c:v>0.2</c:v>
                      </c:pt>
                      <c:pt idx="19">
                        <c:v>0.25</c:v>
                      </c:pt>
                      <c:pt idx="20">
                        <c:v>0.36</c:v>
                      </c:pt>
                      <c:pt idx="21">
                        <c:v>0.2</c:v>
                      </c:pt>
                      <c:pt idx="22">
                        <c:v>0.17745302713987476</c:v>
                      </c:pt>
                      <c:pt idx="23">
                        <c:v>0.3</c:v>
                      </c:pt>
                      <c:pt idx="24">
                        <c:v>0.13</c:v>
                      </c:pt>
                      <c:pt idx="25">
                        <c:v>0.37</c:v>
                      </c:pt>
                      <c:pt idx="26">
                        <c:v>0.12</c:v>
                      </c:pt>
                      <c:pt idx="27">
                        <c:v>0.42</c:v>
                      </c:pt>
                    </c:numCache>
                  </c:numRef>
                </c:val>
                <c:extLst xmlns:c15="http://schemas.microsoft.com/office/drawing/2012/chart">
                  <c:ext xmlns:c16="http://schemas.microsoft.com/office/drawing/2014/chart" uri="{C3380CC4-5D6E-409C-BE32-E72D297353CC}">
                    <c16:uniqueId val="{00000009-DD7E-43C3-A736-B8F609A58920}"/>
                  </c:ext>
                </c:extLst>
              </c15:ser>
            </c15:filteredBarSeries>
            <c15:filteredBarSeries>
              <c15:ser>
                <c:idx val="1"/>
                <c:order val="5"/>
                <c:tx>
                  <c:strRef>
                    <c:extLst xmlns:c15="http://schemas.microsoft.com/office/drawing/2012/chart">
                      <c:ext xmlns:c15="http://schemas.microsoft.com/office/drawing/2012/chart" uri="{02D57815-91ED-43cb-92C2-25804820EDAC}">
                        <c15:formulaRef>
                          <c15:sqref>'S0 EU Serbia'!$R$2</c15:sqref>
                        </c15:formulaRef>
                      </c:ext>
                    </c:extLst>
                    <c:strCache>
                      <c:ptCount val="1"/>
                      <c:pt idx="0">
                        <c:v>S0 2018</c:v>
                      </c:pt>
                    </c:strCache>
                  </c:strRef>
                </c:tx>
                <c:spPr>
                  <a:solidFill>
                    <a:srgbClr val="7030A0"/>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Serbia'!$R$3:$R$30</c15:sqref>
                        </c15:formulaRef>
                      </c:ext>
                    </c:extLst>
                    <c:numCache>
                      <c:formatCode>0.00</c:formatCode>
                      <c:ptCount val="28"/>
                      <c:pt idx="0">
                        <c:v>0.03</c:v>
                      </c:pt>
                      <c:pt idx="1">
                        <c:v>0.22</c:v>
                      </c:pt>
                      <c:pt idx="2">
                        <c:v>0.19</c:v>
                      </c:pt>
                      <c:pt idx="3">
                        <c:v>0.18</c:v>
                      </c:pt>
                      <c:pt idx="4">
                        <c:v>0.24</c:v>
                      </c:pt>
                      <c:pt idx="5">
                        <c:v>0.46</c:v>
                      </c:pt>
                      <c:pt idx="6">
                        <c:v>0.12</c:v>
                      </c:pt>
                      <c:pt idx="7">
                        <c:v>0.17</c:v>
                      </c:pt>
                      <c:pt idx="8">
                        <c:v>0.14000000000000001</c:v>
                      </c:pt>
                      <c:pt idx="9">
                        <c:v>0.28999999999999998</c:v>
                      </c:pt>
                      <c:pt idx="10">
                        <c:v>0</c:v>
                      </c:pt>
                      <c:pt idx="11">
                        <c:v>0.34</c:v>
                      </c:pt>
                      <c:pt idx="12">
                        <c:v>0.21</c:v>
                      </c:pt>
                      <c:pt idx="13">
                        <c:v>0.36</c:v>
                      </c:pt>
                      <c:pt idx="14">
                        <c:v>0.24</c:v>
                      </c:pt>
                      <c:pt idx="15">
                        <c:v>0.21</c:v>
                      </c:pt>
                      <c:pt idx="16">
                        <c:v>0.12</c:v>
                      </c:pt>
                      <c:pt idx="17">
                        <c:v>0.06</c:v>
                      </c:pt>
                      <c:pt idx="18">
                        <c:v>0.08</c:v>
                      </c:pt>
                      <c:pt idx="19">
                        <c:v>0.18</c:v>
                      </c:pt>
                      <c:pt idx="20">
                        <c:v>0.33</c:v>
                      </c:pt>
                      <c:pt idx="21">
                        <c:v>0.3</c:v>
                      </c:pt>
                      <c:pt idx="22">
                        <c:v>0.17745302713987476</c:v>
                      </c:pt>
                      <c:pt idx="23">
                        <c:v>0.27</c:v>
                      </c:pt>
                      <c:pt idx="24">
                        <c:v>0.13</c:v>
                      </c:pt>
                      <c:pt idx="25">
                        <c:v>0.37</c:v>
                      </c:pt>
                      <c:pt idx="26">
                        <c:v>0.2</c:v>
                      </c:pt>
                      <c:pt idx="27">
                        <c:v>0.42</c:v>
                      </c:pt>
                    </c:numCache>
                  </c:numRef>
                </c:val>
                <c:extLst xmlns:c15="http://schemas.microsoft.com/office/drawing/2012/chart">
                  <c:ext xmlns:c16="http://schemas.microsoft.com/office/drawing/2014/chart" uri="{C3380CC4-5D6E-409C-BE32-E72D297353CC}">
                    <c16:uniqueId val="{0000000A-DD7E-43C3-A736-B8F609A58920}"/>
                  </c:ext>
                </c:extLst>
              </c15:ser>
            </c15:filteredBarSeries>
            <c15:filteredBarSeries>
              <c15:ser>
                <c:idx val="4"/>
                <c:order val="6"/>
                <c:tx>
                  <c:strRef>
                    <c:extLst xmlns:c15="http://schemas.microsoft.com/office/drawing/2012/chart">
                      <c:ext xmlns:c15="http://schemas.microsoft.com/office/drawing/2012/chart" uri="{02D57815-91ED-43cb-92C2-25804820EDAC}">
                        <c15:formulaRef>
                          <c15:sqref>'S0 EU Serbia'!$U$2</c15:sqref>
                        </c15:formulaRef>
                      </c:ext>
                    </c:extLst>
                    <c:strCache>
                      <c:ptCount val="1"/>
                      <c:pt idx="0">
                        <c:v>S0 2019</c:v>
                      </c:pt>
                    </c:strCache>
                  </c:strRef>
                </c:tx>
                <c:spPr>
                  <a:solidFill>
                    <a:schemeClr val="accent5"/>
                  </a:solidFill>
                  <a:ln>
                    <a:noFill/>
                  </a:ln>
                  <a:effectLst/>
                </c:spPr>
                <c:invertIfNegative val="0"/>
                <c:val>
                  <c:numRef>
                    <c:extLst xmlns:c15="http://schemas.microsoft.com/office/drawing/2012/chart">
                      <c:ext xmlns:c15="http://schemas.microsoft.com/office/drawing/2012/chart" uri="{02D57815-91ED-43cb-92C2-25804820EDAC}">
                        <c15:formulaRef>
                          <c15:sqref>'S0 EU Serbia'!$U$3:$U$29</c15:sqref>
                        </c15:formulaRef>
                      </c:ext>
                    </c:extLst>
                    <c:numCache>
                      <c:formatCode>0.00</c:formatCode>
                      <c:ptCount val="27"/>
                      <c:pt idx="0">
                        <c:v>0.1</c:v>
                      </c:pt>
                      <c:pt idx="1">
                        <c:v>0.17</c:v>
                      </c:pt>
                      <c:pt idx="2">
                        <c:v>0.21</c:v>
                      </c:pt>
                      <c:pt idx="3">
                        <c:v>0.22</c:v>
                      </c:pt>
                      <c:pt idx="4">
                        <c:v>0.24</c:v>
                      </c:pt>
                      <c:pt idx="5">
                        <c:v>0.45</c:v>
                      </c:pt>
                      <c:pt idx="6">
                        <c:v>0.2</c:v>
                      </c:pt>
                      <c:pt idx="7">
                        <c:v>0.2</c:v>
                      </c:pt>
                      <c:pt idx="8">
                        <c:v>0.26</c:v>
                      </c:pt>
                      <c:pt idx="9">
                        <c:v>0.36</c:v>
                      </c:pt>
                      <c:pt idx="10">
                        <c:v>0.08</c:v>
                      </c:pt>
                      <c:pt idx="11">
                        <c:v>0.28999999999999998</c:v>
                      </c:pt>
                      <c:pt idx="12">
                        <c:v>0.14000000000000001</c:v>
                      </c:pt>
                      <c:pt idx="13">
                        <c:v>0.33</c:v>
                      </c:pt>
                      <c:pt idx="14">
                        <c:v>0.24</c:v>
                      </c:pt>
                      <c:pt idx="15">
                        <c:v>0.21</c:v>
                      </c:pt>
                      <c:pt idx="16">
                        <c:v>0.19</c:v>
                      </c:pt>
                      <c:pt idx="17">
                        <c:v>0.06</c:v>
                      </c:pt>
                      <c:pt idx="18">
                        <c:v>0.16</c:v>
                      </c:pt>
                      <c:pt idx="19">
                        <c:v>0.26</c:v>
                      </c:pt>
                      <c:pt idx="20">
                        <c:v>0.33</c:v>
                      </c:pt>
                      <c:pt idx="21">
                        <c:v>0.37</c:v>
                      </c:pt>
                      <c:pt idx="22">
                        <c:v>0.17745302713987476</c:v>
                      </c:pt>
                      <c:pt idx="23">
                        <c:v>0.27</c:v>
                      </c:pt>
                      <c:pt idx="24">
                        <c:v>0.05</c:v>
                      </c:pt>
                      <c:pt idx="25">
                        <c:v>0.37</c:v>
                      </c:pt>
                      <c:pt idx="26">
                        <c:v>0.24</c:v>
                      </c:pt>
                    </c:numCache>
                  </c:numRef>
                </c:val>
                <c:extLst xmlns:c15="http://schemas.microsoft.com/office/drawing/2012/chart">
                  <c:ext xmlns:c16="http://schemas.microsoft.com/office/drawing/2014/chart" uri="{C3380CC4-5D6E-409C-BE32-E72D297353CC}">
                    <c16:uniqueId val="{0000000B-DD7E-43C3-A736-B8F609A58920}"/>
                  </c:ext>
                </c:extLst>
              </c15:ser>
            </c15:filteredBarSeries>
          </c:ext>
        </c:extLst>
      </c:barChart>
      <c:lineChart>
        <c:grouping val="standard"/>
        <c:varyColors val="0"/>
        <c:ser>
          <c:idx val="2"/>
          <c:order val="0"/>
          <c:tx>
            <c:strRef>
              <c:f>'S0 EU Serbia'!$E$1</c:f>
              <c:strCache>
                <c:ptCount val="1"/>
                <c:pt idx="0">
                  <c:v>S0 праг</c:v>
                </c:pt>
              </c:strCache>
            </c:strRef>
          </c:tx>
          <c:spPr>
            <a:ln w="22225" cap="rnd">
              <a:solidFill>
                <a:schemeClr val="tx1"/>
              </a:solidFill>
              <a:prstDash val="dash"/>
              <a:round/>
            </a:ln>
            <a:effectLst/>
          </c:spPr>
          <c:marker>
            <c:symbol val="none"/>
          </c:marker>
          <c:dLbls>
            <c:dLbl>
              <c:idx val="15"/>
              <c:layout>
                <c:manualLayout>
                  <c:x val="-2.5343339842620423E-3"/>
                  <c:y val="-9.6564531104921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7E-43C3-A736-B8F609A5892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2060"/>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'S0 EU Serbia'!$A$3:$A$29</c:f>
              <c:strCache>
                <c:ptCount val="27"/>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strCache>
            </c:strRef>
          </c:cat>
          <c:val>
            <c:numRef>
              <c:f>'S0 EU Serbia'!$E$3:$E$29</c:f>
              <c:numCache>
                <c:formatCode>0.00</c:formatCode>
                <c:ptCount val="27"/>
                <c:pt idx="0">
                  <c:v>0.46</c:v>
                </c:pt>
                <c:pt idx="1">
                  <c:v>0.46</c:v>
                </c:pt>
                <c:pt idx="2">
                  <c:v>0.46</c:v>
                </c:pt>
                <c:pt idx="3">
                  <c:v>0.46</c:v>
                </c:pt>
                <c:pt idx="4">
                  <c:v>0.46</c:v>
                </c:pt>
                <c:pt idx="5">
                  <c:v>0.46</c:v>
                </c:pt>
                <c:pt idx="6">
                  <c:v>0.46</c:v>
                </c:pt>
                <c:pt idx="7">
                  <c:v>0.46</c:v>
                </c:pt>
                <c:pt idx="8">
                  <c:v>0.46</c:v>
                </c:pt>
                <c:pt idx="9">
                  <c:v>0.46</c:v>
                </c:pt>
                <c:pt idx="10">
                  <c:v>0.46</c:v>
                </c:pt>
                <c:pt idx="11">
                  <c:v>0.46</c:v>
                </c:pt>
                <c:pt idx="12">
                  <c:v>0.46</c:v>
                </c:pt>
                <c:pt idx="13">
                  <c:v>0.46</c:v>
                </c:pt>
                <c:pt idx="14">
                  <c:v>0.46</c:v>
                </c:pt>
                <c:pt idx="15">
                  <c:v>0.46</c:v>
                </c:pt>
                <c:pt idx="16">
                  <c:v>0.46</c:v>
                </c:pt>
                <c:pt idx="17">
                  <c:v>0.46</c:v>
                </c:pt>
                <c:pt idx="18">
                  <c:v>0.46</c:v>
                </c:pt>
                <c:pt idx="19">
                  <c:v>0.46</c:v>
                </c:pt>
                <c:pt idx="20">
                  <c:v>0.46</c:v>
                </c:pt>
                <c:pt idx="21">
                  <c:v>0.46</c:v>
                </c:pt>
                <c:pt idx="22">
                  <c:v>0.46</c:v>
                </c:pt>
                <c:pt idx="23">
                  <c:v>0.46</c:v>
                </c:pt>
                <c:pt idx="24">
                  <c:v>0.46</c:v>
                </c:pt>
                <c:pt idx="25">
                  <c:v>0.46</c:v>
                </c:pt>
                <c:pt idx="26">
                  <c:v>0.46</c:v>
                </c:pt>
              </c:numCache>
            </c:numRef>
          </c:val>
          <c:smooth val="0"/>
          <c:extLst>
            <c:ext xmlns:c16="http://schemas.microsoft.com/office/drawing/2014/chart" uri="{C3380CC4-5D6E-409C-BE32-E72D297353CC}">
              <c16:uniqueId val="{00000004-DD7E-43C3-A736-B8F609A58920}"/>
            </c:ext>
          </c:extLst>
        </c:ser>
        <c:dLbls>
          <c:showLegendKey val="0"/>
          <c:showVal val="0"/>
          <c:showCatName val="0"/>
          <c:showSerName val="0"/>
          <c:showPercent val="0"/>
          <c:showBubbleSize val="0"/>
        </c:dLbls>
        <c:marker val="1"/>
        <c:smooth val="0"/>
        <c:axId val="-486950096"/>
        <c:axId val="-486949552"/>
      </c:lineChart>
      <c:catAx>
        <c:axId val="-486950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6949552"/>
        <c:crosses val="autoZero"/>
        <c:auto val="1"/>
        <c:lblAlgn val="ctr"/>
        <c:lblOffset val="100"/>
        <c:noMultiLvlLbl val="0"/>
      </c:catAx>
      <c:valAx>
        <c:axId val="-486949552"/>
        <c:scaling>
          <c:orientation val="minMax"/>
          <c:max val="0.9"/>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6950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rgbClr val="002060"/>
                </a:solidFill>
                <a:latin typeface="+mn-lt"/>
                <a:ea typeface="+mn-ea"/>
                <a:cs typeface="+mn-cs"/>
              </a:defRPr>
            </a:pPr>
            <a:r>
              <a:rPr lang="sr-Cyrl-RS" sz="900" b="1">
                <a:solidFill>
                  <a:srgbClr val="002060"/>
                </a:solidFill>
              </a:rPr>
              <a:t>Фискални подиндекс и подиндекс макро-финансијске конкурентности за земље ЕУ и Србију за  20</a:t>
            </a:r>
            <a:r>
              <a:rPr lang="sr-Latn-RS" sz="900" b="1">
                <a:solidFill>
                  <a:srgbClr val="002060"/>
                </a:solidFill>
              </a:rPr>
              <a:t>21</a:t>
            </a:r>
            <a:r>
              <a:rPr lang="sr-Cyrl-RS" sz="900" b="1">
                <a:solidFill>
                  <a:srgbClr val="002060"/>
                </a:solidFill>
              </a:rPr>
              <a:t>. годину</a:t>
            </a:r>
            <a:endParaRPr lang="en-US" sz="900" b="1">
              <a:solidFill>
                <a:srgbClr val="002060"/>
              </a:solidFill>
            </a:endParaRPr>
          </a:p>
        </c:rich>
      </c:tx>
      <c:layout>
        <c:manualLayout>
          <c:xMode val="edge"/>
          <c:yMode val="edge"/>
          <c:x val="0.18268147080983962"/>
          <c:y val="0"/>
        </c:manualLayout>
      </c:layout>
      <c:overlay val="0"/>
      <c:spPr>
        <a:noFill/>
        <a:ln>
          <a:noFill/>
        </a:ln>
        <a:effectLst/>
      </c:spPr>
      <c:txPr>
        <a:bodyPr rot="0" spcFirstLastPara="1" vertOverflow="ellipsis" vert="horz" wrap="square" anchor="ctr" anchorCtr="1"/>
        <a:lstStyle/>
        <a:p>
          <a:pPr>
            <a:defRPr sz="900" b="0" i="0" u="none" strike="noStrike" kern="1200" spc="0" baseline="0">
              <a:solidFill>
                <a:srgbClr val="002060"/>
              </a:solidFill>
              <a:latin typeface="+mn-lt"/>
              <a:ea typeface="+mn-ea"/>
              <a:cs typeface="+mn-cs"/>
            </a:defRPr>
          </a:pPr>
          <a:endParaRPr lang="en-US"/>
        </a:p>
      </c:txPr>
    </c:title>
    <c:autoTitleDeleted val="0"/>
    <c:plotArea>
      <c:layout>
        <c:manualLayout>
          <c:layoutTarget val="inner"/>
          <c:xMode val="edge"/>
          <c:yMode val="edge"/>
          <c:x val="0.12890787490080038"/>
          <c:y val="8.2473495136371477E-2"/>
          <c:w val="0.8350736412725478"/>
          <c:h val="0.81333285058353966"/>
        </c:manualLayout>
      </c:layout>
      <c:scatterChart>
        <c:scatterStyle val="lineMarker"/>
        <c:varyColors val="0"/>
        <c:ser>
          <c:idx val="0"/>
          <c:order val="0"/>
          <c:spPr>
            <a:ln w="28575" cap="rnd">
              <a:noFill/>
              <a:round/>
            </a:ln>
            <a:effectLst/>
          </c:spPr>
          <c:marker>
            <c:symbol val="circle"/>
            <c:size val="5"/>
            <c:spPr>
              <a:solidFill>
                <a:srgbClr val="5297AC"/>
              </a:solidFill>
              <a:ln w="9525">
                <a:noFill/>
              </a:ln>
              <a:effectLst/>
            </c:spPr>
          </c:marker>
          <c:dLbls>
            <c:dLbl>
              <c:idx val="0"/>
              <c:layout>
                <c:manualLayout>
                  <c:x val="1.2766232659233342E-2"/>
                  <c:y val="-9.0121351820277307E-3"/>
                </c:manualLayout>
              </c:layout>
              <c:tx>
                <c:rich>
                  <a:bodyPr/>
                  <a:lstStyle/>
                  <a:p>
                    <a:fld id="{EFD60659-BA8C-42A1-9D97-9C3938D87D70}"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1550-4CEE-B3AB-171B45511941}"/>
                </c:ext>
              </c:extLst>
            </c:dLbl>
            <c:dLbl>
              <c:idx val="1"/>
              <c:layout>
                <c:manualLayout>
                  <c:x val="3.5938791092701024E-3"/>
                  <c:y val="4.5376100206726819E-2"/>
                </c:manualLayout>
              </c:layout>
              <c:tx>
                <c:rich>
                  <a:bodyPr/>
                  <a:lstStyle/>
                  <a:p>
                    <a:fld id="{DC502FB8-DF95-48B7-A962-AD7AA533D88B}"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1550-4CEE-B3AB-171B45511941}"/>
                </c:ext>
              </c:extLst>
            </c:dLbl>
            <c:dLbl>
              <c:idx val="2"/>
              <c:layout>
                <c:manualLayout>
                  <c:x val="1.0809429674157153E-2"/>
                  <c:y val="9.6898709679296511E-3"/>
                </c:manualLayout>
              </c:layout>
              <c:tx>
                <c:rich>
                  <a:bodyPr/>
                  <a:lstStyle/>
                  <a:p>
                    <a:fld id="{9B4220A6-1ECA-40B0-926C-C30737EF32DC}"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1550-4CEE-B3AB-171B45511941}"/>
                </c:ext>
              </c:extLst>
            </c:dLbl>
            <c:dLbl>
              <c:idx val="3"/>
              <c:layout>
                <c:manualLayout>
                  <c:x val="-0.15416750476283922"/>
                  <c:y val="-2.1399950905417457E-2"/>
                </c:manualLayout>
              </c:layout>
              <c:tx>
                <c:rich>
                  <a:bodyPr/>
                  <a:lstStyle/>
                  <a:p>
                    <a:fld id="{9CC81363-092F-4D88-92A6-EF5D9D96797F}"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1550-4CEE-B3AB-171B45511941}"/>
                </c:ext>
              </c:extLst>
            </c:dLbl>
            <c:dLbl>
              <c:idx val="4"/>
              <c:layout>
                <c:manualLayout>
                  <c:x val="-6.3559149523694417E-2"/>
                  <c:y val="-3.5713111797924649E-2"/>
                </c:manualLayout>
              </c:layout>
              <c:tx>
                <c:rich>
                  <a:bodyPr/>
                  <a:lstStyle/>
                  <a:p>
                    <a:fld id="{AB83B160-CAE3-4217-85C6-08A2BAC28A0E}"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1550-4CEE-B3AB-171B45511941}"/>
                </c:ext>
              </c:extLst>
            </c:dLbl>
            <c:dLbl>
              <c:idx val="5"/>
              <c:layout>
                <c:manualLayout>
                  <c:x val="-2.9519651923789324E-2"/>
                  <c:y val="3.867390768193911E-2"/>
                </c:manualLayout>
              </c:layout>
              <c:tx>
                <c:rich>
                  <a:bodyPr/>
                  <a:lstStyle/>
                  <a:p>
                    <a:fld id="{661A2A02-B4A2-45FB-8984-7CF3BA8A7B7C}"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1550-4CEE-B3AB-171B45511941}"/>
                </c:ext>
              </c:extLst>
            </c:dLbl>
            <c:dLbl>
              <c:idx val="6"/>
              <c:layout>
                <c:manualLayout>
                  <c:x val="-1.7480805553511419E-2"/>
                  <c:y val="6.9609572184771873E-2"/>
                </c:manualLayout>
              </c:layout>
              <c:tx>
                <c:rich>
                  <a:bodyPr/>
                  <a:lstStyle/>
                  <a:p>
                    <a:fld id="{6D18EF01-139E-454B-829B-B412FD689B10}"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1550-4CEE-B3AB-171B45511941}"/>
                </c:ext>
              </c:extLst>
            </c:dLbl>
            <c:dLbl>
              <c:idx val="7"/>
              <c:layout>
                <c:manualLayout>
                  <c:x val="3.5179432468333841E-2"/>
                  <c:y val="-8.7698347640588308E-3"/>
                </c:manualLayout>
              </c:layout>
              <c:tx>
                <c:rich>
                  <a:bodyPr/>
                  <a:lstStyle/>
                  <a:p>
                    <a:fld id="{5F8ED2BA-C770-4688-BAA1-24771767CD9F}"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1550-4CEE-B3AB-171B45511941}"/>
                </c:ext>
              </c:extLst>
            </c:dLbl>
            <c:dLbl>
              <c:idx val="8"/>
              <c:layout>
                <c:manualLayout>
                  <c:x val="-0.11342646626441595"/>
                  <c:y val="4.0277104156562347E-2"/>
                </c:manualLayout>
              </c:layout>
              <c:tx>
                <c:rich>
                  <a:bodyPr/>
                  <a:lstStyle/>
                  <a:p>
                    <a:fld id="{B18356A4-2E8C-4806-9090-2DF4AF80A021}"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1550-4CEE-B3AB-171B45511941}"/>
                </c:ext>
              </c:extLst>
            </c:dLbl>
            <c:dLbl>
              <c:idx val="9"/>
              <c:layout>
                <c:manualLayout>
                  <c:x val="1.995639888890369E-2"/>
                  <c:y val="1.2672324895787668E-2"/>
                </c:manualLayout>
              </c:layout>
              <c:tx>
                <c:rich>
                  <a:bodyPr/>
                  <a:lstStyle/>
                  <a:p>
                    <a:fld id="{6B40DC78-1ECA-43AB-A954-7850E607EB4C}"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1550-4CEE-B3AB-171B45511941}"/>
                </c:ext>
              </c:extLst>
            </c:dLbl>
            <c:dLbl>
              <c:idx val="10"/>
              <c:layout>
                <c:manualLayout>
                  <c:x val="-0.10942138227476156"/>
                  <c:y val="1.0535158027370411E-2"/>
                </c:manualLayout>
              </c:layout>
              <c:tx>
                <c:rich>
                  <a:bodyPr/>
                  <a:lstStyle/>
                  <a:p>
                    <a:fld id="{769D4713-762B-45DA-96A4-A91F553D31D7}"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1550-4CEE-B3AB-171B45511941}"/>
                </c:ext>
              </c:extLst>
            </c:dLbl>
            <c:dLbl>
              <c:idx val="11"/>
              <c:layout>
                <c:manualLayout>
                  <c:x val="-8.8402138604946282E-3"/>
                  <c:y val="-3.7069806047090703E-2"/>
                </c:manualLayout>
              </c:layout>
              <c:tx>
                <c:rich>
                  <a:bodyPr/>
                  <a:lstStyle/>
                  <a:p>
                    <a:fld id="{B167D782-4E1B-4BE5-ADDE-B3594B8A2C0B}"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1550-4CEE-B3AB-171B45511941}"/>
                </c:ext>
              </c:extLst>
            </c:dLbl>
            <c:dLbl>
              <c:idx val="12"/>
              <c:layout>
                <c:manualLayout>
                  <c:x val="9.7471942430993538E-3"/>
                  <c:y val="-1.0329550293986685E-3"/>
                </c:manualLayout>
              </c:layout>
              <c:tx>
                <c:rich>
                  <a:bodyPr/>
                  <a:lstStyle/>
                  <a:p>
                    <a:fld id="{4ADD401C-F95E-407A-8E09-F8E7C6B9266E}"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1550-4CEE-B3AB-171B45511941}"/>
                </c:ext>
              </c:extLst>
            </c:dLbl>
            <c:dLbl>
              <c:idx val="13"/>
              <c:layout>
                <c:manualLayout>
                  <c:x val="-7.04720321174814E-3"/>
                  <c:y val="-1.4294580083964325E-2"/>
                </c:manualLayout>
              </c:layout>
              <c:tx>
                <c:rich>
                  <a:bodyPr/>
                  <a:lstStyle/>
                  <a:p>
                    <a:fld id="{942C2226-5F57-43A6-A497-9D590267E38E}"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1550-4CEE-B3AB-171B45511941}"/>
                </c:ext>
              </c:extLst>
            </c:dLbl>
            <c:dLbl>
              <c:idx val="14"/>
              <c:layout>
                <c:manualLayout>
                  <c:x val="-0.17795275590551185"/>
                  <c:y val="3.1388558444582916E-2"/>
                </c:manualLayout>
              </c:layout>
              <c:tx>
                <c:rich>
                  <a:bodyPr/>
                  <a:lstStyle/>
                  <a:p>
                    <a:fld id="{184D47EC-512B-4AF6-9F9D-90256ADC7CCE}"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1550-4CEE-B3AB-171B45511941}"/>
                </c:ext>
              </c:extLst>
            </c:dLbl>
            <c:dLbl>
              <c:idx val="15"/>
              <c:layout>
                <c:manualLayout>
                  <c:x val="-3.6899564904737331E-3"/>
                  <c:y val="3.0265078709069866E-2"/>
                </c:manualLayout>
              </c:layout>
              <c:tx>
                <c:rich>
                  <a:bodyPr/>
                  <a:lstStyle/>
                  <a:p>
                    <a:fld id="{B883955B-FB2B-4D8D-B156-31C0606B510A}"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1550-4CEE-B3AB-171B45511941}"/>
                </c:ext>
              </c:extLst>
            </c:dLbl>
            <c:dLbl>
              <c:idx val="16"/>
              <c:layout>
                <c:manualLayout>
                  <c:x val="-1.2441108412850187E-2"/>
                  <c:y val="3.7300301491090593E-2"/>
                </c:manualLayout>
              </c:layout>
              <c:tx>
                <c:rich>
                  <a:bodyPr/>
                  <a:lstStyle/>
                  <a:p>
                    <a:fld id="{E4E7AE88-C8B6-49A1-929B-02A61D7B91F6}"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1550-4CEE-B3AB-171B45511941}"/>
                </c:ext>
              </c:extLst>
            </c:dLbl>
            <c:dLbl>
              <c:idx val="17"/>
              <c:layout>
                <c:manualLayout>
                  <c:x val="3.011931079592969E-2"/>
                  <c:y val="3.2688180164529797E-2"/>
                </c:manualLayout>
              </c:layout>
              <c:tx>
                <c:rich>
                  <a:bodyPr/>
                  <a:lstStyle/>
                  <a:p>
                    <a:fld id="{79D831AB-B60C-4CF7-819F-928875C3D313}"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1550-4CEE-B3AB-171B45511941}"/>
                </c:ext>
              </c:extLst>
            </c:dLbl>
            <c:dLbl>
              <c:idx val="18"/>
              <c:layout>
                <c:manualLayout>
                  <c:x val="-0.12087816125788019"/>
                  <c:y val="6.6487156731307867E-2"/>
                </c:manualLayout>
              </c:layout>
              <c:tx>
                <c:rich>
                  <a:bodyPr/>
                  <a:lstStyle/>
                  <a:p>
                    <a:fld id="{EBA670F1-EE6F-4A70-8B1B-924452EB5BA7}"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1550-4CEE-B3AB-171B45511941}"/>
                </c:ext>
              </c:extLst>
            </c:dLbl>
            <c:dLbl>
              <c:idx val="19"/>
              <c:layout>
                <c:manualLayout>
                  <c:x val="-4.2645114150338663E-2"/>
                  <c:y val="3.8368148354382646E-2"/>
                </c:manualLayout>
              </c:layout>
              <c:tx>
                <c:rich>
                  <a:bodyPr/>
                  <a:lstStyle/>
                  <a:p>
                    <a:fld id="{2CDF1CF2-D327-43FC-AE72-F58738178DA2}"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1550-4CEE-B3AB-171B45511941}"/>
                </c:ext>
              </c:extLst>
            </c:dLbl>
            <c:dLbl>
              <c:idx val="20"/>
              <c:layout>
                <c:manualLayout>
                  <c:x val="1.7976717185980037E-2"/>
                  <c:y val="3.5789253115696203E-2"/>
                </c:manualLayout>
              </c:layout>
              <c:tx>
                <c:rich>
                  <a:bodyPr/>
                  <a:lstStyle/>
                  <a:p>
                    <a:fld id="{A2E91AD2-594C-409D-BFEE-0CAD97824C31}"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1550-4CEE-B3AB-171B45511941}"/>
                </c:ext>
              </c:extLst>
            </c:dLbl>
            <c:dLbl>
              <c:idx val="21"/>
              <c:layout>
                <c:manualLayout>
                  <c:x val="1.3023553266422513E-3"/>
                  <c:y val="-1.8134336538843977E-2"/>
                </c:manualLayout>
              </c:layout>
              <c:tx>
                <c:rich>
                  <a:bodyPr/>
                  <a:lstStyle/>
                  <a:p>
                    <a:fld id="{9219349B-44B9-4E8F-BBD5-202C97D788B3}" type="CELLRANGE">
                      <a:rPr lang="sr-Cyrl-R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1550-4CEE-B3AB-171B45511941}"/>
                </c:ext>
              </c:extLst>
            </c:dLbl>
            <c:dLbl>
              <c:idx val="22"/>
              <c:layout>
                <c:manualLayout>
                  <c:x val="3.2674794155403475E-2"/>
                  <c:y val="-3.2453533236403001E-2"/>
                </c:manualLayout>
              </c:layout>
              <c:tx>
                <c:rich>
                  <a:bodyPr/>
                  <a:lstStyle/>
                  <a:p>
                    <a:fld id="{01AA4F0E-F632-4A99-9AFE-F3573492C6BB}" type="CELLRANGE">
                      <a:rPr lang="sr-Cyrl-RS">
                        <a:solidFill>
                          <a:schemeClr val="tx1">
                            <a:lumMod val="50000"/>
                            <a:lumOff val="50000"/>
                          </a:schemeClr>
                        </a:solidFill>
                      </a:rPr>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1550-4CEE-B3AB-171B45511941}"/>
                </c:ext>
              </c:extLst>
            </c:dLbl>
            <c:dLbl>
              <c:idx val="23"/>
              <c:layout>
                <c:manualLayout>
                  <c:x val="-1.0859892303700238E-2"/>
                  <c:y val="3.8812582188732833E-2"/>
                </c:manualLayout>
              </c:layout>
              <c:tx>
                <c:rich>
                  <a:bodyPr/>
                  <a:lstStyle/>
                  <a:p>
                    <a:fld id="{9E754691-3CF2-4FE7-BA9A-1C76531E36EE}" type="CELLRANGE">
                      <a:rPr lang="sr-Cyrl-RS">
                        <a:solidFill>
                          <a:schemeClr val="tx1">
                            <a:lumMod val="50000"/>
                            <a:lumOff val="50000"/>
                          </a:schemeClr>
                        </a:solidFill>
                      </a:rPr>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1550-4CEE-B3AB-171B45511941}"/>
                </c:ext>
              </c:extLst>
            </c:dLbl>
            <c:dLbl>
              <c:idx val="24"/>
              <c:layout>
                <c:manualLayout>
                  <c:x val="9.2252664000588424E-4"/>
                  <c:y val="-2.0041919220529381E-3"/>
                </c:manualLayout>
              </c:layout>
              <c:tx>
                <c:rich>
                  <a:bodyPr/>
                  <a:lstStyle/>
                  <a:p>
                    <a:r>
                      <a:rPr lang="sr-Cyrl-RS"/>
                      <a:t>Кипар</a:t>
                    </a:r>
                  </a:p>
                </c:rich>
              </c:tx>
              <c:showLegendKey val="0"/>
              <c:showVal val="0"/>
              <c:showCatName val="0"/>
              <c:showSerName val="0"/>
              <c:showPercent val="0"/>
              <c:showBubbleSize val="0"/>
              <c:extLst>
                <c:ext xmlns:c15="http://schemas.microsoft.com/office/drawing/2012/chart" uri="{CE6537A1-D6FC-4f65-9D91-7224C49458BB}">
                  <c15:layout>
                    <c:manualLayout>
                      <c:w val="0.13100275293998009"/>
                      <c:h val="3.706857368218909E-2"/>
                    </c:manualLayout>
                  </c15:layout>
                  <c15:showDataLabelsRange val="0"/>
                </c:ext>
                <c:ext xmlns:c16="http://schemas.microsoft.com/office/drawing/2014/chart" uri="{C3380CC4-5D6E-409C-BE32-E72D297353CC}">
                  <c16:uniqueId val="{00000018-1550-4CEE-B3AB-171B45511941}"/>
                </c:ext>
              </c:extLst>
            </c:dLbl>
            <c:dLbl>
              <c:idx val="25"/>
              <c:layout>
                <c:manualLayout>
                  <c:x val="7.4933156719895998E-3"/>
                  <c:y val="-1.8076877081012355E-2"/>
                </c:manualLayout>
              </c:layout>
              <c:tx>
                <c:rich>
                  <a:bodyPr/>
                  <a:lstStyle/>
                  <a:p>
                    <a:r>
                      <a:rPr lang="sr-Cyrl-RS"/>
                      <a:t>Португал</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1550-4CEE-B3AB-171B45511941}"/>
                </c:ext>
              </c:extLst>
            </c:dLbl>
            <c:dLbl>
              <c:idx val="26"/>
              <c:layout>
                <c:manualLayout>
                  <c:x val="1.4986886474334956E-2"/>
                  <c:y val="1.1595684944327016E-2"/>
                </c:manualLayout>
              </c:layout>
              <c:tx>
                <c:rich>
                  <a:bodyPr rot="0" spcFirstLastPara="1" vertOverflow="ellipsis" vert="horz" wrap="square" anchor="ctr" anchorCtr="1"/>
                  <a:lstStyle/>
                  <a:p>
                    <a:pPr>
                      <a:defRPr sz="600" b="0" i="0" u="none" strike="noStrike" kern="1200" baseline="0">
                        <a:solidFill>
                          <a:srgbClr val="FF0000"/>
                        </a:solidFill>
                        <a:latin typeface="+mn-lt"/>
                        <a:ea typeface="+mn-ea"/>
                        <a:cs typeface="+mn-cs"/>
                      </a:defRPr>
                    </a:pPr>
                    <a:r>
                      <a:rPr lang="sr-Cyrl-RS">
                        <a:solidFill>
                          <a:srgbClr val="FF0000"/>
                        </a:solidFill>
                      </a:rPr>
                      <a:t>Србија</a:t>
                    </a:r>
                    <a:r>
                      <a:rPr lang="sr-Cyrl-RS" baseline="0">
                        <a:solidFill>
                          <a:srgbClr val="FF0000"/>
                        </a:solidFill>
                      </a:rPr>
                      <a:t> </a:t>
                    </a:r>
                    <a:endParaRPr lang="sr-Cyrl-RS">
                      <a:solidFill>
                        <a:srgbClr val="FF0000"/>
                      </a:solidFill>
                    </a:endParaRPr>
                  </a:p>
                </c:rich>
              </c:tx>
              <c:spPr>
                <a:noFill/>
                <a:ln>
                  <a:noFill/>
                </a:ln>
                <a:effectLst/>
              </c:spPr>
              <c:txPr>
                <a:bodyPr rot="0" spcFirstLastPara="1" vertOverflow="ellipsis" vert="horz" wrap="square" anchor="ctr" anchorCtr="1"/>
                <a:lstStyle/>
                <a:p>
                  <a:pPr>
                    <a:defRPr sz="600" b="0"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1550-4CEE-B3AB-171B45511941}"/>
                </c:ext>
              </c:extLst>
            </c:dLbl>
            <c:dLbl>
              <c:idx val="27"/>
              <c:delete val="1"/>
              <c:extLst>
                <c:ext xmlns:c15="http://schemas.microsoft.com/office/drawing/2012/chart" uri="{CE6537A1-D6FC-4f65-9D91-7224C49458BB}"/>
                <c:ext xmlns:c16="http://schemas.microsoft.com/office/drawing/2014/chart" uri="{C3380CC4-5D6E-409C-BE32-E72D297353CC}">
                  <c16:uniqueId val="{0000001B-1550-4CEE-B3AB-171B45511941}"/>
                </c:ext>
              </c:extLst>
            </c:dLbl>
            <c:dLbl>
              <c:idx val="2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1550-4CEE-B3AB-171B45511941}"/>
                </c:ext>
              </c:extLst>
            </c:dLbl>
            <c:dLbl>
              <c:idx val="29"/>
              <c:layout>
                <c:manualLayout>
                  <c:x val="0.27121180204981443"/>
                  <c:y val="-0.10981647825182873"/>
                </c:manualLayout>
              </c:layout>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layout>
                    <c:manualLayout>
                      <c:w val="6.4583536111454121E-2"/>
                      <c:h val="3.6566409796610792E-2"/>
                    </c:manualLayout>
                  </c15:layout>
                  <c15:showDataLabelsRange val="0"/>
                </c:ext>
                <c:ext xmlns:c16="http://schemas.microsoft.com/office/drawing/2014/chart" uri="{C3380CC4-5D6E-409C-BE32-E72D297353CC}">
                  <c16:uniqueId val="{0000001D-1550-4CEE-B3AB-171B45511941}"/>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'2021'!$D$4:$D$30</c:f>
              <c:numCache>
                <c:formatCode>0.00</c:formatCode>
                <c:ptCount val="27"/>
                <c:pt idx="0">
                  <c:v>0.41</c:v>
                </c:pt>
                <c:pt idx="1">
                  <c:v>0.56999999999999995</c:v>
                </c:pt>
                <c:pt idx="2">
                  <c:v>0.22</c:v>
                </c:pt>
                <c:pt idx="3">
                  <c:v>0.22</c:v>
                </c:pt>
                <c:pt idx="4">
                  <c:v>0.33</c:v>
                </c:pt>
                <c:pt idx="5">
                  <c:v>0.08</c:v>
                </c:pt>
                <c:pt idx="6">
                  <c:v>0.22</c:v>
                </c:pt>
                <c:pt idx="7">
                  <c:v>0.28999999999999998</c:v>
                </c:pt>
                <c:pt idx="8">
                  <c:v>0.69</c:v>
                </c:pt>
                <c:pt idx="9">
                  <c:v>0.56999999999999995</c:v>
                </c:pt>
                <c:pt idx="10">
                  <c:v>0.22</c:v>
                </c:pt>
                <c:pt idx="11">
                  <c:v>0.69</c:v>
                </c:pt>
                <c:pt idx="12">
                  <c:v>0.32</c:v>
                </c:pt>
                <c:pt idx="13">
                  <c:v>0.45</c:v>
                </c:pt>
                <c:pt idx="14">
                  <c:v>0.26</c:v>
                </c:pt>
                <c:pt idx="15">
                  <c:v>0.08</c:v>
                </c:pt>
                <c:pt idx="16">
                  <c:v>0.45</c:v>
                </c:pt>
                <c:pt idx="17">
                  <c:v>0.37</c:v>
                </c:pt>
                <c:pt idx="18">
                  <c:v>0.22</c:v>
                </c:pt>
                <c:pt idx="19">
                  <c:v>0.22</c:v>
                </c:pt>
                <c:pt idx="20">
                  <c:v>0.28000000000000003</c:v>
                </c:pt>
                <c:pt idx="21">
                  <c:v>0.28999999999999998</c:v>
                </c:pt>
                <c:pt idx="22">
                  <c:v>0.56999999999999995</c:v>
                </c:pt>
                <c:pt idx="23">
                  <c:v>0.08</c:v>
                </c:pt>
                <c:pt idx="24">
                  <c:v>0.41</c:v>
                </c:pt>
                <c:pt idx="25">
                  <c:v>0.53</c:v>
                </c:pt>
                <c:pt idx="26">
                  <c:v>0.21560000000000001</c:v>
                </c:pt>
              </c:numCache>
            </c:numRef>
          </c:xVal>
          <c:yVal>
            <c:numRef>
              <c:f>'2021'!$E$4:$E$30</c:f>
              <c:numCache>
                <c:formatCode>0.00</c:formatCode>
                <c:ptCount val="27"/>
                <c:pt idx="0">
                  <c:v>0.06</c:v>
                </c:pt>
                <c:pt idx="1">
                  <c:v>0.18</c:v>
                </c:pt>
                <c:pt idx="2">
                  <c:v>0.38</c:v>
                </c:pt>
                <c:pt idx="3">
                  <c:v>0.25</c:v>
                </c:pt>
                <c:pt idx="4">
                  <c:v>0.41</c:v>
                </c:pt>
                <c:pt idx="5">
                  <c:v>0.24</c:v>
                </c:pt>
                <c:pt idx="6">
                  <c:v>0.22</c:v>
                </c:pt>
                <c:pt idx="7">
                  <c:v>0.24</c:v>
                </c:pt>
                <c:pt idx="8">
                  <c:v>0.33</c:v>
                </c:pt>
                <c:pt idx="9">
                  <c:v>0.22</c:v>
                </c:pt>
                <c:pt idx="10">
                  <c:v>0.43</c:v>
                </c:pt>
                <c:pt idx="11">
                  <c:v>7.0000000000000007E-2</c:v>
                </c:pt>
                <c:pt idx="12">
                  <c:v>0.22</c:v>
                </c:pt>
                <c:pt idx="13">
                  <c:v>0.24</c:v>
                </c:pt>
                <c:pt idx="14">
                  <c:v>0.13</c:v>
                </c:pt>
                <c:pt idx="15">
                  <c:v>0.41</c:v>
                </c:pt>
                <c:pt idx="16">
                  <c:v>0.22</c:v>
                </c:pt>
                <c:pt idx="17">
                  <c:v>0.3</c:v>
                </c:pt>
                <c:pt idx="18">
                  <c:v>0.22</c:v>
                </c:pt>
                <c:pt idx="19">
                  <c:v>0.37</c:v>
                </c:pt>
                <c:pt idx="20">
                  <c:v>0.22</c:v>
                </c:pt>
                <c:pt idx="21">
                  <c:v>0.13</c:v>
                </c:pt>
                <c:pt idx="22">
                  <c:v>0.22</c:v>
                </c:pt>
                <c:pt idx="23">
                  <c:v>0.37</c:v>
                </c:pt>
                <c:pt idx="24">
                  <c:v>0.51</c:v>
                </c:pt>
                <c:pt idx="25">
                  <c:v>0.33</c:v>
                </c:pt>
                <c:pt idx="26">
                  <c:v>0.27239999999999998</c:v>
                </c:pt>
              </c:numCache>
            </c:numRef>
          </c:yVal>
          <c:smooth val="0"/>
          <c:extLst>
            <c:ext xmlns:c15="http://schemas.microsoft.com/office/drawing/2012/chart" uri="{02D57815-91ED-43cb-92C2-25804820EDAC}">
              <c15:datalabelsRange>
                <c15:f>'2021'!$B$4:$B$33</c15:f>
                <c15:dlblRangeCache>
                  <c:ptCount val="30"/>
                  <c:pt idx="0">
                    <c:v>Аустрија</c:v>
                  </c:pt>
                  <c:pt idx="1">
                    <c:v>Белгија</c:v>
                  </c:pt>
                  <c:pt idx="2">
                    <c:v>Бугарска</c:v>
                  </c:pt>
                  <c:pt idx="3">
                    <c:v>Чешка</c:v>
                  </c:pt>
                  <c:pt idx="4">
                    <c:v>Хрватска</c:v>
                  </c:pt>
                  <c:pt idx="5">
                    <c:v>Данска</c:v>
                  </c:pt>
                  <c:pt idx="6">
                    <c:v>Естонија</c:v>
                  </c:pt>
                  <c:pt idx="7">
                    <c:v>Финска</c:v>
                  </c:pt>
                  <c:pt idx="8">
                    <c:v>Француска</c:v>
                  </c:pt>
                  <c:pt idx="9">
                    <c:v>Мађарска</c:v>
                  </c:pt>
                  <c:pt idx="10">
                    <c:v>Ирска</c:v>
                  </c:pt>
                  <c:pt idx="11">
                    <c:v>Италија</c:v>
                  </c:pt>
                  <c:pt idx="12">
                    <c:v>Летонија</c:v>
                  </c:pt>
                  <c:pt idx="13">
                    <c:v>Немачка</c:v>
                  </c:pt>
                  <c:pt idx="14">
                    <c:v>Литванија</c:v>
                  </c:pt>
                  <c:pt idx="15">
                    <c:v>Луксембург</c:v>
                  </c:pt>
                  <c:pt idx="16">
                    <c:v>Малта</c:v>
                  </c:pt>
                  <c:pt idx="17">
                    <c:v>Холандија</c:v>
                  </c:pt>
                  <c:pt idx="18">
                    <c:v>Пољска</c:v>
                  </c:pt>
                  <c:pt idx="19">
                    <c:v>Румунија</c:v>
                  </c:pt>
                  <c:pt idx="20">
                    <c:v>Словачка</c:v>
                  </c:pt>
                  <c:pt idx="21">
                    <c:v>Словенија</c:v>
                  </c:pt>
                  <c:pt idx="22">
                    <c:v>Шпанија</c:v>
                  </c:pt>
                  <c:pt idx="23">
                    <c:v>Шведска</c:v>
                  </c:pt>
                  <c:pt idx="24">
                    <c:v>Кипар</c:v>
                  </c:pt>
                  <c:pt idx="25">
                    <c:v>Португал</c:v>
                  </c:pt>
                  <c:pt idx="26">
                    <c:v>Србија 2021</c:v>
                  </c:pt>
                  <c:pt idx="29">
                    <c:v>Србија 2019,2018,2017</c:v>
                  </c:pt>
                </c15:dlblRangeCache>
              </c15:datalabelsRange>
            </c:ext>
            <c:ext xmlns:c16="http://schemas.microsoft.com/office/drawing/2014/chart" uri="{C3380CC4-5D6E-409C-BE32-E72D297353CC}">
              <c16:uniqueId val="{0000001E-1550-4CEE-B3AB-171B45511941}"/>
            </c:ext>
          </c:extLst>
        </c:ser>
        <c:dLbls>
          <c:showLegendKey val="0"/>
          <c:showVal val="0"/>
          <c:showCatName val="0"/>
          <c:showSerName val="0"/>
          <c:showPercent val="0"/>
          <c:showBubbleSize val="0"/>
        </c:dLbls>
        <c:axId val="-262788736"/>
        <c:axId val="-262793088"/>
      </c:scatterChart>
      <c:valAx>
        <c:axId val="-262788736"/>
        <c:scaling>
          <c:orientation val="minMax"/>
        </c:scaling>
        <c:delete val="0"/>
        <c:axPos val="b"/>
        <c:title>
          <c:tx>
            <c:rich>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r>
                  <a:rPr lang="sr-Cyrl-RS"/>
                  <a:t>Фискални подиндекс</a:t>
                </a:r>
                <a:endParaRPr lang="en-US"/>
              </a:p>
            </c:rich>
          </c:tx>
          <c:layout>
            <c:manualLayout>
              <c:xMode val="edge"/>
              <c:yMode val="edge"/>
              <c:x val="0.40828237164360764"/>
              <c:y val="0.94716743140920345"/>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262793088"/>
        <c:crosses val="autoZero"/>
        <c:crossBetween val="midCat"/>
        <c:minorUnit val="1.0000000000000002E-2"/>
      </c:valAx>
      <c:valAx>
        <c:axId val="-262793088"/>
        <c:scaling>
          <c:orientation val="minMax"/>
        </c:scaling>
        <c:delete val="0"/>
        <c:axPos val="l"/>
        <c:title>
          <c:tx>
            <c:rich>
              <a:bodyPr rot="-54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r>
                  <a:rPr lang="sr-Cyrl-RS"/>
                  <a:t>Подиндекс макро-финансијске конкурентности</a:t>
                </a:r>
                <a:endParaRPr lang="en-US"/>
              </a:p>
            </c:rich>
          </c:tx>
          <c:layout>
            <c:manualLayout>
              <c:xMode val="edge"/>
              <c:yMode val="edge"/>
              <c:x val="7.5252738518095334E-3"/>
              <c:y val="0.26987619353336229"/>
            </c:manualLayout>
          </c:layout>
          <c:overlay val="0"/>
          <c:spPr>
            <a:noFill/>
            <a:ln>
              <a:noFill/>
            </a:ln>
            <a:effectLst/>
          </c:spPr>
          <c:txPr>
            <a:bodyPr rot="-54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262788736"/>
        <c:crosses val="autoZero"/>
        <c:crossBetween val="midCat"/>
        <c:minorUnit val="1.0000000000000002E-2"/>
      </c:valAx>
      <c:spPr>
        <a:noFill/>
        <a:ln>
          <a:noFill/>
        </a:ln>
        <a:effectLst/>
      </c:spPr>
    </c:plotArea>
    <c:plotVisOnly val="1"/>
    <c:dispBlanksAs val="gap"/>
    <c:showDLblsOverMax val="0"/>
  </c:chart>
  <c:spPr>
    <a:noFill/>
    <a:ln w="9525" cap="flat" cmpd="sng" algn="ctr">
      <a:noFill/>
      <a:round/>
    </a:ln>
    <a:effectLst/>
  </c:spPr>
  <c:txPr>
    <a:bodyPr/>
    <a:lstStyle/>
    <a:p>
      <a:pPr>
        <a:defRPr sz="600"/>
      </a:pPr>
      <a:endParaRPr lang="en-US"/>
    </a:p>
  </c:txPr>
  <c:externalData r:id="rId3">
    <c:autoUpdate val="0"/>
  </c:externalData>
  <c:userShapes r:id="rId4"/>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180330399876492E-2"/>
          <c:y val="9.3585301837270346E-2"/>
          <c:w val="0.86085801063022016"/>
          <c:h val="0.64617420496856492"/>
        </c:manualLayout>
      </c:layout>
      <c:barChart>
        <c:barDir val="col"/>
        <c:grouping val="clustered"/>
        <c:varyColors val="0"/>
        <c:ser>
          <c:idx val="0"/>
          <c:order val="0"/>
          <c:tx>
            <c:strRef>
              <c:f>'мемо 2011-2016'!$D$50</c:f>
              <c:strCache>
                <c:ptCount val="1"/>
                <c:pt idx="0">
                  <c:v>дуг</c:v>
                </c:pt>
              </c:strCache>
            </c:strRef>
          </c:tx>
          <c:spPr>
            <a:solidFill>
              <a:schemeClr val="tx2"/>
            </a:solidFill>
          </c:spPr>
          <c:invertIfNegative val="0"/>
          <c:dLbls>
            <c:numFmt formatCode="#,##0.0" sourceLinked="0"/>
            <c:spPr>
              <a:noFill/>
              <a:ln>
                <a:noFill/>
              </a:ln>
              <a:effectLst/>
            </c:spPr>
            <c:txPr>
              <a:bodyPr/>
              <a:lstStyle/>
              <a:p>
                <a:pPr>
                  <a:defRPr sz="700" b="0" baseline="0">
                    <a:solidFill>
                      <a:schemeClr val="bg1"/>
                    </a:solidFill>
                    <a:latin typeface="Calibri" panose="020F050202020403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2011-2016'!$J$48:$T$48</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'мемо 2011-2016'!$J$50:$T$50</c:f>
              <c:numCache>
                <c:formatCode>#,##0.0</c:formatCode>
                <c:ptCount val="11"/>
                <c:pt idx="0">
                  <c:v>71.199826125969352</c:v>
                </c:pt>
                <c:pt idx="1">
                  <c:v>68.7</c:v>
                </c:pt>
                <c:pt idx="2">
                  <c:v>58.6</c:v>
                </c:pt>
                <c:pt idx="3" formatCode="0.0">
                  <c:v>54.353090578805471</c:v>
                </c:pt>
                <c:pt idx="4" formatCode="General">
                  <c:v>52.8</c:v>
                </c:pt>
                <c:pt idx="5" formatCode="General">
                  <c:v>57.8</c:v>
                </c:pt>
                <c:pt idx="6" formatCode="General">
                  <c:v>57.1</c:v>
                </c:pt>
                <c:pt idx="7" formatCode="General">
                  <c:v>56.9</c:v>
                </c:pt>
                <c:pt idx="8" formatCode="General">
                  <c:v>56.1</c:v>
                </c:pt>
                <c:pt idx="9" formatCode="General">
                  <c:v>55.1</c:v>
                </c:pt>
                <c:pt idx="10" formatCode="General">
                  <c:v>54</c:v>
                </c:pt>
              </c:numCache>
            </c:numRef>
          </c:val>
          <c:extLst>
            <c:ext xmlns:c16="http://schemas.microsoft.com/office/drawing/2014/chart" uri="{C3380CC4-5D6E-409C-BE32-E72D297353CC}">
              <c16:uniqueId val="{00000000-B1D8-45D0-8937-1423BDC32D85}"/>
            </c:ext>
          </c:extLst>
        </c:ser>
        <c:dLbls>
          <c:showLegendKey val="0"/>
          <c:showVal val="0"/>
          <c:showCatName val="0"/>
          <c:showSerName val="0"/>
          <c:showPercent val="0"/>
          <c:showBubbleSize val="0"/>
        </c:dLbls>
        <c:gapWidth val="35"/>
        <c:overlap val="78"/>
        <c:axId val="430644800"/>
        <c:axId val="430645584"/>
      </c:barChart>
      <c:lineChart>
        <c:grouping val="standard"/>
        <c:varyColors val="0"/>
        <c:ser>
          <c:idx val="2"/>
          <c:order val="1"/>
          <c:tx>
            <c:strRef>
              <c:f>'мемо 2011-2016'!$D$49</c:f>
              <c:strCache>
                <c:ptCount val="1"/>
                <c:pt idx="0">
                  <c:v>резултат (десна скала)</c:v>
                </c:pt>
              </c:strCache>
            </c:strRef>
          </c:tx>
          <c:spPr>
            <a:ln>
              <a:solidFill>
                <a:srgbClr val="FF0000"/>
              </a:solidFill>
            </a:ln>
          </c:spPr>
          <c:marker>
            <c:symbol val="none"/>
          </c:marker>
          <c:dLbls>
            <c:dLbl>
              <c:idx val="1"/>
              <c:layout>
                <c:manualLayout>
                  <c:x val="-1.4285714285714285E-2"/>
                  <c:y val="-2.8423444259765563E-1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1D8-45D0-8937-1423BDC32D85}"/>
                </c:ext>
              </c:extLst>
            </c:dLbl>
            <c:dLbl>
              <c:idx val="5"/>
              <c:layout>
                <c:manualLayout>
                  <c:x val="-0.11904761904761904"/>
                  <c:y val="-2.4806201550387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1D8-45D0-8937-1423BDC32D85}"/>
                </c:ext>
              </c:extLst>
            </c:dLbl>
            <c:dLbl>
              <c:idx val="8"/>
              <c:layout>
                <c:manualLayout>
                  <c:x val="-7.0428571428571521E-2"/>
                  <c:y val="5.5085393395592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1D8-45D0-8937-1423BDC32D85}"/>
                </c:ext>
              </c:extLst>
            </c:dLbl>
            <c:dLbl>
              <c:idx val="9"/>
              <c:layout>
                <c:manualLayout>
                  <c:x val="-7.0428571428571521E-2"/>
                  <c:y val="6.12869437831898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1D8-45D0-8937-1423BDC32D85}"/>
                </c:ext>
              </c:extLst>
            </c:dLbl>
            <c:dLbl>
              <c:idx val="10"/>
              <c:layout>
                <c:manualLayout>
                  <c:x val="-7.0428571428571424E-2"/>
                  <c:y val="6.1286943783189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1D8-45D0-8937-1423BDC32D85}"/>
                </c:ext>
              </c:extLst>
            </c:dLbl>
            <c:spPr>
              <a:noFill/>
              <a:ln>
                <a:noFill/>
              </a:ln>
              <a:effectLst/>
            </c:spPr>
            <c:txPr>
              <a:bodyPr wrap="square" lIns="38100" tIns="19050" rIns="38100" bIns="19050" anchor="ctr">
                <a:spAutoFit/>
              </a:bodyPr>
              <a:lstStyle/>
              <a:p>
                <a:pPr>
                  <a:defRPr sz="800">
                    <a:solidFill>
                      <a:srgbClr val="FF0000"/>
                    </a:solidFill>
                    <a:latin typeface="+mn-lt"/>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val>
            <c:numRef>
              <c:f>'мемо 2011-2016'!$J$49:$T$49</c:f>
              <c:numCache>
                <c:formatCode>#,##0.0</c:formatCode>
                <c:ptCount val="11"/>
                <c:pt idx="0">
                  <c:v>-3.4574923786243579</c:v>
                </c:pt>
                <c:pt idx="1">
                  <c:v>-1.1977763417297731</c:v>
                </c:pt>
                <c:pt idx="2">
                  <c:v>1.099509271415023</c:v>
                </c:pt>
                <c:pt idx="3" formatCode="0.0">
                  <c:v>0.63691314414627054</c:v>
                </c:pt>
                <c:pt idx="4">
                  <c:v>-0.2</c:v>
                </c:pt>
                <c:pt idx="5">
                  <c:v>-8</c:v>
                </c:pt>
                <c:pt idx="6">
                  <c:v>-4.0999999999999996</c:v>
                </c:pt>
                <c:pt idx="7">
                  <c:v>-3.8</c:v>
                </c:pt>
                <c:pt idx="8" formatCode="General">
                  <c:v>-3.3</c:v>
                </c:pt>
                <c:pt idx="9" formatCode="General">
                  <c:v>-2.2000000000000002</c:v>
                </c:pt>
                <c:pt idx="10" formatCode="General">
                  <c:v>-1.4</c:v>
                </c:pt>
              </c:numCache>
            </c:numRef>
          </c:val>
          <c:smooth val="1"/>
          <c:extLst>
            <c:ext xmlns:c16="http://schemas.microsoft.com/office/drawing/2014/chart" uri="{C3380CC4-5D6E-409C-BE32-E72D297353CC}">
              <c16:uniqueId val="{0000000C-B1D8-45D0-8937-1423BDC32D85}"/>
            </c:ext>
          </c:extLst>
        </c:ser>
        <c:ser>
          <c:idx val="1"/>
          <c:order val="2"/>
          <c:tx>
            <c:strRef>
              <c:f>'мемо 2011-2016'!$D$51</c:f>
              <c:strCache>
                <c:ptCount val="1"/>
                <c:pt idx="0">
                  <c:v>баланс</c:v>
                </c:pt>
              </c:strCache>
            </c:strRef>
          </c:tx>
          <c:spPr>
            <a:ln w="22225">
              <a:solidFill>
                <a:schemeClr val="tx1"/>
              </a:solidFill>
            </a:ln>
          </c:spPr>
          <c:marker>
            <c:symbol val="none"/>
          </c:marker>
          <c:val>
            <c:numRef>
              <c:f>'мемо 2011-2016'!$J$51:$T$51</c:f>
              <c:numCache>
                <c:formatCode>#,##0.0</c:formatCode>
                <c:ptCount val="11"/>
                <c:pt idx="0">
                  <c:v>0</c:v>
                </c:pt>
                <c:pt idx="1">
                  <c:v>0</c:v>
                </c:pt>
                <c:pt idx="2">
                  <c:v>0</c:v>
                </c:pt>
                <c:pt idx="3">
                  <c:v>0</c:v>
                </c:pt>
                <c:pt idx="4">
                  <c:v>0</c:v>
                </c:pt>
                <c:pt idx="5">
                  <c:v>0</c:v>
                </c:pt>
                <c:pt idx="6">
                  <c:v>0</c:v>
                </c:pt>
                <c:pt idx="7">
                  <c:v>0</c:v>
                </c:pt>
                <c:pt idx="8" formatCode="General">
                  <c:v>0</c:v>
                </c:pt>
                <c:pt idx="9" formatCode="General">
                  <c:v>0</c:v>
                </c:pt>
                <c:pt idx="10" formatCode="General">
                  <c:v>0</c:v>
                </c:pt>
              </c:numCache>
            </c:numRef>
          </c:val>
          <c:smooth val="0"/>
          <c:extLst>
            <c:ext xmlns:c16="http://schemas.microsoft.com/office/drawing/2014/chart" uri="{C3380CC4-5D6E-409C-BE32-E72D297353CC}">
              <c16:uniqueId val="{0000000D-B1D8-45D0-8937-1423BDC32D85}"/>
            </c:ext>
          </c:extLst>
        </c:ser>
        <c:dLbls>
          <c:showLegendKey val="0"/>
          <c:showVal val="0"/>
          <c:showCatName val="0"/>
          <c:showSerName val="0"/>
          <c:showPercent val="0"/>
          <c:showBubbleSize val="0"/>
        </c:dLbls>
        <c:marker val="1"/>
        <c:smooth val="0"/>
        <c:axId val="426079336"/>
        <c:axId val="426078160"/>
      </c:lineChart>
      <c:catAx>
        <c:axId val="430644800"/>
        <c:scaling>
          <c:orientation val="minMax"/>
        </c:scaling>
        <c:delete val="0"/>
        <c:axPos val="b"/>
        <c:numFmt formatCode="General" sourceLinked="1"/>
        <c:majorTickMark val="out"/>
        <c:minorTickMark val="none"/>
        <c:tickLblPos val="nextTo"/>
        <c:spPr>
          <a:ln>
            <a:noFill/>
          </a:ln>
        </c:spPr>
        <c:txPr>
          <a:bodyPr/>
          <a:lstStyle/>
          <a:p>
            <a:pPr>
              <a:defRPr sz="800" baseline="0">
                <a:solidFill>
                  <a:schemeClr val="tx2"/>
                </a:solidFill>
                <a:latin typeface="+mn-lt"/>
              </a:defRPr>
            </a:pPr>
            <a:endParaRPr lang="en-US"/>
          </a:p>
        </c:txPr>
        <c:crossAx val="430645584"/>
        <c:crossesAt val="0"/>
        <c:auto val="1"/>
        <c:lblAlgn val="ctr"/>
        <c:lblOffset val="100"/>
        <c:noMultiLvlLbl val="0"/>
      </c:catAx>
      <c:valAx>
        <c:axId val="430645584"/>
        <c:scaling>
          <c:orientation val="minMax"/>
          <c:max val="80"/>
          <c:min val="40"/>
        </c:scaling>
        <c:delete val="0"/>
        <c:axPos val="l"/>
        <c:majorGridlines>
          <c:spPr>
            <a:ln>
              <a:noFill/>
            </a:ln>
          </c:spPr>
        </c:majorGridlines>
        <c:numFmt formatCode="#,##0" sourceLinked="0"/>
        <c:majorTickMark val="out"/>
        <c:minorTickMark val="none"/>
        <c:tickLblPos val="nextTo"/>
        <c:spPr>
          <a:ln>
            <a:noFill/>
          </a:ln>
        </c:spPr>
        <c:txPr>
          <a:bodyPr/>
          <a:lstStyle/>
          <a:p>
            <a:pPr>
              <a:defRPr sz="800" baseline="0">
                <a:solidFill>
                  <a:schemeClr val="tx2"/>
                </a:solidFill>
                <a:latin typeface="+mn-lt"/>
              </a:defRPr>
            </a:pPr>
            <a:endParaRPr lang="en-US"/>
          </a:p>
        </c:txPr>
        <c:crossAx val="430644800"/>
        <c:crosses val="autoZero"/>
        <c:crossBetween val="between"/>
        <c:majorUnit val="5"/>
      </c:valAx>
      <c:valAx>
        <c:axId val="426078160"/>
        <c:scaling>
          <c:orientation val="minMax"/>
        </c:scaling>
        <c:delete val="0"/>
        <c:axPos val="r"/>
        <c:numFmt formatCode="#,##0" sourceLinked="0"/>
        <c:majorTickMark val="out"/>
        <c:minorTickMark val="none"/>
        <c:tickLblPos val="nextTo"/>
        <c:spPr>
          <a:ln>
            <a:noFill/>
          </a:ln>
        </c:spPr>
        <c:txPr>
          <a:bodyPr/>
          <a:lstStyle/>
          <a:p>
            <a:pPr>
              <a:defRPr sz="800" baseline="0">
                <a:solidFill>
                  <a:schemeClr val="tx2"/>
                </a:solidFill>
                <a:latin typeface="+mn-lt"/>
              </a:defRPr>
            </a:pPr>
            <a:endParaRPr lang="en-US"/>
          </a:p>
        </c:txPr>
        <c:crossAx val="426079336"/>
        <c:crosses val="max"/>
        <c:crossBetween val="between"/>
      </c:valAx>
      <c:catAx>
        <c:axId val="426079336"/>
        <c:scaling>
          <c:orientation val="minMax"/>
        </c:scaling>
        <c:delete val="1"/>
        <c:axPos val="b"/>
        <c:majorTickMark val="out"/>
        <c:minorTickMark val="none"/>
        <c:tickLblPos val="nextTo"/>
        <c:crossAx val="426078160"/>
        <c:crosses val="autoZero"/>
        <c:auto val="1"/>
        <c:lblAlgn val="ctr"/>
        <c:lblOffset val="100"/>
        <c:noMultiLvlLbl val="0"/>
      </c:catAx>
      <c:spPr>
        <a:noFill/>
        <a:ln>
          <a:noFill/>
        </a:ln>
      </c:spPr>
    </c:plotArea>
    <c:legend>
      <c:legendPos val="b"/>
      <c:overlay val="0"/>
      <c:txPr>
        <a:bodyPr/>
        <a:lstStyle/>
        <a:p>
          <a:pPr>
            <a:defRPr sz="800" baseline="0">
              <a:solidFill>
                <a:schemeClr val="tx2"/>
              </a:solidFill>
              <a:latin typeface="Calibri" panose="020F0502020204030204" pitchFamily="34" charset="0"/>
            </a:defRPr>
          </a:pPr>
          <a:endParaRPr lang="en-US"/>
        </a:p>
      </c:txPr>
    </c:legend>
    <c:plotVisOnly val="1"/>
    <c:dispBlanksAs val="gap"/>
    <c:showDLblsOverMax val="0"/>
  </c:chart>
  <c:spPr>
    <a:ln>
      <a:noFill/>
    </a:ln>
  </c:spPr>
  <c:txPr>
    <a:bodyPr/>
    <a:lstStyle/>
    <a:p>
      <a:pPr algn="just">
        <a:defRPr sz="900" baseline="0">
          <a:latin typeface="Cambria Math" pitchFamily="18" charset="0"/>
        </a:defRPr>
      </a:pPr>
      <a:endParaRPr lang="en-US"/>
    </a:p>
  </c:txPr>
  <c:externalData r:id="rId2">
    <c:autoUpdate val="0"/>
  </c:externalData>
  <c:userShapes r:id="rId3"/>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8.5694913857576771E-2"/>
          <c:y val="0.12195169524878018"/>
          <c:w val="0.89742630688838176"/>
          <c:h val="0.72252618511373012"/>
        </c:manualLayout>
      </c:layout>
      <c:areaChart>
        <c:grouping val="stacked"/>
        <c:varyColors val="0"/>
        <c:ser>
          <c:idx val="2"/>
          <c:order val="2"/>
          <c:tx>
            <c:strRef>
              <c:f>'Grafikoni, CAB, Karakter'!$G$10</c:f>
              <c:strCache>
                <c:ptCount val="1"/>
                <c:pt idx="0">
                  <c:v>Производни јаз </c:v>
                </c:pt>
              </c:strCache>
            </c:strRef>
          </c:tx>
          <c:spPr>
            <a:solidFill>
              <a:srgbClr val="29489A"/>
            </a:solidFill>
            <a:ln w="9525" cap="rnd" cmpd="sng" algn="ctr">
              <a:solidFill>
                <a:srgbClr val="29489A"/>
              </a:solidFill>
              <a:prstDash val="solid"/>
              <a:round/>
            </a:ln>
            <a:effectLst/>
          </c:spPr>
          <c:cat>
            <c:numRef>
              <c:f>'Grafikoni, CAB, Karakter'!$F$11:$F$23</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('Grafikoni, CAB, Karakter'!$G$11:$G$29,'Grafikoni, CAB, Karakter'!$G$30,'Grafikoni, CAB, Karakter'!$G$31)</c:f>
              <c:numCache>
                <c:formatCode>#,##0.0</c:formatCode>
                <c:ptCount val="21"/>
                <c:pt idx="0">
                  <c:v>3.4939700056136114E-2</c:v>
                </c:pt>
                <c:pt idx="1">
                  <c:v>-2.6737461957498145</c:v>
                </c:pt>
                <c:pt idx="2">
                  <c:v>0.76144962619904333</c:v>
                </c:pt>
                <c:pt idx="3">
                  <c:v>4.0495583627767351</c:v>
                </c:pt>
                <c:pt idx="4">
                  <c:v>-0.38543712835940225</c:v>
                </c:pt>
                <c:pt idx="5">
                  <c:v>-0.71613496525201303</c:v>
                </c:pt>
                <c:pt idx="6">
                  <c:v>0.51938165790308555</c:v>
                </c:pt>
                <c:pt idx="7">
                  <c:v>-0.84661749418884957</c:v>
                </c:pt>
                <c:pt idx="8">
                  <c:v>1.2225595734986152</c:v>
                </c:pt>
                <c:pt idx="9">
                  <c:v>-1.436775981412165</c:v>
                </c:pt>
                <c:pt idx="10">
                  <c:v>-1.1990135967667208</c:v>
                </c:pt>
                <c:pt idx="11">
                  <c:v>-5.1829638002909087E-2</c:v>
                </c:pt>
                <c:pt idx="12">
                  <c:v>-0.60546515518663058</c:v>
                </c:pt>
                <c:pt idx="13">
                  <c:v>0.79653635267688672</c:v>
                </c:pt>
                <c:pt idx="14">
                  <c:v>1.8635799194734897</c:v>
                </c:pt>
                <c:pt idx="15">
                  <c:v>-2.3760860359486364</c:v>
                </c:pt>
                <c:pt idx="16">
                  <c:v>1.2791705611337654</c:v>
                </c:pt>
                <c:pt idx="17">
                  <c:v>0.71711618700126611</c:v>
                </c:pt>
                <c:pt idx="18">
                  <c:v>-0.28866159545633352</c:v>
                </c:pt>
                <c:pt idx="19">
                  <c:v>-0.44961713699199723</c:v>
                </c:pt>
                <c:pt idx="20">
                  <c:v>-0.21821469901886664</c:v>
                </c:pt>
              </c:numCache>
            </c:numRef>
          </c:val>
          <c:extLst>
            <c:ext xmlns:c16="http://schemas.microsoft.com/office/drawing/2014/chart" uri="{C3380CC4-5D6E-409C-BE32-E72D297353CC}">
              <c16:uniqueId val="{00000000-699C-4448-BDD6-6738D21565B5}"/>
            </c:ext>
          </c:extLst>
        </c:ser>
        <c:dLbls>
          <c:showLegendKey val="0"/>
          <c:showVal val="0"/>
          <c:showCatName val="0"/>
          <c:showSerName val="0"/>
          <c:showPercent val="0"/>
          <c:showBubbleSize val="0"/>
        </c:dLbls>
        <c:axId val="342946768"/>
        <c:axId val="410610880"/>
      </c:areaChart>
      <c:lineChart>
        <c:grouping val="standard"/>
        <c:varyColors val="0"/>
        <c:ser>
          <c:idx val="0"/>
          <c:order val="0"/>
          <c:tx>
            <c:strRef>
              <c:f>'Grafikoni, CAB, Karakter'!$H$10</c:f>
              <c:strCache>
                <c:ptCount val="1"/>
                <c:pt idx="0">
                  <c:v>Фискални 
биланс</c:v>
                </c:pt>
              </c:strCache>
            </c:strRef>
          </c:tx>
          <c:spPr>
            <a:ln w="25400" cap="rnd" cmpd="sng" algn="ctr">
              <a:solidFill>
                <a:schemeClr val="accent3">
                  <a:shade val="53000"/>
                  <a:shade val="95000"/>
                  <a:satMod val="105000"/>
                </a:schemeClr>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Karakter'!$H$11:$H$29,'Grafikoni, CAB, Karakter'!$H$30,'Grafikoni, CAB, Karakter'!$H$31)</c:f>
              <c:numCache>
                <c:formatCode>#,##0.0</c:formatCode>
                <c:ptCount val="21"/>
                <c:pt idx="0">
                  <c:v>1.1229513642911615</c:v>
                </c:pt>
                <c:pt idx="1">
                  <c:v>-1.4151456839897949</c:v>
                </c:pt>
                <c:pt idx="2">
                  <c:v>-1.7846058996685674</c:v>
                </c:pt>
                <c:pt idx="3">
                  <c:v>-2.4768975856092812</c:v>
                </c:pt>
                <c:pt idx="4">
                  <c:v>-4.1655024905891214</c:v>
                </c:pt>
                <c:pt idx="5">
                  <c:v>-4.3381740101726747</c:v>
                </c:pt>
                <c:pt idx="6">
                  <c:v>-4.5257988775356361</c:v>
                </c:pt>
                <c:pt idx="7">
                  <c:v>-6.4352841344073424</c:v>
                </c:pt>
                <c:pt idx="8">
                  <c:v>-5.1464767188637195</c:v>
                </c:pt>
                <c:pt idx="9">
                  <c:v>-6.2041437165115507</c:v>
                </c:pt>
                <c:pt idx="10">
                  <c:v>-3.4561672728767112</c:v>
                </c:pt>
                <c:pt idx="11">
                  <c:v>-1.1926941660681765</c:v>
                </c:pt>
                <c:pt idx="12">
                  <c:v>1.0986349345465762</c:v>
                </c:pt>
                <c:pt idx="13">
                  <c:v>0.63523655395945411</c:v>
                </c:pt>
                <c:pt idx="14">
                  <c:v>-0.20497664525511922</c:v>
                </c:pt>
                <c:pt idx="15">
                  <c:v>-8.0441635730355401</c:v>
                </c:pt>
                <c:pt idx="16">
                  <c:v>-4.0999999999999996</c:v>
                </c:pt>
                <c:pt idx="17">
                  <c:v>-3.8</c:v>
                </c:pt>
                <c:pt idx="18">
                  <c:v>-3.3</c:v>
                </c:pt>
                <c:pt idx="19">
                  <c:v>-2.2000000000000002</c:v>
                </c:pt>
                <c:pt idx="20">
                  <c:v>-1.4</c:v>
                </c:pt>
              </c:numCache>
            </c:numRef>
          </c:val>
          <c:smooth val="0"/>
          <c:extLst>
            <c:ext xmlns:c16="http://schemas.microsoft.com/office/drawing/2014/chart" uri="{C3380CC4-5D6E-409C-BE32-E72D297353CC}">
              <c16:uniqueId val="{00000001-699C-4448-BDD6-6738D21565B5}"/>
            </c:ext>
          </c:extLst>
        </c:ser>
        <c:ser>
          <c:idx val="1"/>
          <c:order val="1"/>
          <c:tx>
            <c:strRef>
              <c:f>'Grafikoni, CAB, Karakter'!$K$10</c:f>
              <c:strCache>
                <c:ptCount val="1"/>
                <c:pt idx="0">
                  <c:v>Циклично 
прилагођени  фискални биланс</c:v>
                </c:pt>
              </c:strCache>
            </c:strRef>
          </c:tx>
          <c:spPr>
            <a:ln w="25400" cap="rnd" cmpd="sng" algn="ctr">
              <a:solidFill>
                <a:schemeClr val="tx1"/>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Karakter'!$K$11:$K$29,'Grafikoni, CAB, Karakter'!$K$30,'Grafikoni, CAB, Karakter'!$K$31)</c:f>
              <c:numCache>
                <c:formatCode>#,##0.0</c:formatCode>
                <c:ptCount val="21"/>
                <c:pt idx="0">
                  <c:v>1.110553570451444</c:v>
                </c:pt>
                <c:pt idx="1">
                  <c:v>-0.46640960264458897</c:v>
                </c:pt>
                <c:pt idx="2">
                  <c:v>-2.0547941230871558</c:v>
                </c:pt>
                <c:pt idx="3">
                  <c:v>-3.9138186136360584</c:v>
                </c:pt>
                <c:pt idx="4">
                  <c:v>-4.0287362891650931</c:v>
                </c:pt>
                <c:pt idx="5">
                  <c:v>-4.0840649695586135</c:v>
                </c:pt>
                <c:pt idx="6">
                  <c:v>-4.7100931533441761</c:v>
                </c:pt>
                <c:pt idx="7">
                  <c:v>-6.1348754549628168</c:v>
                </c:pt>
                <c:pt idx="8">
                  <c:v>-5.5802824334135508</c:v>
                </c:pt>
                <c:pt idx="9">
                  <c:v>-5.6943267351755109</c:v>
                </c:pt>
                <c:pt idx="10">
                  <c:v>-3.0307164716434736</c:v>
                </c:pt>
                <c:pt idx="11">
                  <c:v>-1.1743032478371995</c:v>
                </c:pt>
                <c:pt idx="12">
                  <c:v>1.3134745627939914</c:v>
                </c:pt>
                <c:pt idx="13">
                  <c:v>0.35259836672652334</c:v>
                </c:pt>
                <c:pt idx="14">
                  <c:v>-0.86623817893598143</c:v>
                </c:pt>
                <c:pt idx="15">
                  <c:v>-7.2010474394741824</c:v>
                </c:pt>
                <c:pt idx="16">
                  <c:v>-4.5538932182386365</c:v>
                </c:pt>
                <c:pt idx="17">
                  <c:v>-4.0544572114609405</c:v>
                </c:pt>
                <c:pt idx="18">
                  <c:v>-3.1975730488767291</c:v>
                </c:pt>
                <c:pt idx="19">
                  <c:v>-2.0404605488234036</c:v>
                </c:pt>
                <c:pt idx="20">
                  <c:v>-1.3225700035522536</c:v>
                </c:pt>
              </c:numCache>
            </c:numRef>
          </c:val>
          <c:smooth val="1"/>
          <c:extLst>
            <c:ext xmlns:c16="http://schemas.microsoft.com/office/drawing/2014/chart" uri="{C3380CC4-5D6E-409C-BE32-E72D297353CC}">
              <c16:uniqueId val="{00000002-699C-4448-BDD6-6738D21565B5}"/>
            </c:ext>
          </c:extLst>
        </c:ser>
        <c:ser>
          <c:idx val="4"/>
          <c:order val="3"/>
          <c:tx>
            <c:strRef>
              <c:f>'Grafikoni, CAB, Karakter'!$N$10</c:f>
              <c:strCache>
                <c:ptCount val="1"/>
                <c:pt idx="0">
                  <c:v>Структурни примарни фискални биланс</c:v>
                </c:pt>
              </c:strCache>
            </c:strRef>
          </c:tx>
          <c:spPr>
            <a:ln w="25400" cap="rnd" cmpd="sng" algn="ctr">
              <a:solidFill>
                <a:srgbClr val="FF0000"/>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Karakter'!$N$11:$N$29,'Grafikoni, CAB, Karakter'!$N$30,'Grafikoni, CAB, Karakter'!$N$31)</c:f>
              <c:numCache>
                <c:formatCode>#,##0.0</c:formatCode>
                <c:ptCount val="21"/>
                <c:pt idx="0">
                  <c:v>2.2311622467225694</c:v>
                </c:pt>
                <c:pt idx="1">
                  <c:v>1.4736084198352599</c:v>
                </c:pt>
                <c:pt idx="2">
                  <c:v>-1.1725112848544537</c:v>
                </c:pt>
                <c:pt idx="3">
                  <c:v>-3.4329056835584044</c:v>
                </c:pt>
                <c:pt idx="4">
                  <c:v>-3.4932552726963686</c:v>
                </c:pt>
                <c:pt idx="5">
                  <c:v>-3.2444435260899414</c:v>
                </c:pt>
                <c:pt idx="6">
                  <c:v>-3.7665815726292906</c:v>
                </c:pt>
                <c:pt idx="7">
                  <c:v>-4.3801996816361237</c:v>
                </c:pt>
                <c:pt idx="8">
                  <c:v>-3.1172278679976011</c:v>
                </c:pt>
                <c:pt idx="9">
                  <c:v>-2.1599760228236335</c:v>
                </c:pt>
                <c:pt idx="10">
                  <c:v>0.78913265140650313</c:v>
                </c:pt>
                <c:pt idx="11">
                  <c:v>1.8002495358173582</c:v>
                </c:pt>
                <c:pt idx="12">
                  <c:v>3.7046736122520598</c:v>
                </c:pt>
                <c:pt idx="13">
                  <c:v>2.3170716492536387</c:v>
                </c:pt>
                <c:pt idx="14">
                  <c:v>0.9477646633756206</c:v>
                </c:pt>
                <c:pt idx="15">
                  <c:v>1.8489196056863451</c:v>
                </c:pt>
                <c:pt idx="16">
                  <c:v>1.2578191045531799</c:v>
                </c:pt>
                <c:pt idx="17">
                  <c:v>0.49902159693107073</c:v>
                </c:pt>
                <c:pt idx="18">
                  <c:v>0.22792943707360136</c:v>
                </c:pt>
                <c:pt idx="19">
                  <c:v>1.7354247844896115E-2</c:v>
                </c:pt>
                <c:pt idx="20">
                  <c:v>0.60297152217415773</c:v>
                </c:pt>
              </c:numCache>
            </c:numRef>
          </c:val>
          <c:smooth val="0"/>
          <c:extLst>
            <c:ext xmlns:c16="http://schemas.microsoft.com/office/drawing/2014/chart" uri="{C3380CC4-5D6E-409C-BE32-E72D297353CC}">
              <c16:uniqueId val="{00000003-699C-4448-BDD6-6738D21565B5}"/>
            </c:ext>
          </c:extLst>
        </c:ser>
        <c:ser>
          <c:idx val="3"/>
          <c:order val="4"/>
          <c:tx>
            <c:strRef>
              <c:f>'Grafikoni, CAB, Karakter'!$M$10</c:f>
              <c:strCache>
                <c:ptCount val="1"/>
                <c:pt idx="0">
                  <c:v>Структурни  фискални биланс</c:v>
                </c:pt>
              </c:strCache>
            </c:strRef>
          </c:tx>
          <c:spPr>
            <a:ln w="28575" cap="rnd" cmpd="sng" algn="ctr">
              <a:solidFill>
                <a:schemeClr val="accent6"/>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Karakter'!$M$11:$M$29,'Grafikoni, CAB, Karakter'!$M$30,'Grafikoni, CAB, Karakter'!$M$31)</c:f>
              <c:numCache>
                <c:formatCode>#,##0.0</c:formatCode>
                <c:ptCount val="21"/>
                <c:pt idx="0">
                  <c:v>1.3271381895220509</c:v>
                </c:pt>
                <c:pt idx="1">
                  <c:v>0.2075824472504697</c:v>
                </c:pt>
                <c:pt idx="2">
                  <c:v>-1.7179597626963985</c:v>
                </c:pt>
                <c:pt idx="3">
                  <c:v>-3.9722690977912527</c:v>
                </c:pt>
                <c:pt idx="4">
                  <c:v>-4.1008169690953293</c:v>
                </c:pt>
                <c:pt idx="5">
                  <c:v>-4.2009671360246328</c:v>
                </c:pt>
                <c:pt idx="6">
                  <c:v>-4.9204873699870255</c:v>
                </c:pt>
                <c:pt idx="7">
                  <c:v>-6.0876320787466218</c:v>
                </c:pt>
                <c:pt idx="8">
                  <c:v>-5.3109434159037612</c:v>
                </c:pt>
                <c:pt idx="9">
                  <c:v>-4.8242491403998029</c:v>
                </c:pt>
                <c:pt idx="10">
                  <c:v>-2.1964214594349079</c:v>
                </c:pt>
                <c:pt idx="11">
                  <c:v>-1.0970097035353688</c:v>
                </c:pt>
                <c:pt idx="12">
                  <c:v>1.1685374782494489</c:v>
                </c:pt>
                <c:pt idx="13">
                  <c:v>0.20475487814176244</c:v>
                </c:pt>
                <c:pt idx="14">
                  <c:v>-1.0488326471351259</c:v>
                </c:pt>
                <c:pt idx="15">
                  <c:v>-0.15399752641323072</c:v>
                </c:pt>
                <c:pt idx="16">
                  <c:v>-0.47580638800299546</c:v>
                </c:pt>
                <c:pt idx="17">
                  <c:v>-1.1331711170227785</c:v>
                </c:pt>
                <c:pt idx="18">
                  <c:v>-1.5901164439746096</c:v>
                </c:pt>
                <c:pt idx="19">
                  <c:v>-2.0404605488234036</c:v>
                </c:pt>
                <c:pt idx="20">
                  <c:v>-1.3225700035522536</c:v>
                </c:pt>
              </c:numCache>
            </c:numRef>
          </c:val>
          <c:smooth val="0"/>
          <c:extLst>
            <c:ext xmlns:c16="http://schemas.microsoft.com/office/drawing/2014/chart" uri="{C3380CC4-5D6E-409C-BE32-E72D297353CC}">
              <c16:uniqueId val="{00000004-699C-4448-BDD6-6738D21565B5}"/>
            </c:ext>
          </c:extLst>
        </c:ser>
        <c:dLbls>
          <c:showLegendKey val="0"/>
          <c:showVal val="0"/>
          <c:showCatName val="0"/>
          <c:showSerName val="0"/>
          <c:showPercent val="0"/>
          <c:showBubbleSize val="0"/>
        </c:dLbls>
        <c:marker val="1"/>
        <c:smooth val="0"/>
        <c:axId val="342946768"/>
        <c:axId val="410610880"/>
      </c:lineChart>
      <c:catAx>
        <c:axId val="342946768"/>
        <c:scaling>
          <c:orientation val="minMax"/>
        </c:scaling>
        <c:delete val="0"/>
        <c:axPos val="b"/>
        <c:majorGridlines>
          <c:spPr>
            <a:ln w="9525" cap="flat" cmpd="sng" algn="ctr">
              <a:noFill/>
              <a:prstDash val="sysDot"/>
              <a:round/>
            </a:ln>
            <a:effectLst/>
          </c:spPr>
        </c:majorGridlines>
        <c:numFmt formatCode="General"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crossAx val="410610880"/>
        <c:crosses val="autoZero"/>
        <c:auto val="1"/>
        <c:lblAlgn val="ctr"/>
        <c:lblOffset val="100"/>
        <c:noMultiLvlLbl val="0"/>
      </c:catAx>
      <c:valAx>
        <c:axId val="410610880"/>
        <c:scaling>
          <c:orientation val="minMax"/>
          <c:max val="5"/>
          <c:min val="-9"/>
        </c:scaling>
        <c:delete val="0"/>
        <c:axPos val="l"/>
        <c:majorGridlines>
          <c:spPr>
            <a:ln w="9525" cap="flat" cmpd="sng" algn="ctr">
              <a:noFill/>
              <a:prstDash val="sysDot"/>
              <a:round/>
            </a:ln>
            <a:effectLst/>
          </c:spPr>
        </c:majorGridlines>
        <c:title>
          <c:tx>
            <c:rich>
              <a:bodyPr rot="-5400000" spcFirstLastPara="1" vertOverflow="ellipsis" vert="horz" wrap="square" anchor="ctr" anchorCtr="1"/>
              <a:lstStyle/>
              <a:p>
                <a:pPr>
                  <a:defRPr sz="800" b="0" i="0" u="none" strike="noStrike" kern="1200" baseline="0">
                    <a:solidFill>
                      <a:schemeClr val="tx2"/>
                    </a:solidFill>
                    <a:latin typeface="+mn-lt"/>
                    <a:ea typeface="+mn-ea"/>
                    <a:cs typeface="+mn-cs"/>
                  </a:defRPr>
                </a:pPr>
                <a:r>
                  <a:rPr lang="sr-Cyrl-CS" sz="800" b="0">
                    <a:solidFill>
                      <a:schemeClr val="tx2"/>
                    </a:solidFill>
                    <a:latin typeface="+mn-lt"/>
                  </a:rPr>
                  <a:t>% БДП</a:t>
                </a:r>
              </a:p>
            </c:rich>
          </c:tx>
          <c:layout>
            <c:manualLayout>
              <c:xMode val="edge"/>
              <c:yMode val="edge"/>
              <c:x val="0.10894497616764057"/>
              <c:y val="9.467553304953491E-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2"/>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342946768"/>
        <c:crosses val="autoZero"/>
        <c:crossBetween val="between"/>
      </c:valAx>
      <c:spPr>
        <a:noFill/>
        <a:ln>
          <a:noFill/>
        </a:ln>
        <a:effectLst/>
      </c:spPr>
    </c:plotArea>
    <c:legend>
      <c:legendPos val="r"/>
      <c:layout>
        <c:manualLayout>
          <c:xMode val="edge"/>
          <c:yMode val="edge"/>
          <c:x val="0"/>
          <c:y val="0.60621096321605294"/>
          <c:w val="0.78878317381364127"/>
          <c:h val="0.3937890367839471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spcAft>
          <a:spcPts val="600"/>
        </a:spcAft>
        <a:defRPr/>
      </a:pPr>
      <a:endParaRPr lang="en-US"/>
    </a:p>
  </c:txPr>
  <c:externalData r:id="rId3">
    <c:autoUpdate val="0"/>
  </c:externalData>
  <c:userShapes r:id="rId4"/>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18440989179343E-2"/>
          <c:y val="5.7086964129483823E-2"/>
          <c:w val="0.91635877205946437"/>
          <c:h val="0.82967423338395085"/>
        </c:manualLayout>
      </c:layout>
      <c:barChart>
        <c:barDir val="col"/>
        <c:grouping val="clustered"/>
        <c:varyColors val="0"/>
        <c:ser>
          <c:idx val="0"/>
          <c:order val="0"/>
          <c:tx>
            <c:strRef>
              <c:f>'Grafikoni, CAB, Karakter'!$O$10</c:f>
              <c:strCache>
                <c:ptCount val="1"/>
                <c:pt idx="0">
                  <c:v>Фискални импулс</c:v>
                </c:pt>
              </c:strCache>
            </c:strRef>
          </c:tx>
          <c:spPr>
            <a:solidFill>
              <a:srgbClr val="29489A"/>
            </a:solidFill>
            <a:ln w="9525" cap="flat" cmpd="sng" algn="ctr">
              <a:solidFill>
                <a:schemeClr val="accent3">
                  <a:shade val="50000"/>
                  <a:shade val="95000"/>
                  <a:satMod val="105000"/>
                </a:schemeClr>
              </a:solidFill>
              <a:prstDash val="solid"/>
              <a:round/>
            </a:ln>
            <a:effectLst/>
          </c:spPr>
          <c:invertIfNegative val="0"/>
          <c:cat>
            <c:numRef>
              <c:f>'Grafikoni, CAB, Karakter'!$F$12:$F$31</c:f>
              <c:numCache>
                <c:formatCode>General</c:formatCode>
                <c:ptCount val="20"/>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numCache>
            </c:numRef>
          </c:cat>
          <c:val>
            <c:numRef>
              <c:f>('Grafikoni, CAB, Karakter'!$O$12:$O$29,'Grafikoni, CAB, Karakter'!$O$30,'Grafikoni, CAB, Karakter'!$O$31)</c:f>
              <c:numCache>
                <c:formatCode>#,##0.0</c:formatCode>
                <c:ptCount val="20"/>
                <c:pt idx="0">
                  <c:v>1.2149612577117612</c:v>
                </c:pt>
                <c:pt idx="1">
                  <c:v>2.3089620151854122</c:v>
                </c:pt>
                <c:pt idx="2">
                  <c:v>1.8651095541579992</c:v>
                </c:pt>
                <c:pt idx="3">
                  <c:v>4.671939336292219E-2</c:v>
                </c:pt>
                <c:pt idx="4">
                  <c:v>-0.29363323314221068</c:v>
                </c:pt>
                <c:pt idx="5">
                  <c:v>0.42864599636251954</c:v>
                </c:pt>
                <c:pt idx="6">
                  <c:v>0.87125570186587753</c:v>
                </c:pt>
                <c:pt idx="7">
                  <c:v>-1.0408761723449285</c:v>
                </c:pt>
                <c:pt idx="8">
                  <c:v>-0.35651326790804827</c:v>
                </c:pt>
                <c:pt idx="9">
                  <c:v>-2.9848912567972792</c:v>
                </c:pt>
                <c:pt idx="10">
                  <c:v>-1.7681183523175903</c:v>
                </c:pt>
                <c:pt idx="11">
                  <c:v>-2.1266547052810747</c:v>
                </c:pt>
                <c:pt idx="12">
                  <c:v>1.3846955589582026</c:v>
                </c:pt>
                <c:pt idx="13">
                  <c:v>1.3345560062636346</c:v>
                </c:pt>
                <c:pt idx="14">
                  <c:v>6.3284894389493722</c:v>
                </c:pt>
                <c:pt idx="15">
                  <c:v>-2.3778625816921455</c:v>
                </c:pt>
                <c:pt idx="16">
                  <c:v>-0.39800322817536982</c:v>
                </c:pt>
                <c:pt idx="17">
                  <c:v>-1.0427373296785731</c:v>
                </c:pt>
                <c:pt idx="18">
                  <c:v>-1.3968814156734142</c:v>
                </c:pt>
                <c:pt idx="19">
                  <c:v>-0.58561727432926158</c:v>
                </c:pt>
              </c:numCache>
            </c:numRef>
          </c:val>
          <c:extLst>
            <c:ext xmlns:c16="http://schemas.microsoft.com/office/drawing/2014/chart" uri="{C3380CC4-5D6E-409C-BE32-E72D297353CC}">
              <c16:uniqueId val="{00000000-629E-4619-904E-DC93748F5E01}"/>
            </c:ext>
          </c:extLst>
        </c:ser>
        <c:dLbls>
          <c:showLegendKey val="0"/>
          <c:showVal val="0"/>
          <c:showCatName val="0"/>
          <c:showSerName val="0"/>
          <c:showPercent val="0"/>
          <c:showBubbleSize val="0"/>
        </c:dLbls>
        <c:gapWidth val="41"/>
        <c:overlap val="-12"/>
        <c:axId val="467546320"/>
        <c:axId val="467537360"/>
      </c:barChart>
      <c:lineChart>
        <c:grouping val="standard"/>
        <c:varyColors val="0"/>
        <c:ser>
          <c:idx val="1"/>
          <c:order val="1"/>
          <c:tx>
            <c:strRef>
              <c:f>'Grafikoni, CAB, Karakter'!$G$10</c:f>
              <c:strCache>
                <c:ptCount val="1"/>
                <c:pt idx="0">
                  <c:v>Производни јаз </c:v>
                </c:pt>
              </c:strCache>
            </c:strRef>
          </c:tx>
          <c:spPr>
            <a:ln w="31750" cap="rnd" cmpd="sng" algn="ctr">
              <a:solidFill>
                <a:srgbClr val="FF0000"/>
              </a:solidFill>
              <a:prstDash val="solid"/>
              <a:round/>
            </a:ln>
            <a:effectLst/>
          </c:spPr>
          <c:marker>
            <c:symbol val="none"/>
          </c:marker>
          <c:cat>
            <c:numRef>
              <c:f>('Grafikoni, CAB, Karakter'!$F$12:$F$29,'Grafikoni, CAB, Karakter'!$F$30,'Grafikoni, CAB, Karakter'!$F$31)</c:f>
              <c:numCache>
                <c:formatCode>General</c:formatCode>
                <c:ptCount val="20"/>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numCache>
            </c:numRef>
          </c:cat>
          <c:val>
            <c:numRef>
              <c:f>('Grafikoni, CAB, Karakter'!$G$12:$G$29,'Grafikoni, CAB, Karakter'!$G$30,'Grafikoni, CAB, Karakter'!$G$31)</c:f>
              <c:numCache>
                <c:formatCode>#,##0.0</c:formatCode>
                <c:ptCount val="20"/>
                <c:pt idx="0">
                  <c:v>-2.6737461957498145</c:v>
                </c:pt>
                <c:pt idx="1">
                  <c:v>0.76144962619904333</c:v>
                </c:pt>
                <c:pt idx="2">
                  <c:v>4.0495583627767351</c:v>
                </c:pt>
                <c:pt idx="3">
                  <c:v>-0.38543712835940225</c:v>
                </c:pt>
                <c:pt idx="4">
                  <c:v>-0.71613496525201303</c:v>
                </c:pt>
                <c:pt idx="5">
                  <c:v>0.51938165790308555</c:v>
                </c:pt>
                <c:pt idx="6">
                  <c:v>-0.84661749418884957</c:v>
                </c:pt>
                <c:pt idx="7">
                  <c:v>1.2225595734986152</c:v>
                </c:pt>
                <c:pt idx="8">
                  <c:v>-1.436775981412165</c:v>
                </c:pt>
                <c:pt idx="9">
                  <c:v>-1.1990135967667208</c:v>
                </c:pt>
                <c:pt idx="10">
                  <c:v>-5.1829638002909087E-2</c:v>
                </c:pt>
                <c:pt idx="11">
                  <c:v>-0.60546515518663058</c:v>
                </c:pt>
                <c:pt idx="12">
                  <c:v>0.79653635267688672</c:v>
                </c:pt>
                <c:pt idx="13">
                  <c:v>1.8635799194734897</c:v>
                </c:pt>
                <c:pt idx="14">
                  <c:v>-2.3760860359486364</c:v>
                </c:pt>
                <c:pt idx="15">
                  <c:v>1.2791705611337654</c:v>
                </c:pt>
                <c:pt idx="16">
                  <c:v>0.71711618700126611</c:v>
                </c:pt>
                <c:pt idx="17">
                  <c:v>-0.28866159545633352</c:v>
                </c:pt>
                <c:pt idx="18">
                  <c:v>-0.44961713699199723</c:v>
                </c:pt>
                <c:pt idx="19">
                  <c:v>-0.21821469901886664</c:v>
                </c:pt>
              </c:numCache>
            </c:numRef>
          </c:val>
          <c:smooth val="1"/>
          <c:extLst>
            <c:ext xmlns:c16="http://schemas.microsoft.com/office/drawing/2014/chart" uri="{C3380CC4-5D6E-409C-BE32-E72D297353CC}">
              <c16:uniqueId val="{00000001-629E-4619-904E-DC93748F5E01}"/>
            </c:ext>
          </c:extLst>
        </c:ser>
        <c:dLbls>
          <c:showLegendKey val="0"/>
          <c:showVal val="0"/>
          <c:showCatName val="0"/>
          <c:showSerName val="0"/>
          <c:showPercent val="0"/>
          <c:showBubbleSize val="0"/>
        </c:dLbls>
        <c:marker val="1"/>
        <c:smooth val="0"/>
        <c:axId val="467546320"/>
        <c:axId val="467537360"/>
      </c:lineChart>
      <c:catAx>
        <c:axId val="467546320"/>
        <c:scaling>
          <c:orientation val="minMax"/>
        </c:scaling>
        <c:delete val="0"/>
        <c:axPos val="b"/>
        <c:majorGridlines>
          <c:spPr>
            <a:ln w="9525" cap="flat" cmpd="sng" algn="ctr">
              <a:noFill/>
              <a:prstDash val="solid"/>
              <a:round/>
            </a:ln>
            <a:effectLst/>
          </c:spPr>
        </c:majorGridlines>
        <c:numFmt formatCode="General" sourceLinked="1"/>
        <c:majorTickMark val="out"/>
        <c:minorTickMark val="none"/>
        <c:tickLblPos val="low"/>
        <c:spPr>
          <a:noFill/>
          <a:ln w="6350" cap="flat" cmpd="sng" algn="ctr">
            <a:solidFill>
              <a:srgbClr val="898989"/>
            </a:solidFill>
            <a:prstDash val="solid"/>
            <a:round/>
          </a:ln>
          <a:effectLst/>
        </c:spPr>
        <c:txPr>
          <a:bodyPr rot="-600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crossAx val="467537360"/>
        <c:crosses val="autoZero"/>
        <c:auto val="1"/>
        <c:lblAlgn val="ctr"/>
        <c:lblOffset val="100"/>
        <c:noMultiLvlLbl val="0"/>
      </c:catAx>
      <c:valAx>
        <c:axId val="467537360"/>
        <c:scaling>
          <c:orientation val="minMax"/>
          <c:min val="-9"/>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Cyrl-CS" sz="750" b="0">
                    <a:solidFill>
                      <a:schemeClr val="tx2"/>
                    </a:solidFill>
                    <a:latin typeface="+mn-lt"/>
                  </a:rPr>
                  <a:t>% БДП</a:t>
                </a:r>
                <a:endParaRPr lang="en-US" sz="750" b="0">
                  <a:solidFill>
                    <a:schemeClr val="tx2"/>
                  </a:solidFill>
                  <a:latin typeface="+mn-lt"/>
                </a:endParaRPr>
              </a:p>
            </c:rich>
          </c:tx>
          <c:layout>
            <c:manualLayout>
              <c:xMode val="edge"/>
              <c:yMode val="edge"/>
              <c:x val="5.3497970745365706E-2"/>
              <c:y val="3.194738988201079E-2"/>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title>
        <c:numFmt formatCode="0" sourceLinked="0"/>
        <c:majorTickMark val="out"/>
        <c:minorTickMark val="none"/>
        <c:tickLblPos val="nextTo"/>
        <c:spPr>
          <a:noFill/>
          <a:ln w="3175" cap="flat" cmpd="sng" algn="ctr">
            <a:noFill/>
            <a:prstDash val="solid"/>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467546320"/>
        <c:crosses val="autoZero"/>
        <c:crossBetween val="between"/>
      </c:valAx>
      <c:spPr>
        <a:noFill/>
        <a:ln>
          <a:noFill/>
        </a:ln>
        <a:effectLst/>
      </c:spPr>
    </c:plotArea>
    <c:legend>
      <c:legendPos val="r"/>
      <c:layout>
        <c:manualLayout>
          <c:xMode val="edge"/>
          <c:yMode val="edge"/>
          <c:x val="0.10575935617028157"/>
          <c:y val="0.82970027594333029"/>
          <c:w val="0.795961068391148"/>
          <c:h val="4.9573656234147202E-2"/>
        </c:manualLayout>
      </c:layout>
      <c:overlay val="0"/>
      <c:spPr>
        <a:noFill/>
        <a:ln>
          <a:noFill/>
        </a:ln>
        <a:effectLst/>
      </c:spPr>
      <c:txPr>
        <a:bodyPr rot="0" spcFirstLastPara="1" vertOverflow="ellipsis" vert="horz" wrap="square" anchor="ctr" anchorCtr="1"/>
        <a:lstStyle/>
        <a:p>
          <a:pPr>
            <a:defRPr sz="600" b="1"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defRPr sz="900" baseline="0">
          <a:latin typeface="Cambria" pitchFamily="18" charset="0"/>
        </a:defRPr>
      </a:pPr>
      <a:endParaRPr lang="en-US"/>
    </a:p>
  </c:txPr>
  <c:externalData r:id="rId4">
    <c:autoUpdate val="0"/>
  </c:externalData>
  <c:userShapes r:id="rId5"/>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616161716296222E-2"/>
          <c:y val="4.9007480657224968E-2"/>
          <c:w val="0.93476377952755907"/>
          <c:h val="0.9174795514193721"/>
        </c:manualLayout>
      </c:layout>
      <c:scatterChart>
        <c:scatterStyle val="smoothMarker"/>
        <c:varyColors val="0"/>
        <c:ser>
          <c:idx val="1"/>
          <c:order val="0"/>
          <c:spPr>
            <a:ln w="19050" cap="rnd">
              <a:solidFill>
                <a:srgbClr val="FF0000"/>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rnd">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dLbl>
              <c:idx val="0"/>
              <c:layout>
                <c:manualLayout>
                  <c:x val="-6.9381423218486976E-2"/>
                  <c:y val="-4.1527671341031656E-2"/>
                </c:manualLayout>
              </c:layout>
              <c:tx>
                <c:rich>
                  <a:bodyPr/>
                  <a:lstStyle/>
                  <a:p>
                    <a:r>
                      <a:rPr lang="en-US"/>
                      <a:t>2006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521-402C-A2E9-13ADB5116B2C}"/>
                </c:ext>
              </c:extLst>
            </c:dLbl>
            <c:dLbl>
              <c:idx val="1"/>
              <c:layout>
                <c:manualLayout>
                  <c:x val="-0.11611879737689938"/>
                  <c:y val="-3.3977112860892437E-2"/>
                </c:manualLayout>
              </c:layout>
              <c:tx>
                <c:rich>
                  <a:bodyPr/>
                  <a:lstStyle/>
                  <a:p>
                    <a:r>
                      <a:rPr lang="en-US"/>
                      <a:t>2007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521-402C-A2E9-13ADB5116B2C}"/>
                </c:ext>
              </c:extLst>
            </c:dLbl>
            <c:dLbl>
              <c:idx val="2"/>
              <c:layout>
                <c:manualLayout>
                  <c:x val="-5.0701809275048172E-2"/>
                  <c:y val="-6.3495592658862496E-2"/>
                </c:manualLayout>
              </c:layout>
              <c:tx>
                <c:rich>
                  <a:bodyPr/>
                  <a:lstStyle/>
                  <a:p>
                    <a:r>
                      <a:rPr lang="en-US"/>
                      <a:t>2008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6521-402C-A2E9-13ADB5116B2C}"/>
                </c:ext>
              </c:extLst>
            </c:dLbl>
            <c:dLbl>
              <c:idx val="3"/>
              <c:layout>
                <c:manualLayout>
                  <c:x val="-0.21547836620756852"/>
                  <c:y val="-5.6351147595912289E-2"/>
                </c:manualLayout>
              </c:layout>
              <c:tx>
                <c:rich>
                  <a:bodyPr/>
                  <a:lstStyle/>
                  <a:p>
                    <a:r>
                      <a:rPr lang="en-US"/>
                      <a:t>2009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6521-402C-A2E9-13ADB5116B2C}"/>
                </c:ext>
              </c:extLst>
            </c:dLbl>
            <c:dLbl>
              <c:idx val="4"/>
              <c:layout>
                <c:manualLayout>
                  <c:x val="-0.11474619993826693"/>
                  <c:y val="4.8635741754395737E-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521-402C-A2E9-13ADB5116B2C}"/>
                </c:ext>
              </c:extLst>
            </c:dLbl>
            <c:dLbl>
              <c:idx val="5"/>
              <c:layout>
                <c:manualLayout>
                  <c:x val="-1.9625027875429916E-2"/>
                  <c:y val="-5.1856797900262465E-2"/>
                </c:manualLayout>
              </c:layout>
              <c:tx>
                <c:rich>
                  <a:bodyPr/>
                  <a:lstStyle/>
                  <a:p>
                    <a:r>
                      <a:rPr lang="en-US"/>
                      <a:t>2011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6521-402C-A2E9-13ADB5116B2C}"/>
                </c:ext>
              </c:extLst>
            </c:dLbl>
            <c:dLbl>
              <c:idx val="6"/>
              <c:layout>
                <c:manualLayout>
                  <c:x val="-6.6712906940852856E-2"/>
                  <c:y val="-4.9078157039401084E-2"/>
                </c:manualLayout>
              </c:layout>
              <c:tx>
                <c:rich>
                  <a:bodyPr/>
                  <a:lstStyle/>
                  <a:p>
                    <a:r>
                      <a:rPr lang="en-US"/>
                      <a:t>2012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6521-402C-A2E9-13ADB5116B2C}"/>
                </c:ext>
              </c:extLst>
            </c:dLbl>
            <c:dLbl>
              <c:idx val="7"/>
              <c:layout>
                <c:manualLayout>
                  <c:x val="5.3370325552682292E-3"/>
                  <c:y val="2.6145244036002206E-2"/>
                </c:manualLayout>
              </c:layout>
              <c:tx>
                <c:rich>
                  <a:bodyPr/>
                  <a:lstStyle/>
                  <a:p>
                    <a:r>
                      <a:rPr lang="en-US"/>
                      <a:t>2013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6521-402C-A2E9-13ADB5116B2C}"/>
                </c:ext>
              </c:extLst>
            </c:dLbl>
            <c:dLbl>
              <c:idx val="8"/>
              <c:layout>
                <c:manualLayout>
                  <c:x val="-0.14745458797848288"/>
                  <c:y val="8.2034225721784773E-2"/>
                </c:manualLayout>
              </c:layout>
              <c:tx>
                <c:rich>
                  <a:bodyPr/>
                  <a:lstStyle/>
                  <a:p>
                    <a:r>
                      <a:rPr lang="en-US"/>
                      <a:t>2014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6521-402C-A2E9-13ADB5116B2C}"/>
                </c:ext>
              </c:extLst>
            </c:dLbl>
            <c:dLbl>
              <c:idx val="9"/>
              <c:tx>
                <c:rich>
                  <a:bodyPr/>
                  <a:lstStyle/>
                  <a:p>
                    <a:r>
                      <a:rPr lang="en-US"/>
                      <a:t>2015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6521-402C-A2E9-13ADB5116B2C}"/>
                </c:ext>
              </c:extLst>
            </c:dLbl>
            <c:dLbl>
              <c:idx val="10"/>
              <c:layout>
                <c:manualLayout>
                  <c:x val="-2.1348125735417816E-2"/>
                  <c:y val="7.0193690025747005E-2"/>
                </c:manualLayout>
              </c:layout>
              <c:tx>
                <c:rich>
                  <a:bodyPr/>
                  <a:lstStyle/>
                  <a:p>
                    <a:r>
                      <a:rPr lang="en-US"/>
                      <a:t>2016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6521-402C-A2E9-13ADB5116B2C}"/>
                </c:ext>
              </c:extLst>
            </c:dLbl>
            <c:dLbl>
              <c:idx val="11"/>
              <c:layout>
                <c:manualLayout>
                  <c:x val="-9.4816348509049769E-2"/>
                  <c:y val="-4.9078005249343831E-2"/>
                </c:manualLayout>
              </c:layout>
              <c:tx>
                <c:rich>
                  <a:bodyPr/>
                  <a:lstStyle/>
                  <a:p>
                    <a:r>
                      <a:rPr lang="en-US"/>
                      <a:t>2017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6521-402C-A2E9-13ADB5116B2C}"/>
                </c:ext>
              </c:extLst>
            </c:dLbl>
            <c:dLbl>
              <c:idx val="12"/>
              <c:layout>
                <c:manualLayout>
                  <c:x val="-8.5392520884291667E-2"/>
                  <c:y val="-2.2410209173716247E-2"/>
                </c:manualLayout>
              </c:layout>
              <c:tx>
                <c:rich>
                  <a:bodyPr/>
                  <a:lstStyle/>
                  <a:p>
                    <a:r>
                      <a:rPr lang="en-US"/>
                      <a:t>2018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6521-402C-A2E9-13ADB5116B2C}"/>
                </c:ext>
              </c:extLst>
            </c:dLbl>
            <c:dLbl>
              <c:idx val="13"/>
              <c:layout>
                <c:manualLayout>
                  <c:x val="-4.2696260442145785E-2"/>
                  <c:y val="-7.0965662383434602E-2"/>
                </c:manualLayout>
              </c:layout>
              <c:tx>
                <c:rich>
                  <a:bodyPr/>
                  <a:lstStyle/>
                  <a:p>
                    <a:r>
                      <a:rPr lang="en-US"/>
                      <a:t>2019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6521-402C-A2E9-13ADB5116B2C}"/>
                </c:ext>
              </c:extLst>
            </c:dLbl>
            <c:dLbl>
              <c:idx val="14"/>
              <c:tx>
                <c:rich>
                  <a:bodyPr/>
                  <a:lstStyle/>
                  <a:p>
                    <a:r>
                      <a:rPr lang="en-US"/>
                      <a:t>2020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6521-402C-A2E9-13ADB5116B2C}"/>
                </c:ext>
              </c:extLst>
            </c:dLbl>
            <c:dLbl>
              <c:idx val="15"/>
              <c:layout>
                <c:manualLayout>
                  <c:x val="1.0674062867708761E-2"/>
                  <c:y val="-3.2622739847777804E-2"/>
                </c:manualLayout>
              </c:layout>
              <c:tx>
                <c:rich>
                  <a:bodyPr/>
                  <a:lstStyle/>
                  <a:p>
                    <a:r>
                      <a:rPr lang="en-US"/>
                      <a:t>2021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6521-402C-A2E9-13ADB5116B2C}"/>
                </c:ext>
              </c:extLst>
            </c:dLbl>
            <c:dLbl>
              <c:idx val="16"/>
              <c:tx>
                <c:rich>
                  <a:bodyPr rot="0" spcFirstLastPara="1" vertOverflow="ellipsis" horzOverflow="clip" vert="horz" wrap="square" lIns="38100" tIns="19050" rIns="38100" bIns="19050" anchor="ctr" anchorCtr="1">
                    <a:noAutofit/>
                  </a:bodyPr>
                  <a:lstStyle/>
                  <a:p>
                    <a:pPr>
                      <a:defRPr sz="600" b="1" i="0" u="none" strike="noStrike" kern="1200" baseline="0">
                        <a:solidFill>
                          <a:srgbClr val="44546A"/>
                        </a:solidFill>
                        <a:latin typeface="+mn-lt"/>
                        <a:ea typeface="+mn-ea"/>
                        <a:cs typeface="+mn-cs"/>
                      </a:defRPr>
                    </a:pPr>
                    <a:r>
                      <a:rPr lang="en-US" sz="600"/>
                      <a:t>2022</a:t>
                    </a:r>
                  </a:p>
                </c:rich>
              </c:tx>
              <c:spPr>
                <a:noFill/>
                <a:ln>
                  <a:noFill/>
                </a:ln>
                <a:effectLst/>
              </c:spPr>
              <c:txPr>
                <a:bodyPr rot="0" spcFirstLastPara="1" vertOverflow="ellipsis" horzOverflow="clip" vert="horz" wrap="square" lIns="38100" tIns="19050" rIns="38100" bIns="19050" anchor="ctr" anchorCtr="1">
                  <a:noAutofit/>
                </a:bodyPr>
                <a:lstStyle/>
                <a:p>
                  <a:pPr>
                    <a:defRPr sz="600" b="1" i="0" u="none" strike="noStrike" kern="1200" baseline="0">
                      <a:solidFill>
                        <a:srgbClr val="44546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showDataLabelsRange val="0"/>
                </c:ext>
                <c:ext xmlns:c16="http://schemas.microsoft.com/office/drawing/2014/chart" uri="{C3380CC4-5D6E-409C-BE32-E72D297353CC}">
                  <c16:uniqueId val="{00000010-6521-402C-A2E9-13ADB5116B2C}"/>
                </c:ext>
              </c:extLst>
            </c:dLbl>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rgbClr val="44546A"/>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'Grafikoni, CAB, Karakter'!$Z$12:$Z$28</c:f>
              <c:numCache>
                <c:formatCode>#,##0.0</c:formatCode>
                <c:ptCount val="17"/>
                <c:pt idx="0">
                  <c:v>-2.6737461957498145</c:v>
                </c:pt>
                <c:pt idx="1">
                  <c:v>0.76144962619904333</c:v>
                </c:pt>
                <c:pt idx="2">
                  <c:v>4.0495583627767351</c:v>
                </c:pt>
                <c:pt idx="3">
                  <c:v>-0.38543712835940225</c:v>
                </c:pt>
                <c:pt idx="4">
                  <c:v>-0.71613496525201303</c:v>
                </c:pt>
                <c:pt idx="5">
                  <c:v>0.51938165790308555</c:v>
                </c:pt>
                <c:pt idx="6">
                  <c:v>-0.84661749418884957</c:v>
                </c:pt>
                <c:pt idx="7">
                  <c:v>1.2225595734986152</c:v>
                </c:pt>
                <c:pt idx="8">
                  <c:v>-1.436775981412165</c:v>
                </c:pt>
                <c:pt idx="9">
                  <c:v>-1.1990135967667208</c:v>
                </c:pt>
                <c:pt idx="10">
                  <c:v>-5.1829638002909087E-2</c:v>
                </c:pt>
                <c:pt idx="11">
                  <c:v>-0.60546515518663058</c:v>
                </c:pt>
                <c:pt idx="12">
                  <c:v>0.79653635267688672</c:v>
                </c:pt>
                <c:pt idx="13">
                  <c:v>1.8635799194734897</c:v>
                </c:pt>
                <c:pt idx="14">
                  <c:v>-2.3760860359486364</c:v>
                </c:pt>
                <c:pt idx="15">
                  <c:v>1.2791705611337654</c:v>
                </c:pt>
                <c:pt idx="16">
                  <c:v>0.71711618700126611</c:v>
                </c:pt>
              </c:numCache>
            </c:numRef>
          </c:xVal>
          <c:yVal>
            <c:numRef>
              <c:f>'Grafikoni, CAB, Karakter'!$AA$12:$AA$28</c:f>
              <c:numCache>
                <c:formatCode>#,##0.0</c:formatCode>
                <c:ptCount val="17"/>
                <c:pt idx="0">
                  <c:v>1.2149612577117612</c:v>
                </c:pt>
                <c:pt idx="1">
                  <c:v>2.3089620151854122</c:v>
                </c:pt>
                <c:pt idx="2">
                  <c:v>1.8651095541579992</c:v>
                </c:pt>
                <c:pt idx="3">
                  <c:v>4.671939336292219E-2</c:v>
                </c:pt>
                <c:pt idx="4">
                  <c:v>-0.29363323314221068</c:v>
                </c:pt>
                <c:pt idx="5">
                  <c:v>0.42864599636251954</c:v>
                </c:pt>
                <c:pt idx="6">
                  <c:v>0.87125570186587753</c:v>
                </c:pt>
                <c:pt idx="7">
                  <c:v>-1.0408761723449285</c:v>
                </c:pt>
                <c:pt idx="8">
                  <c:v>-0.35651326790804827</c:v>
                </c:pt>
                <c:pt idx="9">
                  <c:v>-2.9848912567972792</c:v>
                </c:pt>
                <c:pt idx="10">
                  <c:v>-1.7681183523175903</c:v>
                </c:pt>
                <c:pt idx="11">
                  <c:v>-2.1266547052810747</c:v>
                </c:pt>
                <c:pt idx="12">
                  <c:v>1.3846955589582026</c:v>
                </c:pt>
                <c:pt idx="13">
                  <c:v>1.3345560062636346</c:v>
                </c:pt>
                <c:pt idx="14">
                  <c:v>6.3284894389493722</c:v>
                </c:pt>
                <c:pt idx="15">
                  <c:v>-2.3778625816921455</c:v>
                </c:pt>
                <c:pt idx="16">
                  <c:v>-0.39800322817536982</c:v>
                </c:pt>
              </c:numCache>
            </c:numRef>
          </c:yVal>
          <c:smooth val="1"/>
          <c:extLst>
            <c:ext xmlns:c16="http://schemas.microsoft.com/office/drawing/2014/chart" uri="{C3380CC4-5D6E-409C-BE32-E72D297353CC}">
              <c16:uniqueId val="{00000011-6521-402C-A2E9-13ADB5116B2C}"/>
            </c:ext>
          </c:extLst>
        </c:ser>
        <c:dLbls>
          <c:showLegendKey val="0"/>
          <c:showVal val="0"/>
          <c:showCatName val="0"/>
          <c:showSerName val="0"/>
          <c:showPercent val="0"/>
          <c:showBubbleSize val="0"/>
        </c:dLbls>
        <c:axId val="220401872"/>
        <c:axId val="343751600"/>
      </c:scatterChart>
      <c:valAx>
        <c:axId val="220401872"/>
        <c:scaling>
          <c:orientation val="minMax"/>
          <c:max val="5"/>
          <c:min val="-4"/>
        </c:scaling>
        <c:delete val="0"/>
        <c:axPos val="b"/>
        <c:majorGridlines>
          <c:spPr>
            <a:ln w="12700" cap="flat" cmpd="sng" algn="ctr">
              <a:noFill/>
              <a:round/>
            </a:ln>
            <a:effectLst/>
          </c:spPr>
        </c:majorGridlines>
        <c:title>
          <c:tx>
            <c:rich>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r>
                  <a:rPr lang="sr-Cyrl-CS" sz="700" b="1">
                    <a:solidFill>
                      <a:srgbClr val="44546A"/>
                    </a:solidFill>
                    <a:latin typeface="+mn-lt"/>
                  </a:rPr>
                  <a:t>Производни јаз</a:t>
                </a:r>
              </a:p>
            </c:rich>
          </c:tx>
          <c:layout>
            <c:manualLayout>
              <c:xMode val="edge"/>
              <c:yMode val="edge"/>
              <c:x val="0.81662355366943062"/>
              <c:y val="0.60760870716032656"/>
            </c:manualLayout>
          </c:layout>
          <c:overlay val="0"/>
          <c:spPr>
            <a:noFill/>
            <a:ln>
              <a:noFill/>
            </a:ln>
            <a:effectLst/>
          </c:spPr>
          <c:txPr>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en-US"/>
            </a:p>
          </c:txPr>
        </c:title>
        <c:numFmt formatCode="#,##0" sourceLinked="0"/>
        <c:majorTickMark val="none"/>
        <c:minorTickMark val="none"/>
        <c:tickLblPos val="nextTo"/>
        <c:spPr>
          <a:noFill/>
          <a:ln w="9525" cap="flat" cmpd="sng" algn="ctr">
            <a:solidFill>
              <a:srgbClr val="D9D9D9"/>
            </a:solidFill>
            <a:round/>
          </a:ln>
          <a:effectLst/>
        </c:spPr>
        <c:txPr>
          <a:bodyPr rot="-6000000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en-US"/>
          </a:p>
        </c:txPr>
        <c:crossAx val="343751600"/>
        <c:crosses val="autoZero"/>
        <c:crossBetween val="midCat"/>
      </c:valAx>
      <c:valAx>
        <c:axId val="343751600"/>
        <c:scaling>
          <c:orientation val="minMax"/>
          <c:max val="7.5"/>
          <c:min val="-4"/>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00" b="1" i="0" u="none" strike="noStrike" kern="1200" baseline="0">
                    <a:solidFill>
                      <a:srgbClr val="44546A"/>
                    </a:solidFill>
                    <a:latin typeface="+mn-lt"/>
                    <a:ea typeface="+mn-ea"/>
                    <a:cs typeface="+mn-cs"/>
                  </a:defRPr>
                </a:pPr>
                <a:r>
                  <a:rPr lang="sr-Cyrl-CS" sz="700" b="1">
                    <a:solidFill>
                      <a:srgbClr val="44546A"/>
                    </a:solidFill>
                    <a:latin typeface="+mn-lt"/>
                  </a:rPr>
                  <a:t>Фискални импулс</a:t>
                </a:r>
                <a:endParaRPr lang="en-GB" sz="700" b="1">
                  <a:solidFill>
                    <a:srgbClr val="44546A"/>
                  </a:solidFill>
                  <a:latin typeface="+mn-lt"/>
                </a:endParaRPr>
              </a:p>
            </c:rich>
          </c:tx>
          <c:layout>
            <c:manualLayout>
              <c:xMode val="edge"/>
              <c:yMode val="edge"/>
              <c:x val="2.4160518963451004E-3"/>
              <c:y val="0.40503097112860886"/>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rgbClr val="44546A"/>
                  </a:solidFill>
                  <a:latin typeface="+mn-lt"/>
                  <a:ea typeface="+mn-ea"/>
                  <a:cs typeface="+mn-cs"/>
                </a:defRPr>
              </a:pPr>
              <a:endParaRPr lang="en-US"/>
            </a:p>
          </c:txPr>
        </c:title>
        <c:numFmt formatCode="#,##0" sourceLinked="0"/>
        <c:majorTickMark val="none"/>
        <c:minorTickMark val="none"/>
        <c:tickLblPos val="nextTo"/>
        <c:spPr>
          <a:noFill/>
          <a:ln w="9525">
            <a:solidFill>
              <a:srgbClr val="D9D9D9"/>
            </a:solid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22040187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aseline="0">
          <a:latin typeface="Cambria" panose="02040503050406030204" pitchFamily="18" charset="0"/>
        </a:defRPr>
      </a:pPr>
      <a:endParaRPr lang="en-US"/>
    </a:p>
  </c:txPr>
  <c:externalData r:id="rId4">
    <c:autoUpdate val="0"/>
  </c:externalData>
  <c:userShapes r:id="rId5"/>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79098232108507"/>
          <c:y val="3.1884221643609288E-2"/>
          <c:w val="0.83904808353019888"/>
          <c:h val="0.81374254200939145"/>
        </c:manualLayout>
      </c:layout>
      <c:barChart>
        <c:barDir val="col"/>
        <c:grouping val="clustered"/>
        <c:varyColors val="0"/>
        <c:ser>
          <c:idx val="0"/>
          <c:order val="0"/>
          <c:spPr>
            <a:solidFill>
              <a:schemeClr val="accent1"/>
            </a:solidFill>
            <a:ln w="25400">
              <a:solidFill>
                <a:schemeClr val="accent1"/>
              </a:solidFill>
            </a:ln>
            <a:effectLst/>
          </c:spPr>
          <c:invertIfNegative val="0"/>
          <c:dLbls>
            <c:dLbl>
              <c:idx val="12"/>
              <c:layout>
                <c:manualLayout>
                  <c:x val="-9.2102233479163555E-3"/>
                  <c:y val="-5.312084993359942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D4-40F8-9C42-67BFE568F4E7}"/>
                </c:ext>
              </c:extLst>
            </c:dLbl>
            <c:dLbl>
              <c:idx val="13"/>
              <c:layout>
                <c:manualLayout>
                  <c:x val="0"/>
                  <c:y val="7.5871990104822555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7D4-40F8-9C42-67BFE568F4E7}"/>
                </c:ext>
              </c:extLst>
            </c:dLbl>
            <c:dLbl>
              <c:idx val="14"/>
              <c:layout>
                <c:manualLayout>
                  <c:x val="9.2102233479161872E-3"/>
                  <c:y val="5.312084993359844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7D4-40F8-9C42-67BFE568F4E7}"/>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'Сценарио 1'!$C$79:$C$93</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'Сценарио 1'!$D$79:$D$93</c:f>
              <c:numCache>
                <c:formatCode>0.0</c:formatCode>
                <c:ptCount val="15"/>
                <c:pt idx="0">
                  <c:v>28.7</c:v>
                </c:pt>
                <c:pt idx="1">
                  <c:v>32.799999999999997</c:v>
                </c:pt>
                <c:pt idx="2">
                  <c:v>41.4</c:v>
                </c:pt>
                <c:pt idx="3">
                  <c:v>44.687403264025434</c:v>
                </c:pt>
                <c:pt idx="4">
                  <c:v>54.584451229535397</c:v>
                </c:pt>
                <c:pt idx="5">
                  <c:v>57.483723765998221</c:v>
                </c:pt>
                <c:pt idx="6">
                  <c:v>67.495119111541086</c:v>
                </c:pt>
                <c:pt idx="7">
                  <c:v>71.199826072534094</c:v>
                </c:pt>
                <c:pt idx="8">
                  <c:v>68.7</c:v>
                </c:pt>
                <c:pt idx="9">
                  <c:v>58.6</c:v>
                </c:pt>
                <c:pt idx="10">
                  <c:v>54.4</c:v>
                </c:pt>
                <c:pt idx="11">
                  <c:v>52.8</c:v>
                </c:pt>
                <c:pt idx="12" formatCode="General">
                  <c:v>57.8</c:v>
                </c:pt>
                <c:pt idx="13" formatCode="General">
                  <c:v>57.1</c:v>
                </c:pt>
                <c:pt idx="14">
                  <c:v>56.9</c:v>
                </c:pt>
              </c:numCache>
            </c:numRef>
          </c:val>
          <c:extLst>
            <c:ext xmlns:c16="http://schemas.microsoft.com/office/drawing/2014/chart" uri="{C3380CC4-5D6E-409C-BE32-E72D297353CC}">
              <c16:uniqueId val="{00000000-27D4-40F8-9C42-67BFE568F4E7}"/>
            </c:ext>
          </c:extLst>
        </c:ser>
        <c:dLbls>
          <c:showLegendKey val="0"/>
          <c:showVal val="0"/>
          <c:showCatName val="0"/>
          <c:showSerName val="0"/>
          <c:showPercent val="0"/>
          <c:showBubbleSize val="0"/>
        </c:dLbls>
        <c:gapWidth val="57"/>
        <c:axId val="582077168"/>
        <c:axId val="582077584"/>
      </c:barChart>
      <c:catAx>
        <c:axId val="58207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582077584"/>
        <c:crosses val="autoZero"/>
        <c:auto val="1"/>
        <c:lblAlgn val="ctr"/>
        <c:lblOffset val="100"/>
        <c:noMultiLvlLbl val="0"/>
      </c:catAx>
      <c:valAx>
        <c:axId val="582077584"/>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2"/>
                    </a:solidFill>
                    <a:latin typeface="+mn-lt"/>
                    <a:ea typeface="+mn-ea"/>
                    <a:cs typeface="+mn-cs"/>
                  </a:defRPr>
                </a:pPr>
                <a:r>
                  <a:rPr lang="sr-Cyrl-RS" sz="800">
                    <a:solidFill>
                      <a:schemeClr val="tx2"/>
                    </a:solidFill>
                  </a:rPr>
                  <a:t>% БДП</a:t>
                </a:r>
              </a:p>
            </c:rich>
          </c:tx>
          <c:layout>
            <c:manualLayout>
              <c:xMode val="edge"/>
              <c:yMode val="edge"/>
              <c:x val="3.2322807450127894E-3"/>
              <c:y val="0.38428835837751357"/>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5820771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21950427967166"/>
          <c:y val="5.0621986652026364E-2"/>
          <c:w val="0.8511653289482034"/>
          <c:h val="0.90664979271278157"/>
        </c:manualLayout>
      </c:layout>
      <c:lineChart>
        <c:grouping val="standard"/>
        <c:varyColors val="0"/>
        <c:ser>
          <c:idx val="0"/>
          <c:order val="0"/>
          <c:tx>
            <c:strRef>
              <c:f>'Quaterly, Yearly'!$CM$5</c:f>
              <c:strCache>
                <c:ptCount val="1"/>
                <c:pt idx="0">
                  <c:v>Примарни резултат који стабилизује учешће дуга у БДП</c:v>
                </c:pt>
              </c:strCache>
            </c:strRef>
          </c:tx>
          <c:spPr>
            <a:ln w="25400" cap="rnd">
              <a:solidFill>
                <a:schemeClr val="accent1"/>
              </a:solidFill>
              <a:round/>
            </a:ln>
            <a:effectLst/>
          </c:spPr>
          <c:marker>
            <c:symbol val="none"/>
          </c:marker>
          <c:cat>
            <c:strRef>
              <c:f>'Quaterly, Yearly'!$DB$7:$DL$8</c:f>
              <c:strCache>
                <c:ptCount val="11"/>
                <c:pt idx="0">
                  <c:v>2015</c:v>
                </c:pt>
                <c:pt idx="1">
                  <c:v>2016</c:v>
                </c:pt>
                <c:pt idx="2">
                  <c:v>2017</c:v>
                </c:pt>
                <c:pt idx="3">
                  <c:v>2018</c:v>
                </c:pt>
                <c:pt idx="4">
                  <c:v>2019</c:v>
                </c:pt>
                <c:pt idx="5">
                  <c:v>2020</c:v>
                </c:pt>
                <c:pt idx="6">
                  <c:v>2021</c:v>
                </c:pt>
                <c:pt idx="7">
                  <c:v>2022</c:v>
                </c:pt>
                <c:pt idx="8">
                  <c:v>2023</c:v>
                </c:pt>
                <c:pt idx="9">
                  <c:v>2024</c:v>
                </c:pt>
                <c:pt idx="10">
                  <c:v>2025</c:v>
                </c:pt>
              </c:strCache>
            </c:strRef>
          </c:cat>
          <c:val>
            <c:numRef>
              <c:f>('Quaterly, Yearly'!$DB$5:$DK$5,'Quaterly, Yearly'!$DL$5)</c:f>
              <c:numCache>
                <c:formatCode>#,##0.00</c:formatCode>
                <c:ptCount val="11"/>
                <c:pt idx="0">
                  <c:v>0.33469487792738534</c:v>
                </c:pt>
                <c:pt idx="1">
                  <c:v>-0.48152612519681304</c:v>
                </c:pt>
                <c:pt idx="2">
                  <c:v>-0.51643690674312936</c:v>
                </c:pt>
                <c:pt idx="3">
                  <c:v>-1.440661646189574</c:v>
                </c:pt>
                <c:pt idx="4">
                  <c:v>-1.563465039272079</c:v>
                </c:pt>
                <c:pt idx="5">
                  <c:v>1.0106948845758126</c:v>
                </c:pt>
                <c:pt idx="6">
                  <c:v>-5.5172705327614562</c:v>
                </c:pt>
                <c:pt idx="7">
                  <c:v>-5.101838209696397</c:v>
                </c:pt>
                <c:pt idx="8">
                  <c:v>-5.0558884816654892</c:v>
                </c:pt>
                <c:pt idx="9">
                  <c:v>-2.886004099644305</c:v>
                </c:pt>
                <c:pt idx="10">
                  <c:v>-2.4898038078924527</c:v>
                </c:pt>
              </c:numCache>
            </c:numRef>
          </c:val>
          <c:smooth val="0"/>
          <c:extLst>
            <c:ext xmlns:c16="http://schemas.microsoft.com/office/drawing/2014/chart" uri="{C3380CC4-5D6E-409C-BE32-E72D297353CC}">
              <c16:uniqueId val="{00000000-7EB6-4524-8116-73234358BF31}"/>
            </c:ext>
          </c:extLst>
        </c:ser>
        <c:ser>
          <c:idx val="1"/>
          <c:order val="1"/>
          <c:tx>
            <c:v>Остварени (пројектовани) примарни фискални резултат</c:v>
          </c:tx>
          <c:spPr>
            <a:ln w="25400" cap="rnd">
              <a:solidFill>
                <a:schemeClr val="accent2"/>
              </a:solidFill>
              <a:prstDash val="sysDash"/>
              <a:round/>
            </a:ln>
            <a:effectLst/>
          </c:spPr>
          <c:marker>
            <c:symbol val="none"/>
          </c:marker>
          <c:cat>
            <c:strRef>
              <c:f>'Quaterly, Yearly'!$DB$7:$DL$8</c:f>
              <c:strCache>
                <c:ptCount val="11"/>
                <c:pt idx="0">
                  <c:v>2015</c:v>
                </c:pt>
                <c:pt idx="1">
                  <c:v>2016</c:v>
                </c:pt>
                <c:pt idx="2">
                  <c:v>2017</c:v>
                </c:pt>
                <c:pt idx="3">
                  <c:v>2018</c:v>
                </c:pt>
                <c:pt idx="4">
                  <c:v>2019</c:v>
                </c:pt>
                <c:pt idx="5">
                  <c:v>2020</c:v>
                </c:pt>
                <c:pt idx="6">
                  <c:v>2021</c:v>
                </c:pt>
                <c:pt idx="7">
                  <c:v>2022</c:v>
                </c:pt>
                <c:pt idx="8">
                  <c:v>2023</c:v>
                </c:pt>
                <c:pt idx="9">
                  <c:v>2024</c:v>
                </c:pt>
                <c:pt idx="10">
                  <c:v>2025</c:v>
                </c:pt>
              </c:strCache>
            </c:strRef>
          </c:cat>
          <c:val>
            <c:numRef>
              <c:f>'Quaterly, Yearly'!$DB$61:$DL$61</c:f>
              <c:numCache>
                <c:formatCode>#,##0.0</c:formatCode>
                <c:ptCount val="11"/>
                <c:pt idx="0">
                  <c:v>-0.47061316203530046</c:v>
                </c:pt>
                <c:pt idx="1">
                  <c:v>1.7045650732845505</c:v>
                </c:pt>
                <c:pt idx="2">
                  <c:v>3.634771068549187</c:v>
                </c:pt>
                <c:pt idx="3">
                  <c:v>2.7475533250713307</c:v>
                </c:pt>
                <c:pt idx="4">
                  <c:v>1.7916206652556272</c:v>
                </c:pt>
                <c:pt idx="5">
                  <c:v>-6.0431380560869226</c:v>
                </c:pt>
                <c:pt idx="6">
                  <c:v>-2.404213120233746</c:v>
                </c:pt>
                <c:pt idx="7" formatCode="0.00">
                  <c:v>-1.2759274594768921</c:v>
                </c:pt>
                <c:pt idx="8" formatCode="0.00">
                  <c:v>9.7570893866996758E-2</c:v>
                </c:pt>
                <c:pt idx="9" formatCode="0.00">
                  <c:v>0.6181124045809222</c:v>
                </c:pt>
                <c:pt idx="10" formatCode="0.00">
                  <c:v>1.0713343155032191</c:v>
                </c:pt>
              </c:numCache>
            </c:numRef>
          </c:val>
          <c:smooth val="0"/>
          <c:extLst>
            <c:ext xmlns:c16="http://schemas.microsoft.com/office/drawing/2014/chart" uri="{C3380CC4-5D6E-409C-BE32-E72D297353CC}">
              <c16:uniqueId val="{00000001-7EB6-4524-8116-73234358BF31}"/>
            </c:ext>
          </c:extLst>
        </c:ser>
        <c:dLbls>
          <c:showLegendKey val="0"/>
          <c:showVal val="0"/>
          <c:showCatName val="0"/>
          <c:showSerName val="0"/>
          <c:showPercent val="0"/>
          <c:showBubbleSize val="0"/>
        </c:dLbls>
        <c:smooth val="0"/>
        <c:axId val="519226144"/>
        <c:axId val="519226704"/>
      </c:lineChart>
      <c:catAx>
        <c:axId val="51922614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519226704"/>
        <c:crosses val="autoZero"/>
        <c:auto val="1"/>
        <c:lblAlgn val="ctr"/>
        <c:lblOffset val="100"/>
        <c:noMultiLvlLbl val="0"/>
      </c:catAx>
      <c:valAx>
        <c:axId val="51922670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sr-Cyrl-RS" sz="800">
                    <a:latin typeface="+mn-lt"/>
                  </a:rPr>
                  <a:t>% БДП</a:t>
                </a:r>
                <a:endParaRPr lang="en-US" sz="800">
                  <a:latin typeface="+mn-lt"/>
                </a:endParaRPr>
              </a:p>
            </c:rich>
          </c:tx>
          <c:layout>
            <c:manualLayout>
              <c:xMode val="edge"/>
              <c:yMode val="edge"/>
              <c:x val="8.5941536838173849E-3"/>
              <c:y val="0.3882803149606299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19226144"/>
        <c:crosses val="autoZero"/>
        <c:crossBetween val="between"/>
      </c:valAx>
      <c:spPr>
        <a:noFill/>
        <a:ln>
          <a:noFill/>
        </a:ln>
        <a:effectLst/>
      </c:spPr>
    </c:plotArea>
    <c:legend>
      <c:legendPos val="r"/>
      <c:layout>
        <c:manualLayout>
          <c:xMode val="edge"/>
          <c:yMode val="edge"/>
          <c:x val="0.43440888677770906"/>
          <c:y val="4.4762640649801927E-2"/>
          <c:w val="0.5619947748299825"/>
          <c:h val="0.272246108771287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28014727325751"/>
          <c:y val="2.9912556166267597E-2"/>
          <c:w val="0.87356153397491976"/>
          <c:h val="0.69942351376481526"/>
        </c:manualLayout>
      </c:layout>
      <c:lineChart>
        <c:grouping val="standard"/>
        <c:varyColors val="0"/>
        <c:ser>
          <c:idx val="3"/>
          <c:order val="0"/>
          <c:tx>
            <c:strRef>
              <c:f>'manje prilg + manji rast'!$B$33</c:f>
              <c:strCache>
                <c:ptCount val="1"/>
                <c:pt idx="0">
                  <c:v>Успорен раст након 2025, фискална експанзија</c:v>
                </c:pt>
              </c:strCache>
            </c:strRef>
          </c:tx>
          <c:spPr>
            <a:ln w="22225" cap="rnd">
              <a:solidFill>
                <a:srgbClr val="FF0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8B02-4365-9D1B-65A523D73DC1}"/>
                </c:ext>
              </c:extLst>
            </c:dLbl>
            <c:dLbl>
              <c:idx val="1"/>
              <c:delete val="1"/>
              <c:extLst>
                <c:ext xmlns:c15="http://schemas.microsoft.com/office/drawing/2012/chart" uri="{CE6537A1-D6FC-4f65-9D91-7224C49458BB}"/>
                <c:ext xmlns:c16="http://schemas.microsoft.com/office/drawing/2014/chart" uri="{C3380CC4-5D6E-409C-BE32-E72D297353CC}">
                  <c16:uniqueId val="{00000001-8B02-4365-9D1B-65A523D73DC1}"/>
                </c:ext>
              </c:extLst>
            </c:dLbl>
            <c:dLbl>
              <c:idx val="2"/>
              <c:delete val="1"/>
              <c:extLst>
                <c:ext xmlns:c15="http://schemas.microsoft.com/office/drawing/2012/chart" uri="{CE6537A1-D6FC-4f65-9D91-7224C49458BB}"/>
                <c:ext xmlns:c16="http://schemas.microsoft.com/office/drawing/2014/chart" uri="{C3380CC4-5D6E-409C-BE32-E72D297353CC}">
                  <c16:uniqueId val="{00000002-8B02-4365-9D1B-65A523D73DC1}"/>
                </c:ext>
              </c:extLst>
            </c:dLbl>
            <c:dLbl>
              <c:idx val="3"/>
              <c:delete val="1"/>
              <c:extLst>
                <c:ext xmlns:c15="http://schemas.microsoft.com/office/drawing/2012/chart" uri="{CE6537A1-D6FC-4f65-9D91-7224C49458BB}"/>
                <c:ext xmlns:c16="http://schemas.microsoft.com/office/drawing/2014/chart" uri="{C3380CC4-5D6E-409C-BE32-E72D297353CC}">
                  <c16:uniqueId val="{00000003-8B02-4365-9D1B-65A523D73DC1}"/>
                </c:ext>
              </c:extLst>
            </c:dLbl>
            <c:dLbl>
              <c:idx val="4"/>
              <c:delete val="1"/>
              <c:extLst>
                <c:ext xmlns:c15="http://schemas.microsoft.com/office/drawing/2012/chart" uri="{CE6537A1-D6FC-4f65-9D91-7224C49458BB}"/>
                <c:ext xmlns:c16="http://schemas.microsoft.com/office/drawing/2014/chart" uri="{C3380CC4-5D6E-409C-BE32-E72D297353CC}">
                  <c16:uniqueId val="{00000004-8B02-4365-9D1B-65A523D73DC1}"/>
                </c:ext>
              </c:extLst>
            </c:dLbl>
            <c:dLbl>
              <c:idx val="5"/>
              <c:delete val="1"/>
              <c:extLst>
                <c:ext xmlns:c15="http://schemas.microsoft.com/office/drawing/2012/chart" uri="{CE6537A1-D6FC-4f65-9D91-7224C49458BB}"/>
                <c:ext xmlns:c16="http://schemas.microsoft.com/office/drawing/2014/chart" uri="{C3380CC4-5D6E-409C-BE32-E72D297353CC}">
                  <c16:uniqueId val="{00000005-8B02-4365-9D1B-65A523D73DC1}"/>
                </c:ext>
              </c:extLst>
            </c:dLbl>
            <c:dLbl>
              <c:idx val="6"/>
              <c:delete val="1"/>
              <c:extLst>
                <c:ext xmlns:c15="http://schemas.microsoft.com/office/drawing/2012/chart" uri="{CE6537A1-D6FC-4f65-9D91-7224C49458BB}"/>
                <c:ext xmlns:c16="http://schemas.microsoft.com/office/drawing/2014/chart" uri="{C3380CC4-5D6E-409C-BE32-E72D297353CC}">
                  <c16:uniqueId val="{00000006-8B02-4365-9D1B-65A523D73DC1}"/>
                </c:ext>
              </c:extLst>
            </c:dLbl>
            <c:dLbl>
              <c:idx val="7"/>
              <c:delete val="1"/>
              <c:extLst>
                <c:ext xmlns:c15="http://schemas.microsoft.com/office/drawing/2012/chart" uri="{CE6537A1-D6FC-4f65-9D91-7224C49458BB}"/>
                <c:ext xmlns:c16="http://schemas.microsoft.com/office/drawing/2014/chart" uri="{C3380CC4-5D6E-409C-BE32-E72D297353CC}">
                  <c16:uniqueId val="{00000007-8B02-4365-9D1B-65A523D73DC1}"/>
                </c:ext>
              </c:extLst>
            </c:dLbl>
            <c:dLbl>
              <c:idx val="8"/>
              <c:delete val="1"/>
              <c:extLst>
                <c:ext xmlns:c15="http://schemas.microsoft.com/office/drawing/2012/chart" uri="{CE6537A1-D6FC-4f65-9D91-7224C49458BB}"/>
                <c:ext xmlns:c16="http://schemas.microsoft.com/office/drawing/2014/chart" uri="{C3380CC4-5D6E-409C-BE32-E72D297353CC}">
                  <c16:uniqueId val="{00000008-8B02-4365-9D1B-65A523D73DC1}"/>
                </c:ext>
              </c:extLst>
            </c:dLbl>
            <c:dLbl>
              <c:idx val="9"/>
              <c:layout>
                <c:manualLayout>
                  <c:x val="-1.015228426395939E-2"/>
                  <c:y val="-4.30621847333817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B02-4365-9D1B-65A523D73DC1}"/>
                </c:ext>
              </c:extLst>
            </c:dLbl>
            <c:dLbl>
              <c:idx val="10"/>
              <c:delete val="1"/>
              <c:extLst>
                <c:ext xmlns:c15="http://schemas.microsoft.com/office/drawing/2012/chart" uri="{CE6537A1-D6FC-4f65-9D91-7224C49458BB}"/>
                <c:ext xmlns:c16="http://schemas.microsoft.com/office/drawing/2014/chart" uri="{C3380CC4-5D6E-409C-BE32-E72D297353CC}">
                  <c16:uniqueId val="{0000000A-8B02-4365-9D1B-65A523D73DC1}"/>
                </c:ext>
              </c:extLst>
            </c:dLbl>
            <c:dLbl>
              <c:idx val="11"/>
              <c:delete val="1"/>
              <c:extLst>
                <c:ext xmlns:c15="http://schemas.microsoft.com/office/drawing/2012/chart" uri="{CE6537A1-D6FC-4f65-9D91-7224C49458BB}"/>
                <c:ext xmlns:c16="http://schemas.microsoft.com/office/drawing/2014/chart" uri="{C3380CC4-5D6E-409C-BE32-E72D297353CC}">
                  <c16:uniqueId val="{0000000B-8B02-4365-9D1B-65A523D73DC1}"/>
                </c:ext>
              </c:extLst>
            </c:dLbl>
            <c:dLbl>
              <c:idx val="12"/>
              <c:delete val="1"/>
              <c:extLst>
                <c:ext xmlns:c15="http://schemas.microsoft.com/office/drawing/2012/chart" uri="{CE6537A1-D6FC-4f65-9D91-7224C49458BB}"/>
                <c:ext xmlns:c16="http://schemas.microsoft.com/office/drawing/2014/chart" uri="{C3380CC4-5D6E-409C-BE32-E72D297353CC}">
                  <c16:uniqueId val="{0000000C-8B02-4365-9D1B-65A523D73DC1}"/>
                </c:ext>
              </c:extLst>
            </c:dLbl>
            <c:dLbl>
              <c:idx val="13"/>
              <c:layout>
                <c:manualLayout>
                  <c:x val="-7.4257428637148227E-3"/>
                  <c:y val="-5.741624631117623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B02-4365-9D1B-65A523D73DC1}"/>
                </c:ext>
              </c:extLst>
            </c:dLbl>
            <c:dLbl>
              <c:idx val="14"/>
              <c:layout>
                <c:manualLayout>
                  <c:x val="-1.6042785477262247E-2"/>
                  <c:y val="-3.6099270150451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B02-4365-9D1B-65A523D73DC1}"/>
                </c:ext>
              </c:extLst>
            </c:dLbl>
            <c:dLbl>
              <c:idx val="15"/>
              <c:delete val="1"/>
              <c:extLst>
                <c:ext xmlns:c15="http://schemas.microsoft.com/office/drawing/2012/chart" uri="{CE6537A1-D6FC-4f65-9D91-7224C49458BB}"/>
                <c:ext xmlns:c16="http://schemas.microsoft.com/office/drawing/2014/chart" uri="{C3380CC4-5D6E-409C-BE32-E72D297353CC}">
                  <c16:uniqueId val="{0000000F-8B02-4365-9D1B-65A523D73DC1}"/>
                </c:ext>
              </c:extLst>
            </c:dLbl>
            <c:dLbl>
              <c:idx val="16"/>
              <c:delete val="1"/>
              <c:extLst>
                <c:ext xmlns:c15="http://schemas.microsoft.com/office/drawing/2012/chart" uri="{CE6537A1-D6FC-4f65-9D91-7224C49458BB}"/>
                <c:ext xmlns:c16="http://schemas.microsoft.com/office/drawing/2014/chart" uri="{C3380CC4-5D6E-409C-BE32-E72D297353CC}">
                  <c16:uniqueId val="{00000010-8B02-4365-9D1B-65A523D73DC1}"/>
                </c:ext>
              </c:extLst>
            </c:dLbl>
            <c:dLbl>
              <c:idx val="17"/>
              <c:layout>
                <c:manualLayout>
                  <c:x val="-2.4170619721703136E-2"/>
                  <c:y val="-3.9107542662989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B02-4365-9D1B-65A523D73DC1}"/>
                </c:ext>
              </c:extLst>
            </c:dLbl>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1'!$C$33:$L$33</c:f>
              <c:numCache>
                <c:formatCode>General</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'manje prilg + manji rast'!$C$39:$L$39</c:f>
              <c:numCache>
                <c:formatCode>#,##0.0</c:formatCode>
                <c:ptCount val="10"/>
                <c:pt idx="0">
                  <c:v>57.1</c:v>
                </c:pt>
                <c:pt idx="1">
                  <c:v>56.9</c:v>
                </c:pt>
                <c:pt idx="2">
                  <c:v>56.1</c:v>
                </c:pt>
                <c:pt idx="3">
                  <c:v>55.1</c:v>
                </c:pt>
                <c:pt idx="4">
                  <c:v>54</c:v>
                </c:pt>
                <c:pt idx="5">
                  <c:v>54.7627070245574</c:v>
                </c:pt>
                <c:pt idx="6">
                  <c:v>56.525637318629208</c:v>
                </c:pt>
                <c:pt idx="7">
                  <c:v>58.385837312951104</c:v>
                </c:pt>
                <c:pt idx="8">
                  <c:v>60.350837443663899</c:v>
                </c:pt>
                <c:pt idx="9">
                  <c:v>62.281004214575141</c:v>
                </c:pt>
              </c:numCache>
            </c:numRef>
          </c:val>
          <c:smooth val="1"/>
          <c:extLst>
            <c:ext xmlns:c16="http://schemas.microsoft.com/office/drawing/2014/chart" uri="{C3380CC4-5D6E-409C-BE32-E72D297353CC}">
              <c16:uniqueId val="{00000012-8B02-4365-9D1B-65A523D73DC1}"/>
            </c:ext>
          </c:extLst>
        </c:ser>
        <c:ser>
          <c:idx val="2"/>
          <c:order val="1"/>
          <c:tx>
            <c:strRef>
              <c:f>'manji rast'!$B$33</c:f>
              <c:strCache>
                <c:ptCount val="1"/>
                <c:pt idx="0">
                  <c:v>Успорен раст након 2025</c:v>
                </c:pt>
              </c:strCache>
            </c:strRef>
          </c:tx>
          <c:spPr>
            <a:ln w="22225" cap="rnd">
              <a:solidFill>
                <a:schemeClr val="accent3"/>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3-8B02-4365-9D1B-65A523D73DC1}"/>
                </c:ext>
              </c:extLst>
            </c:dLbl>
            <c:dLbl>
              <c:idx val="1"/>
              <c:delete val="1"/>
              <c:extLst>
                <c:ext xmlns:c15="http://schemas.microsoft.com/office/drawing/2012/chart" uri="{CE6537A1-D6FC-4f65-9D91-7224C49458BB}"/>
                <c:ext xmlns:c16="http://schemas.microsoft.com/office/drawing/2014/chart" uri="{C3380CC4-5D6E-409C-BE32-E72D297353CC}">
                  <c16:uniqueId val="{00000014-8B02-4365-9D1B-65A523D73DC1}"/>
                </c:ext>
              </c:extLst>
            </c:dLbl>
            <c:dLbl>
              <c:idx val="2"/>
              <c:delete val="1"/>
              <c:extLst>
                <c:ext xmlns:c15="http://schemas.microsoft.com/office/drawing/2012/chart" uri="{CE6537A1-D6FC-4f65-9D91-7224C49458BB}"/>
                <c:ext xmlns:c16="http://schemas.microsoft.com/office/drawing/2014/chart" uri="{C3380CC4-5D6E-409C-BE32-E72D297353CC}">
                  <c16:uniqueId val="{00000015-8B02-4365-9D1B-65A523D73DC1}"/>
                </c:ext>
              </c:extLst>
            </c:dLbl>
            <c:dLbl>
              <c:idx val="3"/>
              <c:delete val="1"/>
              <c:extLst>
                <c:ext xmlns:c15="http://schemas.microsoft.com/office/drawing/2012/chart" uri="{CE6537A1-D6FC-4f65-9D91-7224C49458BB}"/>
                <c:ext xmlns:c16="http://schemas.microsoft.com/office/drawing/2014/chart" uri="{C3380CC4-5D6E-409C-BE32-E72D297353CC}">
                  <c16:uniqueId val="{00000016-8B02-4365-9D1B-65A523D73DC1}"/>
                </c:ext>
              </c:extLst>
            </c:dLbl>
            <c:dLbl>
              <c:idx val="4"/>
              <c:delete val="1"/>
              <c:extLst>
                <c:ext xmlns:c15="http://schemas.microsoft.com/office/drawing/2012/chart" uri="{CE6537A1-D6FC-4f65-9D91-7224C49458BB}"/>
                <c:ext xmlns:c16="http://schemas.microsoft.com/office/drawing/2014/chart" uri="{C3380CC4-5D6E-409C-BE32-E72D297353CC}">
                  <c16:uniqueId val="{00000017-8B02-4365-9D1B-65A523D73DC1}"/>
                </c:ext>
              </c:extLst>
            </c:dLbl>
            <c:dLbl>
              <c:idx val="5"/>
              <c:delete val="1"/>
              <c:extLst>
                <c:ext xmlns:c15="http://schemas.microsoft.com/office/drawing/2012/chart" uri="{CE6537A1-D6FC-4f65-9D91-7224C49458BB}"/>
                <c:ext xmlns:c16="http://schemas.microsoft.com/office/drawing/2014/chart" uri="{C3380CC4-5D6E-409C-BE32-E72D297353CC}">
                  <c16:uniqueId val="{00000018-8B02-4365-9D1B-65A523D73DC1}"/>
                </c:ext>
              </c:extLst>
            </c:dLbl>
            <c:dLbl>
              <c:idx val="6"/>
              <c:delete val="1"/>
              <c:extLst>
                <c:ext xmlns:c15="http://schemas.microsoft.com/office/drawing/2012/chart" uri="{CE6537A1-D6FC-4f65-9D91-7224C49458BB}"/>
                <c:ext xmlns:c16="http://schemas.microsoft.com/office/drawing/2014/chart" uri="{C3380CC4-5D6E-409C-BE32-E72D297353CC}">
                  <c16:uniqueId val="{00000019-8B02-4365-9D1B-65A523D73DC1}"/>
                </c:ext>
              </c:extLst>
            </c:dLbl>
            <c:dLbl>
              <c:idx val="7"/>
              <c:delete val="1"/>
              <c:extLst>
                <c:ext xmlns:c15="http://schemas.microsoft.com/office/drawing/2012/chart" uri="{CE6537A1-D6FC-4f65-9D91-7224C49458BB}"/>
                <c:ext xmlns:c16="http://schemas.microsoft.com/office/drawing/2014/chart" uri="{C3380CC4-5D6E-409C-BE32-E72D297353CC}">
                  <c16:uniqueId val="{0000001A-8B02-4365-9D1B-65A523D73DC1}"/>
                </c:ext>
              </c:extLst>
            </c:dLbl>
            <c:dLbl>
              <c:idx val="8"/>
              <c:delete val="1"/>
              <c:extLst>
                <c:ext xmlns:c15="http://schemas.microsoft.com/office/drawing/2012/chart" uri="{CE6537A1-D6FC-4f65-9D91-7224C49458BB}"/>
                <c:ext xmlns:c16="http://schemas.microsoft.com/office/drawing/2014/chart" uri="{C3380CC4-5D6E-409C-BE32-E72D297353CC}">
                  <c16:uniqueId val="{0000001B-8B02-4365-9D1B-65A523D73DC1}"/>
                </c:ext>
              </c:extLst>
            </c:dLbl>
            <c:dLbl>
              <c:idx val="9"/>
              <c:layout>
                <c:manualLayout>
                  <c:x val="-4.6379151844598105E-3"/>
                  <c:y val="4.15234745418849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8B02-4365-9D1B-65A523D73DC1}"/>
                </c:ext>
              </c:extLst>
            </c:dLbl>
            <c:dLbl>
              <c:idx val="10"/>
              <c:delete val="1"/>
              <c:extLst>
                <c:ext xmlns:c15="http://schemas.microsoft.com/office/drawing/2012/chart" uri="{CE6537A1-D6FC-4f65-9D91-7224C49458BB}"/>
                <c:ext xmlns:c16="http://schemas.microsoft.com/office/drawing/2014/chart" uri="{C3380CC4-5D6E-409C-BE32-E72D297353CC}">
                  <c16:uniqueId val="{0000001D-8B02-4365-9D1B-65A523D73DC1}"/>
                </c:ext>
              </c:extLst>
            </c:dLbl>
            <c:dLbl>
              <c:idx val="11"/>
              <c:delete val="1"/>
              <c:extLst>
                <c:ext xmlns:c15="http://schemas.microsoft.com/office/drawing/2012/chart" uri="{CE6537A1-D6FC-4f65-9D91-7224C49458BB}"/>
                <c:ext xmlns:c16="http://schemas.microsoft.com/office/drawing/2014/chart" uri="{C3380CC4-5D6E-409C-BE32-E72D297353CC}">
                  <c16:uniqueId val="{0000001E-8B02-4365-9D1B-65A523D73DC1}"/>
                </c:ext>
              </c:extLst>
            </c:dLbl>
            <c:dLbl>
              <c:idx val="12"/>
              <c:delete val="1"/>
              <c:extLst>
                <c:ext xmlns:c15="http://schemas.microsoft.com/office/drawing/2012/chart" uri="{CE6537A1-D6FC-4f65-9D91-7224C49458BB}"/>
                <c:ext xmlns:c16="http://schemas.microsoft.com/office/drawing/2014/chart" uri="{C3380CC4-5D6E-409C-BE32-E72D297353CC}">
                  <c16:uniqueId val="{0000001F-8B02-4365-9D1B-65A523D73DC1}"/>
                </c:ext>
              </c:extLst>
            </c:dLbl>
            <c:dLbl>
              <c:idx val="13"/>
              <c:layout>
                <c:manualLayout>
                  <c:x val="-7.4257428637148227E-3"/>
                  <c:y val="-8.61243694667635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8B02-4365-9D1B-65A523D73DC1}"/>
                </c:ext>
              </c:extLst>
            </c:dLbl>
            <c:dLbl>
              <c:idx val="14"/>
              <c:layout>
                <c:manualLayout>
                  <c:x val="-1.7647064024988345E-2"/>
                  <c:y val="-4.8132360200602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8B02-4365-9D1B-65A523D73DC1}"/>
                </c:ext>
              </c:extLst>
            </c:dLbl>
            <c:dLbl>
              <c:idx val="15"/>
              <c:delete val="1"/>
              <c:extLst>
                <c:ext xmlns:c15="http://schemas.microsoft.com/office/drawing/2012/chart" uri="{CE6537A1-D6FC-4f65-9D91-7224C49458BB}"/>
                <c:ext xmlns:c16="http://schemas.microsoft.com/office/drawing/2014/chart" uri="{C3380CC4-5D6E-409C-BE32-E72D297353CC}">
                  <c16:uniqueId val="{00000022-8B02-4365-9D1B-65A523D73DC1}"/>
                </c:ext>
              </c:extLst>
            </c:dLbl>
            <c:dLbl>
              <c:idx val="16"/>
              <c:delete val="1"/>
              <c:extLst>
                <c:ext xmlns:c15="http://schemas.microsoft.com/office/drawing/2012/chart" uri="{CE6537A1-D6FC-4f65-9D91-7224C49458BB}"/>
                <c:ext xmlns:c16="http://schemas.microsoft.com/office/drawing/2014/chart" uri="{C3380CC4-5D6E-409C-BE32-E72D297353CC}">
                  <c16:uniqueId val="{00000023-8B02-4365-9D1B-65A523D73DC1}"/>
                </c:ext>
              </c:extLst>
            </c:dLbl>
            <c:dLbl>
              <c:idx val="17"/>
              <c:layout>
                <c:manualLayout>
                  <c:x val="-2.2748818561602949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8B02-4365-9D1B-65A523D73DC1}"/>
                </c:ext>
              </c:extLst>
            </c:dLbl>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1'!$C$33:$L$33</c:f>
              <c:numCache>
                <c:formatCode>General</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'manji rast'!$C$39:$L$39</c:f>
              <c:numCache>
                <c:formatCode>#,##0.0</c:formatCode>
                <c:ptCount val="10"/>
                <c:pt idx="0">
                  <c:v>57.1</c:v>
                </c:pt>
                <c:pt idx="1">
                  <c:v>56.9</c:v>
                </c:pt>
                <c:pt idx="2">
                  <c:v>56.1</c:v>
                </c:pt>
                <c:pt idx="3">
                  <c:v>55.1</c:v>
                </c:pt>
                <c:pt idx="4">
                  <c:v>54</c:v>
                </c:pt>
                <c:pt idx="5">
                  <c:v>53.290005711022275</c:v>
                </c:pt>
                <c:pt idx="6">
                  <c:v>52.914085732748632</c:v>
                </c:pt>
                <c:pt idx="7">
                  <c:v>52.475782162901318</c:v>
                </c:pt>
                <c:pt idx="8">
                  <c:v>51.875217770536352</c:v>
                </c:pt>
                <c:pt idx="9">
                  <c:v>51.287248898587023</c:v>
                </c:pt>
              </c:numCache>
            </c:numRef>
          </c:val>
          <c:smooth val="1"/>
          <c:extLst>
            <c:ext xmlns:c16="http://schemas.microsoft.com/office/drawing/2014/chart" uri="{C3380CC4-5D6E-409C-BE32-E72D297353CC}">
              <c16:uniqueId val="{00000025-8B02-4365-9D1B-65A523D73DC1}"/>
            </c:ext>
          </c:extLst>
        </c:ser>
        <c:ser>
          <c:idx val="4"/>
          <c:order val="2"/>
          <c:tx>
            <c:strRef>
              <c:f>'manje prilagodjavanje'!$B$33</c:f>
              <c:strCache>
                <c:ptCount val="1"/>
                <c:pt idx="0">
                  <c:v>Фискална експанзија након 2025</c:v>
                </c:pt>
              </c:strCache>
            </c:strRef>
          </c:tx>
          <c:spPr>
            <a:ln w="22225" cap="rnd">
              <a:solidFill>
                <a:srgbClr val="FFC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26-8B02-4365-9D1B-65A523D73DC1}"/>
                </c:ext>
              </c:extLst>
            </c:dLbl>
            <c:dLbl>
              <c:idx val="1"/>
              <c:delete val="1"/>
              <c:extLst>
                <c:ext xmlns:c15="http://schemas.microsoft.com/office/drawing/2012/chart" uri="{CE6537A1-D6FC-4f65-9D91-7224C49458BB}"/>
                <c:ext xmlns:c16="http://schemas.microsoft.com/office/drawing/2014/chart" uri="{C3380CC4-5D6E-409C-BE32-E72D297353CC}">
                  <c16:uniqueId val="{00000027-8B02-4365-9D1B-65A523D73DC1}"/>
                </c:ext>
              </c:extLst>
            </c:dLbl>
            <c:dLbl>
              <c:idx val="2"/>
              <c:delete val="1"/>
              <c:extLst>
                <c:ext xmlns:c15="http://schemas.microsoft.com/office/drawing/2012/chart" uri="{CE6537A1-D6FC-4f65-9D91-7224C49458BB}"/>
                <c:ext xmlns:c16="http://schemas.microsoft.com/office/drawing/2014/chart" uri="{C3380CC4-5D6E-409C-BE32-E72D297353CC}">
                  <c16:uniqueId val="{00000028-8B02-4365-9D1B-65A523D73DC1}"/>
                </c:ext>
              </c:extLst>
            </c:dLbl>
            <c:dLbl>
              <c:idx val="3"/>
              <c:delete val="1"/>
              <c:extLst>
                <c:ext xmlns:c15="http://schemas.microsoft.com/office/drawing/2012/chart" uri="{CE6537A1-D6FC-4f65-9D91-7224C49458BB}"/>
                <c:ext xmlns:c16="http://schemas.microsoft.com/office/drawing/2014/chart" uri="{C3380CC4-5D6E-409C-BE32-E72D297353CC}">
                  <c16:uniqueId val="{00000029-8B02-4365-9D1B-65A523D73DC1}"/>
                </c:ext>
              </c:extLst>
            </c:dLbl>
            <c:dLbl>
              <c:idx val="4"/>
              <c:delete val="1"/>
              <c:extLst>
                <c:ext xmlns:c15="http://schemas.microsoft.com/office/drawing/2012/chart" uri="{CE6537A1-D6FC-4f65-9D91-7224C49458BB}"/>
                <c:ext xmlns:c16="http://schemas.microsoft.com/office/drawing/2014/chart" uri="{C3380CC4-5D6E-409C-BE32-E72D297353CC}">
                  <c16:uniqueId val="{0000002A-8B02-4365-9D1B-65A523D73DC1}"/>
                </c:ext>
              </c:extLst>
            </c:dLbl>
            <c:dLbl>
              <c:idx val="5"/>
              <c:delete val="1"/>
              <c:extLst>
                <c:ext xmlns:c15="http://schemas.microsoft.com/office/drawing/2012/chart" uri="{CE6537A1-D6FC-4f65-9D91-7224C49458BB}"/>
                <c:ext xmlns:c16="http://schemas.microsoft.com/office/drawing/2014/chart" uri="{C3380CC4-5D6E-409C-BE32-E72D297353CC}">
                  <c16:uniqueId val="{0000002B-8B02-4365-9D1B-65A523D73DC1}"/>
                </c:ext>
              </c:extLst>
            </c:dLbl>
            <c:dLbl>
              <c:idx val="6"/>
              <c:delete val="1"/>
              <c:extLst>
                <c:ext xmlns:c15="http://schemas.microsoft.com/office/drawing/2012/chart" uri="{CE6537A1-D6FC-4f65-9D91-7224C49458BB}"/>
                <c:ext xmlns:c16="http://schemas.microsoft.com/office/drawing/2014/chart" uri="{C3380CC4-5D6E-409C-BE32-E72D297353CC}">
                  <c16:uniqueId val="{0000002C-8B02-4365-9D1B-65A523D73DC1}"/>
                </c:ext>
              </c:extLst>
            </c:dLbl>
            <c:dLbl>
              <c:idx val="7"/>
              <c:delete val="1"/>
              <c:extLst>
                <c:ext xmlns:c15="http://schemas.microsoft.com/office/drawing/2012/chart" uri="{CE6537A1-D6FC-4f65-9D91-7224C49458BB}"/>
                <c:ext xmlns:c16="http://schemas.microsoft.com/office/drawing/2014/chart" uri="{C3380CC4-5D6E-409C-BE32-E72D297353CC}">
                  <c16:uniqueId val="{0000002D-8B02-4365-9D1B-65A523D73DC1}"/>
                </c:ext>
              </c:extLst>
            </c:dLbl>
            <c:dLbl>
              <c:idx val="8"/>
              <c:delete val="1"/>
              <c:extLst>
                <c:ext xmlns:c15="http://schemas.microsoft.com/office/drawing/2012/chart" uri="{CE6537A1-D6FC-4f65-9D91-7224C49458BB}"/>
                <c:ext xmlns:c16="http://schemas.microsoft.com/office/drawing/2014/chart" uri="{C3380CC4-5D6E-409C-BE32-E72D297353CC}">
                  <c16:uniqueId val="{0000002E-8B02-4365-9D1B-65A523D73DC1}"/>
                </c:ext>
              </c:extLst>
            </c:dLbl>
            <c:dLbl>
              <c:idx val="9"/>
              <c:layout>
                <c:manualLayout>
                  <c:x val="-9.0700068881669951E-3"/>
                  <c:y val="-3.3207120918846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8B02-4365-9D1B-65A523D73DC1}"/>
                </c:ext>
              </c:extLst>
            </c:dLbl>
            <c:dLbl>
              <c:idx val="10"/>
              <c:delete val="1"/>
              <c:extLst>
                <c:ext xmlns:c15="http://schemas.microsoft.com/office/drawing/2012/chart" uri="{CE6537A1-D6FC-4f65-9D91-7224C49458BB}"/>
                <c:ext xmlns:c16="http://schemas.microsoft.com/office/drawing/2014/chart" uri="{C3380CC4-5D6E-409C-BE32-E72D297353CC}">
                  <c16:uniqueId val="{00000030-8B02-4365-9D1B-65A523D73DC1}"/>
                </c:ext>
              </c:extLst>
            </c:dLbl>
            <c:dLbl>
              <c:idx val="11"/>
              <c:delete val="1"/>
              <c:extLst>
                <c:ext xmlns:c15="http://schemas.microsoft.com/office/drawing/2012/chart" uri="{CE6537A1-D6FC-4f65-9D91-7224C49458BB}"/>
                <c:ext xmlns:c16="http://schemas.microsoft.com/office/drawing/2014/chart" uri="{C3380CC4-5D6E-409C-BE32-E72D297353CC}">
                  <c16:uniqueId val="{00000031-8B02-4365-9D1B-65A523D73DC1}"/>
                </c:ext>
              </c:extLst>
            </c:dLbl>
            <c:dLbl>
              <c:idx val="12"/>
              <c:delete val="1"/>
              <c:extLst>
                <c:ext xmlns:c15="http://schemas.microsoft.com/office/drawing/2012/chart" uri="{CE6537A1-D6FC-4f65-9D91-7224C49458BB}"/>
                <c:ext xmlns:c16="http://schemas.microsoft.com/office/drawing/2014/chart" uri="{C3380CC4-5D6E-409C-BE32-E72D297353CC}">
                  <c16:uniqueId val="{00000032-8B02-4365-9D1B-65A523D73DC1}"/>
                </c:ext>
              </c:extLst>
            </c:dLbl>
            <c:dLbl>
              <c:idx val="13"/>
              <c:layout>
                <c:manualLayout>
                  <c:x val="-8.9108914364579191E-3"/>
                  <c:y val="-1.43540615777940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8B02-4365-9D1B-65A523D73DC1}"/>
                </c:ext>
              </c:extLst>
            </c:dLbl>
            <c:dLbl>
              <c:idx val="14"/>
              <c:layout>
                <c:manualLayout>
                  <c:x val="-1.6042785477262012E-2"/>
                  <c:y val="-4.21158151755268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8B02-4365-9D1B-65A523D73DC1}"/>
                </c:ext>
              </c:extLst>
            </c:dLbl>
            <c:dLbl>
              <c:idx val="15"/>
              <c:delete val="1"/>
              <c:extLst>
                <c:ext xmlns:c15="http://schemas.microsoft.com/office/drawing/2012/chart" uri="{CE6537A1-D6FC-4f65-9D91-7224C49458BB}"/>
                <c:ext xmlns:c16="http://schemas.microsoft.com/office/drawing/2014/chart" uri="{C3380CC4-5D6E-409C-BE32-E72D297353CC}">
                  <c16:uniqueId val="{00000035-8B02-4365-9D1B-65A523D73DC1}"/>
                </c:ext>
              </c:extLst>
            </c:dLbl>
            <c:dLbl>
              <c:idx val="16"/>
              <c:delete val="1"/>
              <c:extLst>
                <c:ext xmlns:c15="http://schemas.microsoft.com/office/drawing/2012/chart" uri="{CE6537A1-D6FC-4f65-9D91-7224C49458BB}"/>
                <c:ext xmlns:c16="http://schemas.microsoft.com/office/drawing/2014/chart" uri="{C3380CC4-5D6E-409C-BE32-E72D297353CC}">
                  <c16:uniqueId val="{00000036-8B02-4365-9D1B-65A523D73DC1}"/>
                </c:ext>
              </c:extLst>
            </c:dLbl>
            <c:dLbl>
              <c:idx val="17"/>
              <c:layout>
                <c:manualLayout>
                  <c:x val="-2.4170619721703136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8B02-4365-9D1B-65A523D73DC1}"/>
                </c:ext>
              </c:extLst>
            </c:dLbl>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1'!$C$33:$L$33</c:f>
              <c:numCache>
                <c:formatCode>General</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'manje prilagodjavanje'!$C$39:$L$39</c:f>
              <c:numCache>
                <c:formatCode>#,##0.0</c:formatCode>
                <c:ptCount val="10"/>
                <c:pt idx="0">
                  <c:v>57.1</c:v>
                </c:pt>
                <c:pt idx="1">
                  <c:v>56.9</c:v>
                </c:pt>
                <c:pt idx="2">
                  <c:v>56.1</c:v>
                </c:pt>
                <c:pt idx="3">
                  <c:v>55.1</c:v>
                </c:pt>
                <c:pt idx="4">
                  <c:v>54</c:v>
                </c:pt>
                <c:pt idx="5">
                  <c:v>53.588274831964149</c:v>
                </c:pt>
                <c:pt idx="6">
                  <c:v>53.698750229374284</c:v>
                </c:pt>
                <c:pt idx="7">
                  <c:v>53.803268700949467</c:v>
                </c:pt>
                <c:pt idx="8">
                  <c:v>53.902151449113354</c:v>
                </c:pt>
                <c:pt idx="9">
                  <c:v>53.995702356786254</c:v>
                </c:pt>
              </c:numCache>
            </c:numRef>
          </c:val>
          <c:smooth val="1"/>
          <c:extLst>
            <c:ext xmlns:c16="http://schemas.microsoft.com/office/drawing/2014/chart" uri="{C3380CC4-5D6E-409C-BE32-E72D297353CC}">
              <c16:uniqueId val="{00000038-8B02-4365-9D1B-65A523D73DC1}"/>
            </c:ext>
          </c:extLst>
        </c:ser>
        <c:ser>
          <c:idx val="0"/>
          <c:order val="3"/>
          <c:tx>
            <c:strRef>
              <c:f>'Сценарио 1'!$B$33</c:f>
              <c:strCache>
                <c:ptCount val="1"/>
                <c:pt idx="0">
                  <c:v>Основни сценарио</c:v>
                </c:pt>
              </c:strCache>
            </c:strRef>
          </c:tx>
          <c:spPr>
            <a:ln w="25400" cap="rnd">
              <a:solidFill>
                <a:schemeClr val="accent1"/>
              </a:solidFill>
              <a:round/>
            </a:ln>
            <a:effectLst/>
          </c:spPr>
          <c:marker>
            <c:symbol val="none"/>
          </c:marker>
          <c:dLbls>
            <c:dLbl>
              <c:idx val="0"/>
              <c:layout>
                <c:manualLayout>
                  <c:x val="-3.6297754447360747E-2"/>
                  <c:y val="4.6794605219802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8B02-4365-9D1B-65A523D73DC1}"/>
                </c:ext>
              </c:extLst>
            </c:dLbl>
            <c:dLbl>
              <c:idx val="1"/>
              <c:layout>
                <c:manualLayout>
                  <c:x val="-3.0302930883639546E-2"/>
                  <c:y val="7.4487961732056227E-2"/>
                </c:manualLayout>
              </c:layout>
              <c:showLegendKey val="0"/>
              <c:showVal val="1"/>
              <c:showCatName val="0"/>
              <c:showSerName val="0"/>
              <c:showPercent val="0"/>
              <c:showBubbleSize val="0"/>
              <c:extLst>
                <c:ext xmlns:c15="http://schemas.microsoft.com/office/drawing/2012/chart" uri="{CE6537A1-D6FC-4f65-9D91-7224C49458BB}">
                  <c15:layout>
                    <c:manualLayout>
                      <c:w val="0.10688575386410032"/>
                      <c:h val="8.2622399472793179E-2"/>
                    </c:manualLayout>
                  </c15:layout>
                </c:ext>
                <c:ext xmlns:c16="http://schemas.microsoft.com/office/drawing/2014/chart" uri="{C3380CC4-5D6E-409C-BE32-E72D297353CC}">
                  <c16:uniqueId val="{0000003A-8B02-4365-9D1B-65A523D73DC1}"/>
                </c:ext>
              </c:extLst>
            </c:dLbl>
            <c:dLbl>
              <c:idx val="2"/>
              <c:layout>
                <c:manualLayout>
                  <c:x val="-1.5837267033541045E-3"/>
                  <c:y val="4.7997343245314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8B02-4365-9D1B-65A523D73DC1}"/>
                </c:ext>
              </c:extLst>
            </c:dLbl>
            <c:dLbl>
              <c:idx val="3"/>
              <c:layout>
                <c:manualLayout>
                  <c:x val="-1.1708710893877721E-2"/>
                  <c:y val="8.4066530670641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8B02-4365-9D1B-65A523D73DC1}"/>
                </c:ext>
              </c:extLst>
            </c:dLbl>
            <c:dLbl>
              <c:idx val="4"/>
              <c:layout>
                <c:manualLayout>
                  <c:x val="-2.1608647542540962E-2"/>
                  <c:y val="6.0165450250752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8B02-4365-9D1B-65A523D73DC1}"/>
                </c:ext>
              </c:extLst>
            </c:dLbl>
            <c:dLbl>
              <c:idx val="5"/>
              <c:layout>
                <c:manualLayout>
                  <c:x val="-1.4213197969543147E-2"/>
                  <c:y val="5.74162463111757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8B02-4365-9D1B-65A523D73DC1}"/>
                </c:ext>
              </c:extLst>
            </c:dLbl>
            <c:dLbl>
              <c:idx val="6"/>
              <c:layout>
                <c:manualLayout>
                  <c:x val="-2.0304568527918707E-2"/>
                  <c:y val="4.3062184733381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8B02-4365-9D1B-65A523D73DC1}"/>
                </c:ext>
              </c:extLst>
            </c:dLbl>
            <c:dLbl>
              <c:idx val="7"/>
              <c:layout>
                <c:manualLayout>
                  <c:x val="-3.8578680203045689E-2"/>
                  <c:y val="4.30621847333817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8B02-4365-9D1B-65A523D73DC1}"/>
                </c:ext>
              </c:extLst>
            </c:dLbl>
            <c:dLbl>
              <c:idx val="8"/>
              <c:layout>
                <c:manualLayout>
                  <c:x val="-7.4426959748472216E-2"/>
                  <c:y val="5.18069025552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8B02-4365-9D1B-65A523D73DC1}"/>
                </c:ext>
              </c:extLst>
            </c:dLbl>
            <c:dLbl>
              <c:idx val="9"/>
              <c:layout>
                <c:manualLayout>
                  <c:x val="-1.2182741116751269E-2"/>
                  <c:y val="4.5932997048940466E-2"/>
                </c:manualLayout>
              </c:layout>
              <c:numFmt formatCode="#,##0.0" sourceLinked="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8B02-4365-9D1B-65A523D73DC1}"/>
                </c:ext>
              </c:extLst>
            </c:dLbl>
            <c:dLbl>
              <c:idx val="10"/>
              <c:delete val="1"/>
              <c:extLst>
                <c:ext xmlns:c15="http://schemas.microsoft.com/office/drawing/2012/chart" uri="{CE6537A1-D6FC-4f65-9D91-7224C49458BB}"/>
                <c:ext xmlns:c16="http://schemas.microsoft.com/office/drawing/2014/chart" uri="{C3380CC4-5D6E-409C-BE32-E72D297353CC}">
                  <c16:uniqueId val="{00000043-8B02-4365-9D1B-65A523D73DC1}"/>
                </c:ext>
              </c:extLst>
            </c:dLbl>
            <c:dLbl>
              <c:idx val="11"/>
              <c:delete val="1"/>
              <c:extLst>
                <c:ext xmlns:c15="http://schemas.microsoft.com/office/drawing/2012/chart" uri="{CE6537A1-D6FC-4f65-9D91-7224C49458BB}"/>
                <c:ext xmlns:c16="http://schemas.microsoft.com/office/drawing/2014/chart" uri="{C3380CC4-5D6E-409C-BE32-E72D297353CC}">
                  <c16:uniqueId val="{00000044-8B02-4365-9D1B-65A523D73DC1}"/>
                </c:ext>
              </c:extLst>
            </c:dLbl>
            <c:dLbl>
              <c:idx val="12"/>
              <c:delete val="1"/>
              <c:extLst>
                <c:ext xmlns:c15="http://schemas.microsoft.com/office/drawing/2012/chart" uri="{CE6537A1-D6FC-4f65-9D91-7224C49458BB}"/>
                <c:ext xmlns:c16="http://schemas.microsoft.com/office/drawing/2014/chart" uri="{C3380CC4-5D6E-409C-BE32-E72D297353CC}">
                  <c16:uniqueId val="{00000045-8B02-4365-9D1B-65A523D73DC1}"/>
                </c:ext>
              </c:extLst>
            </c:dLbl>
            <c:dLbl>
              <c:idx val="13"/>
              <c:layout>
                <c:manualLayout>
                  <c:x val="-1.1881188581944001E-2"/>
                  <c:y val="-2.29664985244702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8B02-4365-9D1B-65A523D73DC1}"/>
                </c:ext>
              </c:extLst>
            </c:dLbl>
            <c:dLbl>
              <c:idx val="14"/>
              <c:layout>
                <c:manualLayout>
                  <c:x val="-2.2459899668166864E-2"/>
                  <c:y val="3.9107542662989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8B02-4365-9D1B-65A523D73DC1}"/>
                </c:ext>
              </c:extLst>
            </c:dLbl>
            <c:dLbl>
              <c:idx val="15"/>
              <c:delete val="1"/>
              <c:extLst>
                <c:ext xmlns:c15="http://schemas.microsoft.com/office/drawing/2012/chart" uri="{CE6537A1-D6FC-4f65-9D91-7224C49458BB}"/>
                <c:ext xmlns:c16="http://schemas.microsoft.com/office/drawing/2014/chart" uri="{C3380CC4-5D6E-409C-BE32-E72D297353CC}">
                  <c16:uniqueId val="{00000048-8B02-4365-9D1B-65A523D73DC1}"/>
                </c:ext>
              </c:extLst>
            </c:dLbl>
            <c:dLbl>
              <c:idx val="16"/>
              <c:delete val="1"/>
              <c:extLst>
                <c:ext xmlns:c15="http://schemas.microsoft.com/office/drawing/2012/chart" uri="{CE6537A1-D6FC-4f65-9D91-7224C49458BB}"/>
                <c:ext xmlns:c16="http://schemas.microsoft.com/office/drawing/2014/chart" uri="{C3380CC4-5D6E-409C-BE32-E72D297353CC}">
                  <c16:uniqueId val="{00000049-8B02-4365-9D1B-65A523D73DC1}"/>
                </c:ext>
              </c:extLst>
            </c:dLbl>
            <c:dLbl>
              <c:idx val="17"/>
              <c:layout>
                <c:manualLayout>
                  <c:x val="-2.1327017401502765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A-8B02-4365-9D1B-65A523D73DC1}"/>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1'!$C$33:$L$33</c:f>
              <c:numCache>
                <c:formatCode>General</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'Сценарио 1'!$C$39:$L$39</c:f>
              <c:numCache>
                <c:formatCode>#,##0.0</c:formatCode>
                <c:ptCount val="10"/>
                <c:pt idx="0">
                  <c:v>57.1</c:v>
                </c:pt>
                <c:pt idx="1">
                  <c:v>56.9</c:v>
                </c:pt>
                <c:pt idx="2">
                  <c:v>56.1</c:v>
                </c:pt>
                <c:pt idx="3">
                  <c:v>55.1</c:v>
                </c:pt>
                <c:pt idx="4">
                  <c:v>54</c:v>
                </c:pt>
                <c:pt idx="5">
                  <c:v>52.239880507841676</c:v>
                </c:pt>
                <c:pt idx="6">
                  <c:v>50.376245534521601</c:v>
                </c:pt>
                <c:pt idx="7">
                  <c:v>48.414769491031016</c:v>
                </c:pt>
                <c:pt idx="8">
                  <c:v>46.260815734017065</c:v>
                </c:pt>
                <c:pt idx="9">
                  <c:v>44.224935319620606</c:v>
                </c:pt>
              </c:numCache>
            </c:numRef>
          </c:val>
          <c:smooth val="1"/>
          <c:extLst>
            <c:ext xmlns:c16="http://schemas.microsoft.com/office/drawing/2014/chart" uri="{C3380CC4-5D6E-409C-BE32-E72D297353CC}">
              <c16:uniqueId val="{0000004B-8B02-4365-9D1B-65A523D73DC1}"/>
            </c:ext>
          </c:extLst>
        </c:ser>
        <c:dLbls>
          <c:showLegendKey val="0"/>
          <c:showVal val="0"/>
          <c:showCatName val="0"/>
          <c:showSerName val="0"/>
          <c:showPercent val="0"/>
          <c:showBubbleSize val="0"/>
        </c:dLbls>
        <c:smooth val="0"/>
        <c:axId val="248069424"/>
        <c:axId val="248068304"/>
      </c:lineChart>
      <c:catAx>
        <c:axId val="248069424"/>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crossAx val="248068304"/>
        <c:crosses val="autoZero"/>
        <c:auto val="1"/>
        <c:lblAlgn val="ctr"/>
        <c:lblOffset val="100"/>
        <c:noMultiLvlLbl val="0"/>
      </c:catAx>
      <c:valAx>
        <c:axId val="248068304"/>
        <c:scaling>
          <c:orientation val="minMax"/>
          <c:max val="65"/>
          <c:min val="3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600" b="0" i="0" u="none" strike="noStrike" kern="1200" baseline="0">
                    <a:solidFill>
                      <a:schemeClr val="tx2"/>
                    </a:solidFill>
                    <a:latin typeface="+mn-lt"/>
                    <a:ea typeface="+mn-ea"/>
                    <a:cs typeface="+mn-cs"/>
                  </a:defRPr>
                </a:pPr>
                <a:r>
                  <a:rPr lang="sr-Cyrl-RS" sz="600">
                    <a:solidFill>
                      <a:schemeClr val="tx2"/>
                    </a:solidFill>
                    <a:latin typeface="+mn-lt"/>
                  </a:rPr>
                  <a:t>% </a:t>
                </a:r>
                <a:r>
                  <a:rPr lang="en-US" sz="600">
                    <a:solidFill>
                      <a:schemeClr val="tx2"/>
                    </a:solidFill>
                    <a:latin typeface="+mn-lt"/>
                  </a:rPr>
                  <a:t> </a:t>
                </a:r>
                <a:r>
                  <a:rPr lang="sr-Cyrl-RS" sz="600">
                    <a:solidFill>
                      <a:schemeClr val="tx2"/>
                    </a:solidFill>
                    <a:latin typeface="+mn-lt"/>
                  </a:rPr>
                  <a:t>БДП </a:t>
                </a:r>
                <a:endParaRPr lang="en-US" sz="600">
                  <a:solidFill>
                    <a:schemeClr val="tx2"/>
                  </a:solidFill>
                  <a:latin typeface="+mn-lt"/>
                </a:endParaRPr>
              </a:p>
            </c:rich>
          </c:tx>
          <c:layout>
            <c:manualLayout>
              <c:xMode val="edge"/>
              <c:yMode val="edge"/>
              <c:x val="6.112807948612629E-3"/>
              <c:y val="0.41975559844247423"/>
            </c:manualLayout>
          </c:layout>
          <c:overlay val="0"/>
          <c:spPr>
            <a:noFill/>
            <a:ln>
              <a:noFill/>
            </a:ln>
            <a:effectLst/>
          </c:spPr>
          <c:txPr>
            <a:bodyPr rot="-54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crossAx val="248069424"/>
        <c:crosses val="autoZero"/>
        <c:crossBetween val="between"/>
        <c:majorUnit val="5"/>
      </c:valAx>
      <c:spPr>
        <a:noFill/>
        <a:ln>
          <a:noFill/>
        </a:ln>
        <a:effectLst/>
      </c:spPr>
    </c:plotArea>
    <c:legend>
      <c:legendPos val="b"/>
      <c:layout>
        <c:manualLayout>
          <c:xMode val="edge"/>
          <c:yMode val="edge"/>
          <c:x val="0"/>
          <c:y val="0.82265597966173509"/>
          <c:w val="0.99487500344316027"/>
          <c:h val="0.17136965502630558"/>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latin typeface="+mj-lt"/>
        </a:defRPr>
      </a:pPr>
      <a:endParaRPr lang="en-US"/>
    </a:p>
  </c:txPr>
  <c:externalData r:id="rId3">
    <c:autoUpdate val="1"/>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agregati'!$B$5</c:f>
              <c:strCache>
                <c:ptCount val="1"/>
                <c:pt idx="0">
                  <c:v>Реални раст БДП, %</c:v>
                </c:pt>
              </c:strCache>
            </c:strRef>
          </c:tx>
          <c:spPr>
            <a:solidFill>
              <a:srgbClr val="00389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0B5D-417E-A640-F02F79BCE101}"/>
              </c:ext>
            </c:extLst>
          </c:dPt>
          <c:dPt>
            <c:idx val="1"/>
            <c:invertIfNegative val="0"/>
            <c:bubble3D val="0"/>
            <c:spPr>
              <a:solidFill>
                <a:srgbClr val="ED1C24"/>
              </a:solidFill>
              <a:ln>
                <a:noFill/>
              </a:ln>
              <a:effectLst/>
            </c:spPr>
            <c:extLst>
              <c:ext xmlns:c16="http://schemas.microsoft.com/office/drawing/2014/chart" uri="{C3380CC4-5D6E-409C-BE32-E72D297353CC}">
                <c16:uniqueId val="{00000003-0B5D-417E-A640-F02F79BCE101}"/>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0B5D-417E-A640-F02F79BCE101}"/>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0B5D-417E-A640-F02F79BCE10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agregati'!$C$5,'Osn. makroekon. agregati'!$D$5)</c:f>
              <c:numCache>
                <c:formatCode>0.0</c:formatCode>
                <c:ptCount val="2"/>
                <c:pt idx="0">
                  <c:v>3.5</c:v>
                </c:pt>
                <c:pt idx="1">
                  <c:v>2.5</c:v>
                </c:pt>
              </c:numCache>
            </c:numRef>
          </c:val>
          <c:extLst>
            <c:ext xmlns:c16="http://schemas.microsoft.com/office/drawing/2014/chart" uri="{C3380CC4-5D6E-409C-BE32-E72D297353CC}">
              <c16:uniqueId val="{00000004-0B5D-417E-A640-F02F79BCE101}"/>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252053796081997E-2"/>
          <c:y val="0"/>
          <c:w val="0.90916365972175073"/>
          <c:h val="0.72302156709708654"/>
        </c:manualLayout>
      </c:layout>
      <c:barChart>
        <c:barDir val="col"/>
        <c:grouping val="stacked"/>
        <c:varyColors val="0"/>
        <c:ser>
          <c:idx val="0"/>
          <c:order val="0"/>
          <c:tx>
            <c:strRef>
              <c:f>ucesce!$A$5</c:f>
              <c:strCache>
                <c:ptCount val="1"/>
                <c:pt idx="0">
                  <c:v>Директне обавезе</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2019</c:v>
                </c:pt>
                <c:pt idx="1">
                  <c:v>2020</c:v>
                </c:pt>
                <c:pt idx="2">
                  <c:v>2021</c:v>
                </c:pt>
                <c:pt idx="3">
                  <c:v>2022/IX</c:v>
                </c:pt>
              </c:strCache>
            </c:strRef>
          </c:cat>
          <c:val>
            <c:numRef>
              <c:f>ucesce!$B$5:$E$5</c:f>
              <c:numCache>
                <c:formatCode>0.0%</c:formatCode>
                <c:ptCount val="4"/>
                <c:pt idx="0">
                  <c:v>0.48703631728674002</c:v>
                </c:pt>
                <c:pt idx="1">
                  <c:v>0.53950089745388596</c:v>
                </c:pt>
                <c:pt idx="2">
                  <c:v>0.53930070758052395</c:v>
                </c:pt>
                <c:pt idx="3">
                  <c:v>0.51039443501472403</c:v>
                </c:pt>
              </c:numCache>
            </c:numRef>
          </c:val>
          <c:extLst>
            <c:ext xmlns:c16="http://schemas.microsoft.com/office/drawing/2014/chart" uri="{C3380CC4-5D6E-409C-BE32-E72D297353CC}">
              <c16:uniqueId val="{00000000-F18C-4C8B-A003-5788A9FA361B}"/>
            </c:ext>
          </c:extLst>
        </c:ser>
        <c:ser>
          <c:idx val="1"/>
          <c:order val="1"/>
          <c:tx>
            <c:strRef>
              <c:f>ucesce!$A$6</c:f>
              <c:strCache>
                <c:ptCount val="1"/>
                <c:pt idx="0">
                  <c:v>Индиректне обавезе</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2019</c:v>
                </c:pt>
                <c:pt idx="1">
                  <c:v>2020</c:v>
                </c:pt>
                <c:pt idx="2">
                  <c:v>2021</c:v>
                </c:pt>
                <c:pt idx="3">
                  <c:v>2022/IX</c:v>
                </c:pt>
              </c:strCache>
            </c:strRef>
          </c:cat>
          <c:val>
            <c:numRef>
              <c:f>ucesce!$B$6:$E$6</c:f>
              <c:numCache>
                <c:formatCode>0.0%</c:formatCode>
                <c:ptCount val="4"/>
                <c:pt idx="0">
                  <c:v>3.2277635808694902E-2</c:v>
                </c:pt>
                <c:pt idx="1">
                  <c:v>3.0412233763241901E-2</c:v>
                </c:pt>
                <c:pt idx="2">
                  <c:v>2.59253510761864E-2</c:v>
                </c:pt>
                <c:pt idx="3">
                  <c:v>2.6618536571814601E-2</c:v>
                </c:pt>
              </c:numCache>
            </c:numRef>
          </c:val>
          <c:extLst>
            <c:ext xmlns:c16="http://schemas.microsoft.com/office/drawing/2014/chart" uri="{C3380CC4-5D6E-409C-BE32-E72D297353CC}">
              <c16:uniqueId val="{00000001-F18C-4C8B-A003-5788A9FA361B}"/>
            </c:ext>
          </c:extLst>
        </c:ser>
        <c:ser>
          <c:idx val="2"/>
          <c:order val="2"/>
          <c:tx>
            <c:strRef>
              <c:f>ucesce!$A$7</c:f>
              <c:strCache>
                <c:ptCount val="1"/>
                <c:pt idx="0">
                  <c:v>Негарантовани дуг јединица локалне самоуправе, ЈП Путеви Србије и Коридори Србије д.о.о.</c:v>
                </c:pt>
              </c:strCache>
            </c:strRef>
          </c:tx>
          <c:spPr>
            <a:solidFill>
              <a:srgbClr val="51BBE7">
                <a:alpha val="50000"/>
              </a:srgbClr>
            </a:solidFill>
            <a:ln>
              <a:noFill/>
            </a:ln>
            <a:effectLst/>
          </c:spPr>
          <c:invertIfNegative val="0"/>
          <c:dLbls>
            <c:dLbl>
              <c:idx val="0"/>
              <c:layout>
                <c:manualLayout>
                  <c:x val="-2.8032302694319029E-17"/>
                  <c:y val="-2.83018938003005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18C-4C8B-A003-5788A9FA361B}"/>
                </c:ext>
              </c:extLst>
            </c:dLbl>
            <c:dLbl>
              <c:idx val="1"/>
              <c:layout>
                <c:manualLayout>
                  <c:x val="-3.0581047119132925E-3"/>
                  <c:y val="-3.773585840040073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18C-4C8B-A003-5788A9FA361B}"/>
                </c:ext>
              </c:extLst>
            </c:dLbl>
            <c:dLbl>
              <c:idx val="2"/>
              <c:layout>
                <c:manualLayout>
                  <c:x val="0"/>
                  <c:y val="-3.144654866700061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18C-4C8B-A003-5788A9FA361B}"/>
                </c:ext>
              </c:extLst>
            </c:dLbl>
            <c:dLbl>
              <c:idx val="3"/>
              <c:layout>
                <c:manualLayout>
                  <c:x val="0"/>
                  <c:y val="-2.83018938003005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18C-4C8B-A003-5788A9FA361B}"/>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2019</c:v>
                </c:pt>
                <c:pt idx="1">
                  <c:v>2020</c:v>
                </c:pt>
                <c:pt idx="2">
                  <c:v>2021</c:v>
                </c:pt>
                <c:pt idx="3">
                  <c:v>2022/IX</c:v>
                </c:pt>
              </c:strCache>
            </c:strRef>
          </c:cat>
          <c:val>
            <c:numRef>
              <c:f>ucesce!$B$7:$E$7</c:f>
              <c:numCache>
                <c:formatCode>0.0%</c:formatCode>
                <c:ptCount val="4"/>
                <c:pt idx="0">
                  <c:v>8.9106896628719096E-3</c:v>
                </c:pt>
                <c:pt idx="1">
                  <c:v>8.2586611523361702E-3</c:v>
                </c:pt>
                <c:pt idx="2">
                  <c:v>6.1455925661035903E-3</c:v>
                </c:pt>
                <c:pt idx="3">
                  <c:v>5.14478118868657E-3</c:v>
                </c:pt>
              </c:numCache>
            </c:numRef>
          </c:val>
          <c:extLst>
            <c:ext xmlns:c16="http://schemas.microsoft.com/office/drawing/2014/chart" uri="{C3380CC4-5D6E-409C-BE32-E72D297353CC}">
              <c16:uniqueId val="{00000006-F18C-4C8B-A003-5788A9FA361B}"/>
            </c:ext>
          </c:extLst>
        </c:ser>
        <c:dLbls>
          <c:dLblPos val="ctr"/>
          <c:showLegendKey val="0"/>
          <c:showVal val="1"/>
          <c:showCatName val="0"/>
          <c:showSerName val="0"/>
          <c:showPercent val="0"/>
          <c:showBubbleSize val="0"/>
        </c:dLbls>
        <c:gapWidth val="79"/>
        <c:overlap val="100"/>
        <c:axId val="244077856"/>
        <c:axId val="244088736"/>
      </c:barChart>
      <c:catAx>
        <c:axId val="24407785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rgbClr val="44546A"/>
                </a:solidFill>
                <a:latin typeface="+mn-lt"/>
                <a:ea typeface="+mn-ea"/>
                <a:cs typeface="+mn-cs"/>
              </a:defRPr>
            </a:pPr>
            <a:endParaRPr lang="en-US"/>
          </a:p>
        </c:txPr>
        <c:crossAx val="244088736"/>
        <c:crosses val="autoZero"/>
        <c:auto val="1"/>
        <c:lblAlgn val="ctr"/>
        <c:lblOffset val="100"/>
        <c:noMultiLvlLbl val="0"/>
      </c:catAx>
      <c:valAx>
        <c:axId val="244088736"/>
        <c:scaling>
          <c:orientation val="minMax"/>
          <c:max val="0.75000000000000011"/>
          <c:min val="0"/>
        </c:scaling>
        <c:delete val="1"/>
        <c:axPos val="l"/>
        <c:numFmt formatCode="0%" sourceLinked="0"/>
        <c:majorTickMark val="none"/>
        <c:minorTickMark val="none"/>
        <c:tickLblPos val="nextTo"/>
        <c:crossAx val="244077856"/>
        <c:crosses val="autoZero"/>
        <c:crossBetween val="between"/>
      </c:valAx>
      <c:spPr>
        <a:noFill/>
        <a:ln>
          <a:noFill/>
        </a:ln>
        <a:effectLst/>
      </c:spPr>
    </c:plotArea>
    <c:legend>
      <c:legendPos val="t"/>
      <c:layout>
        <c:manualLayout>
          <c:xMode val="edge"/>
          <c:yMode val="edge"/>
          <c:x val="0"/>
          <c:y val="0.79516925336101485"/>
          <c:w val="0.98266107645635203"/>
          <c:h val="0.2032420183811428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289336635108885E-2"/>
          <c:y val="7.4689633864290325E-2"/>
          <c:w val="0.91606508156755739"/>
          <c:h val="0.67908619975134676"/>
        </c:manualLayout>
      </c:layout>
      <c:barChart>
        <c:barDir val="col"/>
        <c:grouping val="stacked"/>
        <c:varyColors val="0"/>
        <c:ser>
          <c:idx val="0"/>
          <c:order val="0"/>
          <c:tx>
            <c:strRef>
              <c:f>valutna!$A$5</c:f>
              <c:strCache>
                <c:ptCount val="1"/>
                <c:pt idx="0">
                  <c:v>EUR</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2019</c:v>
                </c:pt>
                <c:pt idx="1">
                  <c:v>2020</c:v>
                </c:pt>
                <c:pt idx="2">
                  <c:v>2021</c:v>
                </c:pt>
                <c:pt idx="3">
                  <c:v>2022/IX</c:v>
                </c:pt>
              </c:strCache>
            </c:strRef>
          </c:cat>
          <c:val>
            <c:numRef>
              <c:f>valutna!$B$5:$E$5</c:f>
              <c:numCache>
                <c:formatCode>0.0%</c:formatCode>
                <c:ptCount val="4"/>
                <c:pt idx="0">
                  <c:v>0.44833301051551283</c:v>
                </c:pt>
                <c:pt idx="1">
                  <c:v>0.5</c:v>
                </c:pt>
                <c:pt idx="2">
                  <c:v>0.58070343168642191</c:v>
                </c:pt>
                <c:pt idx="3">
                  <c:v>0.57573541692112384</c:v>
                </c:pt>
              </c:numCache>
            </c:numRef>
          </c:val>
          <c:extLst>
            <c:ext xmlns:c16="http://schemas.microsoft.com/office/drawing/2014/chart" uri="{C3380CC4-5D6E-409C-BE32-E72D297353CC}">
              <c16:uniqueId val="{00000000-3037-49A6-9DA7-80A528B1245B}"/>
            </c:ext>
          </c:extLst>
        </c:ser>
        <c:ser>
          <c:idx val="1"/>
          <c:order val="1"/>
          <c:tx>
            <c:strRef>
              <c:f>valutna!$A$6</c:f>
              <c:strCache>
                <c:ptCount val="1"/>
                <c:pt idx="0">
                  <c:v>USD</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2019</c:v>
                </c:pt>
                <c:pt idx="1">
                  <c:v>2020</c:v>
                </c:pt>
                <c:pt idx="2">
                  <c:v>2021</c:v>
                </c:pt>
                <c:pt idx="3">
                  <c:v>2022/IX</c:v>
                </c:pt>
              </c:strCache>
            </c:strRef>
          </c:cat>
          <c:val>
            <c:numRef>
              <c:f>valutna!$B$6:$E$6</c:f>
              <c:numCache>
                <c:formatCode>0.0%</c:formatCode>
                <c:ptCount val="4"/>
                <c:pt idx="0">
                  <c:v>0.19781774415122602</c:v>
                </c:pt>
                <c:pt idx="1">
                  <c:v>0.13</c:v>
                </c:pt>
                <c:pt idx="2">
                  <c:v>0.10724614446641026</c:v>
                </c:pt>
                <c:pt idx="3">
                  <c:v>0.12397911521544874</c:v>
                </c:pt>
              </c:numCache>
            </c:numRef>
          </c:val>
          <c:extLst>
            <c:ext xmlns:c16="http://schemas.microsoft.com/office/drawing/2014/chart" uri="{C3380CC4-5D6E-409C-BE32-E72D297353CC}">
              <c16:uniqueId val="{00000001-3037-49A6-9DA7-80A528B1245B}"/>
            </c:ext>
          </c:extLst>
        </c:ser>
        <c:ser>
          <c:idx val="2"/>
          <c:order val="2"/>
          <c:tx>
            <c:strRef>
              <c:f>valutna!$A$7</c:f>
              <c:strCache>
                <c:ptCount val="1"/>
                <c:pt idx="0">
                  <c:v>RSD</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2019</c:v>
                </c:pt>
                <c:pt idx="1">
                  <c:v>2020</c:v>
                </c:pt>
                <c:pt idx="2">
                  <c:v>2021</c:v>
                </c:pt>
                <c:pt idx="3">
                  <c:v>2022/IX</c:v>
                </c:pt>
              </c:strCache>
            </c:strRef>
          </c:cat>
          <c:val>
            <c:numRef>
              <c:f>valutna!$B$7:$E$7</c:f>
              <c:numCache>
                <c:formatCode>0.0%</c:formatCode>
                <c:ptCount val="4"/>
                <c:pt idx="0">
                  <c:v>0.27573155342039779</c:v>
                </c:pt>
                <c:pt idx="1">
                  <c:v>0.30399999999999999</c:v>
                </c:pt>
                <c:pt idx="2">
                  <c:v>0.28279889544694981</c:v>
                </c:pt>
                <c:pt idx="3">
                  <c:v>0.2519867149723416</c:v>
                </c:pt>
              </c:numCache>
            </c:numRef>
          </c:val>
          <c:extLst>
            <c:ext xmlns:c16="http://schemas.microsoft.com/office/drawing/2014/chart" uri="{C3380CC4-5D6E-409C-BE32-E72D297353CC}">
              <c16:uniqueId val="{00000002-3037-49A6-9DA7-80A528B1245B}"/>
            </c:ext>
          </c:extLst>
        </c:ser>
        <c:ser>
          <c:idx val="3"/>
          <c:order val="3"/>
          <c:tx>
            <c:strRef>
              <c:f>valutna!$A$8</c:f>
              <c:strCache>
                <c:ptCount val="1"/>
                <c:pt idx="0">
                  <c:v>SDR</c:v>
                </c:pt>
              </c:strCache>
            </c:strRef>
          </c:tx>
          <c:spPr>
            <a:solidFill>
              <a:srgbClr val="51BBE7"/>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2019</c:v>
                </c:pt>
                <c:pt idx="1">
                  <c:v>2020</c:v>
                </c:pt>
                <c:pt idx="2">
                  <c:v>2021</c:v>
                </c:pt>
                <c:pt idx="3">
                  <c:v>2022/IX</c:v>
                </c:pt>
              </c:strCache>
            </c:strRef>
          </c:cat>
          <c:val>
            <c:numRef>
              <c:f>valutna!$B$8:$E$8</c:f>
              <c:numCache>
                <c:formatCode>0.0%</c:formatCode>
                <c:ptCount val="4"/>
                <c:pt idx="0">
                  <c:v>2.8895120057216048E-2</c:v>
                </c:pt>
                <c:pt idx="1">
                  <c:v>2.3E-2</c:v>
                </c:pt>
                <c:pt idx="2">
                  <c:v>1.9290279679134919E-2</c:v>
                </c:pt>
                <c:pt idx="3">
                  <c:v>3.9858269625909361E-2</c:v>
                </c:pt>
              </c:numCache>
            </c:numRef>
          </c:val>
          <c:extLst>
            <c:ext xmlns:c16="http://schemas.microsoft.com/office/drawing/2014/chart" uri="{C3380CC4-5D6E-409C-BE32-E72D297353CC}">
              <c16:uniqueId val="{00000003-3037-49A6-9DA7-80A528B1245B}"/>
            </c:ext>
          </c:extLst>
        </c:ser>
        <c:ser>
          <c:idx val="4"/>
          <c:order val="4"/>
          <c:tx>
            <c:strRef>
              <c:f>valutna!$A$9</c:f>
              <c:strCache>
                <c:ptCount val="1"/>
                <c:pt idx="0">
                  <c:v>Остале валуте</c:v>
                </c:pt>
              </c:strCache>
            </c:strRef>
          </c:tx>
          <c:spPr>
            <a:solidFill>
              <a:srgbClr val="C9E4EB"/>
            </a:solidFill>
            <a:ln>
              <a:noFill/>
            </a:ln>
            <a:effectLst/>
          </c:spPr>
          <c:invertIfNegative val="0"/>
          <c:dLbls>
            <c:dLbl>
              <c:idx val="0"/>
              <c:spPr>
                <a:noFill/>
                <a:ln>
                  <a:noFill/>
                </a:ln>
                <a:effectLst/>
              </c:spPr>
              <c:txPr>
                <a:bodyPr rot="0" spcFirstLastPara="1" vertOverflow="ellipsis" horzOverflow="clip" vert="horz" wrap="square" lIns="38100" tIns="19050" rIns="38100" bIns="19050" anchor="ctr" anchorCtr="1">
                  <a:noAutofit/>
                </a:bodyPr>
                <a:lstStyle/>
                <a:p>
                  <a:pPr>
                    <a:defRPr sz="750" b="1" i="0" u="none" strike="noStrike" kern="1200" baseline="0">
                      <a:solidFill>
                        <a:schemeClr val="tx2"/>
                      </a:solidFill>
                      <a:latin typeface="+mn-lt"/>
                      <a:ea typeface="+mn-ea"/>
                      <a:cs typeface="+mn-cs"/>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3037-49A6-9DA7-80A528B1245B}"/>
                </c:ext>
              </c:extLst>
            </c:dLbl>
            <c:dLbl>
              <c:idx val="1"/>
              <c:layout>
                <c:manualLayout>
                  <c:x val="4.6296296296295869E-3"/>
                  <c:y val="-1.909992958197298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37-49A6-9DA7-80A528B1245B}"/>
                </c:ext>
              </c:extLst>
            </c:dLbl>
            <c:dLbl>
              <c:idx val="2"/>
              <c:layout>
                <c:manualLayout>
                  <c:x val="0"/>
                  <c:y val="-1.66821586326099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37-49A6-9DA7-80A528B1245B}"/>
                </c:ext>
              </c:extLst>
            </c:dLbl>
            <c:dLbl>
              <c:idx val="3"/>
              <c:layout>
                <c:manualLayout>
                  <c:x val="0"/>
                  <c:y val="-2.273606043147045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37-49A6-9DA7-80A528B1245B}"/>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tx2"/>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2019</c:v>
                </c:pt>
                <c:pt idx="1">
                  <c:v>2020</c:v>
                </c:pt>
                <c:pt idx="2">
                  <c:v>2021</c:v>
                </c:pt>
                <c:pt idx="3">
                  <c:v>2022/IX</c:v>
                </c:pt>
              </c:strCache>
            </c:strRef>
          </c:cat>
          <c:val>
            <c:numRef>
              <c:f>valutna!$B$9:$E$9</c:f>
              <c:numCache>
                <c:formatCode>0.0%</c:formatCode>
                <c:ptCount val="4"/>
                <c:pt idx="0">
                  <c:v>4.9222571855647254E-2</c:v>
                </c:pt>
                <c:pt idx="1">
                  <c:v>4.2999999999999997E-2</c:v>
                </c:pt>
                <c:pt idx="2">
                  <c:v>9.9612487210832441E-3</c:v>
                </c:pt>
                <c:pt idx="3">
                  <c:v>7.3508006282179883E-3</c:v>
                </c:pt>
              </c:numCache>
            </c:numRef>
          </c:val>
          <c:extLst>
            <c:ext xmlns:c16="http://schemas.microsoft.com/office/drawing/2014/chart" uri="{C3380CC4-5D6E-409C-BE32-E72D297353CC}">
              <c16:uniqueId val="{00000008-3037-49A6-9DA7-80A528B1245B}"/>
            </c:ext>
          </c:extLst>
        </c:ser>
        <c:dLbls>
          <c:dLblPos val="ctr"/>
          <c:showLegendKey val="0"/>
          <c:showVal val="1"/>
          <c:showCatName val="0"/>
          <c:showSerName val="0"/>
          <c:showPercent val="0"/>
          <c:showBubbleSize val="0"/>
        </c:dLbls>
        <c:gapWidth val="79"/>
        <c:overlap val="100"/>
        <c:axId val="244059360"/>
        <c:axId val="244059904"/>
      </c:barChart>
      <c:catAx>
        <c:axId val="244059360"/>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chemeClr val="tx2"/>
                </a:solidFill>
                <a:latin typeface="+mn-lt"/>
                <a:ea typeface="+mn-ea"/>
                <a:cs typeface="+mn-cs"/>
              </a:defRPr>
            </a:pPr>
            <a:endParaRPr lang="en-US"/>
          </a:p>
        </c:txPr>
        <c:crossAx val="244059904"/>
        <c:crosses val="autoZero"/>
        <c:auto val="1"/>
        <c:lblAlgn val="ctr"/>
        <c:lblOffset val="100"/>
        <c:noMultiLvlLbl val="0"/>
      </c:catAx>
      <c:valAx>
        <c:axId val="244059904"/>
        <c:scaling>
          <c:orientation val="minMax"/>
          <c:max val="1"/>
          <c:min val="0"/>
        </c:scaling>
        <c:delete val="1"/>
        <c:axPos val="l"/>
        <c:numFmt formatCode="0%" sourceLinked="0"/>
        <c:majorTickMark val="none"/>
        <c:minorTickMark val="none"/>
        <c:tickLblPos val="nextTo"/>
        <c:crossAx val="244059360"/>
        <c:crosses val="autoZero"/>
        <c:crossBetween val="between"/>
      </c:valAx>
      <c:spPr>
        <a:noFill/>
        <a:ln>
          <a:noFill/>
        </a:ln>
        <a:effectLst/>
      </c:spPr>
    </c:plotArea>
    <c:legend>
      <c:legendPos val="t"/>
      <c:layout>
        <c:manualLayout>
          <c:xMode val="edge"/>
          <c:yMode val="edge"/>
          <c:x val="0.20007148448250597"/>
          <c:y val="0.91044274071004283"/>
          <c:w val="0.69327573636628759"/>
          <c:h val="4.4164415256261261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313099041539137E-2"/>
          <c:y val="0.11697286155107009"/>
          <c:w val="0.92201738463599303"/>
          <c:h val="0.69105764014135107"/>
        </c:manualLayout>
      </c:layout>
      <c:barChart>
        <c:barDir val="col"/>
        <c:grouping val="stacked"/>
        <c:varyColors val="0"/>
        <c:ser>
          <c:idx val="0"/>
          <c:order val="0"/>
          <c:tx>
            <c:strRef>
              <c:f>kamatna!$A$5</c:f>
              <c:strCache>
                <c:ptCount val="1"/>
                <c:pt idx="0">
                  <c:v>Фиксне каматне стопе</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2019</c:v>
                </c:pt>
                <c:pt idx="1">
                  <c:v>2020</c:v>
                </c:pt>
                <c:pt idx="2">
                  <c:v>2021</c:v>
                </c:pt>
                <c:pt idx="3">
                  <c:v>2022/IX</c:v>
                </c:pt>
              </c:strCache>
            </c:strRef>
          </c:cat>
          <c:val>
            <c:numRef>
              <c:f>kamatna!$B$5:$E$5</c:f>
              <c:numCache>
                <c:formatCode>0.0%</c:formatCode>
                <c:ptCount val="4"/>
                <c:pt idx="0">
                  <c:v>0.83150687493433895</c:v>
                </c:pt>
                <c:pt idx="1">
                  <c:v>0.85479439479257957</c:v>
                </c:pt>
                <c:pt idx="2">
                  <c:v>0.85813723844161272</c:v>
                </c:pt>
                <c:pt idx="3">
                  <c:v>0.81844165339231123</c:v>
                </c:pt>
              </c:numCache>
            </c:numRef>
          </c:val>
          <c:extLst>
            <c:ext xmlns:c16="http://schemas.microsoft.com/office/drawing/2014/chart" uri="{C3380CC4-5D6E-409C-BE32-E72D297353CC}">
              <c16:uniqueId val="{00000000-D966-4F78-8402-C0FCD04799F7}"/>
            </c:ext>
          </c:extLst>
        </c:ser>
        <c:ser>
          <c:idx val="1"/>
          <c:order val="1"/>
          <c:tx>
            <c:strRef>
              <c:f>kamatna!$A$6</c:f>
              <c:strCache>
                <c:ptCount val="1"/>
                <c:pt idx="0">
                  <c:v>Варијабилне каматне стопе</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2019</c:v>
                </c:pt>
                <c:pt idx="1">
                  <c:v>2020</c:v>
                </c:pt>
                <c:pt idx="2">
                  <c:v>2021</c:v>
                </c:pt>
                <c:pt idx="3">
                  <c:v>2022/IX</c:v>
                </c:pt>
              </c:strCache>
            </c:strRef>
          </c:cat>
          <c:val>
            <c:numRef>
              <c:f>kamatna!$B$6:$E$6</c:f>
              <c:numCache>
                <c:formatCode>0.0%</c:formatCode>
                <c:ptCount val="4"/>
                <c:pt idx="0">
                  <c:v>0.16849312506566114</c:v>
                </c:pt>
                <c:pt idx="1">
                  <c:v>0.14520560520742037</c:v>
                </c:pt>
                <c:pt idx="2">
                  <c:v>0.14186276155838728</c:v>
                </c:pt>
                <c:pt idx="3">
                  <c:v>0.18155834660768874</c:v>
                </c:pt>
              </c:numCache>
            </c:numRef>
          </c:val>
          <c:extLst>
            <c:ext xmlns:c16="http://schemas.microsoft.com/office/drawing/2014/chart" uri="{C3380CC4-5D6E-409C-BE32-E72D297353CC}">
              <c16:uniqueId val="{00000001-D966-4F78-8402-C0FCD04799F7}"/>
            </c:ext>
          </c:extLst>
        </c:ser>
        <c:dLbls>
          <c:dLblPos val="ctr"/>
          <c:showLegendKey val="0"/>
          <c:showVal val="1"/>
          <c:showCatName val="0"/>
          <c:showSerName val="0"/>
          <c:showPercent val="0"/>
          <c:showBubbleSize val="0"/>
        </c:dLbls>
        <c:gapWidth val="79"/>
        <c:overlap val="100"/>
        <c:axId val="244061536"/>
        <c:axId val="244062080"/>
      </c:barChart>
      <c:catAx>
        <c:axId val="24406153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800" b="0" i="0" u="none" strike="noStrike" kern="1200" cap="all" spc="120" normalizeH="0" baseline="0">
                <a:solidFill>
                  <a:schemeClr val="tx2"/>
                </a:solidFill>
                <a:latin typeface="+mn-lt"/>
                <a:ea typeface="+mn-ea"/>
                <a:cs typeface="+mn-cs"/>
              </a:defRPr>
            </a:pPr>
            <a:endParaRPr lang="en-US"/>
          </a:p>
        </c:txPr>
        <c:crossAx val="244062080"/>
        <c:crosses val="autoZero"/>
        <c:auto val="1"/>
        <c:lblAlgn val="ctr"/>
        <c:lblOffset val="100"/>
        <c:noMultiLvlLbl val="0"/>
      </c:catAx>
      <c:valAx>
        <c:axId val="244062080"/>
        <c:scaling>
          <c:orientation val="minMax"/>
          <c:max val="1"/>
          <c:min val="0"/>
        </c:scaling>
        <c:delete val="1"/>
        <c:axPos val="l"/>
        <c:numFmt formatCode="0%" sourceLinked="0"/>
        <c:majorTickMark val="none"/>
        <c:minorTickMark val="none"/>
        <c:tickLblPos val="nextTo"/>
        <c:crossAx val="244061536"/>
        <c:crosses val="autoZero"/>
        <c:crossBetween val="between"/>
      </c:valAx>
      <c:spPr>
        <a:noFill/>
        <a:ln w="25400">
          <a:noFill/>
        </a:ln>
        <a:effectLst/>
      </c:spPr>
    </c:plotArea>
    <c:legend>
      <c:legendPos val="t"/>
      <c:layout>
        <c:manualLayout>
          <c:xMode val="edge"/>
          <c:yMode val="edge"/>
          <c:x val="7.915879265091863E-2"/>
          <c:y val="0.93890499194846999"/>
          <c:w val="0.8083490813648293"/>
          <c:h val="6.0789430306718906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947013702710755"/>
          <c:y val="0.1159364568431092"/>
          <c:w val="0.7124333482275842"/>
          <c:h val="0.65796894188418298"/>
        </c:manualLayout>
      </c:layout>
      <c:scatterChart>
        <c:scatterStyle val="lineMarker"/>
        <c:varyColors val="0"/>
        <c:ser>
          <c:idx val="0"/>
          <c:order val="0"/>
          <c:tx>
            <c:strRef>
              <c:f>'3Y_OUTPUT'!$C$123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'3Y_OUTPUT'!$C$129</c:f>
              <c:numCache>
                <c:formatCode>0.0</c:formatCode>
                <c:ptCount val="1"/>
                <c:pt idx="0">
                  <c:v>5.7662182783256526</c:v>
                </c:pt>
              </c:numCache>
            </c:numRef>
          </c:xVal>
          <c:yVal>
            <c:numRef>
              <c:f>'3Y_OUTPUT'!$C$124</c:f>
              <c:numCache>
                <c:formatCode>0.0</c:formatCode>
                <c:ptCount val="1"/>
                <c:pt idx="0">
                  <c:v>53.008865726028063</c:v>
                </c:pt>
              </c:numCache>
            </c:numRef>
          </c:yVal>
          <c:smooth val="0"/>
          <c:extLst>
            <c:ext xmlns:c16="http://schemas.microsoft.com/office/drawing/2014/chart" uri="{C3380CC4-5D6E-409C-BE32-E72D297353CC}">
              <c16:uniqueId val="{00000000-C4F9-4C97-9D8D-E07A050C6B2B}"/>
            </c:ext>
          </c:extLst>
        </c:ser>
        <c:ser>
          <c:idx val="1"/>
          <c:order val="1"/>
          <c:tx>
            <c:strRef>
              <c:f>'3Y_OUTPUT'!$D$123</c:f>
              <c:strCache>
                <c:ptCount val="1"/>
                <c:pt idx="0">
                  <c:v>C2</c:v>
                </c:pt>
              </c:strCache>
            </c:strRef>
          </c:tx>
          <c:spPr>
            <a:ln w="127000" cap="flat" cmpd="dbl" algn="ctr">
              <a:solidFill>
                <a:srgbClr val="00B050">
                  <a:alpha val="50000"/>
                </a:srgbClr>
              </a:solidFill>
              <a:round/>
            </a:ln>
            <a:effectLst/>
          </c:spPr>
          <c:marker>
            <c:symbol val="circle"/>
            <c:size val="10"/>
            <c:spPr>
              <a:solidFill>
                <a:srgbClr val="00B050"/>
              </a:solidFill>
              <a:ln w="9525" cap="flat" cmpd="dbl" algn="ctr">
                <a:solidFill>
                  <a:srgbClr val="00B05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'3Y_OUTPUT'!$D$129</c:f>
              <c:numCache>
                <c:formatCode>0.0</c:formatCode>
                <c:ptCount val="1"/>
                <c:pt idx="0">
                  <c:v>6.1540410273679527</c:v>
                </c:pt>
              </c:numCache>
            </c:numRef>
          </c:xVal>
          <c:yVal>
            <c:numRef>
              <c:f>'3Y_OUTPUT'!$D$124</c:f>
              <c:numCache>
                <c:formatCode>0.0</c:formatCode>
                <c:ptCount val="1"/>
                <c:pt idx="0">
                  <c:v>53.700739498030138</c:v>
                </c:pt>
              </c:numCache>
            </c:numRef>
          </c:yVal>
          <c:smooth val="0"/>
          <c:extLst>
            <c:ext xmlns:c16="http://schemas.microsoft.com/office/drawing/2014/chart" uri="{C3380CC4-5D6E-409C-BE32-E72D297353CC}">
              <c16:uniqueId val="{00000001-C4F9-4C97-9D8D-E07A050C6B2B}"/>
            </c:ext>
          </c:extLst>
        </c:ser>
        <c:ser>
          <c:idx val="2"/>
          <c:order val="2"/>
          <c:tx>
            <c:strRef>
              <c:f>'3Y_OUTPUT'!$E$123</c:f>
              <c:strCache>
                <c:ptCount val="1"/>
                <c:pt idx="0">
                  <c:v>C3</c:v>
                </c:pt>
              </c:strCache>
            </c:strRef>
          </c:tx>
          <c:spPr>
            <a:ln w="127000" cap="flat" cmpd="dbl" algn="ctr">
              <a:solidFill>
                <a:srgbClr val="9BBB59">
                  <a:alpha val="50000"/>
                </a:srgbClr>
              </a:solidFill>
              <a:round/>
            </a:ln>
            <a:effectLst/>
          </c:spPr>
          <c:marker>
            <c:symbol val="circle"/>
            <c:size val="10"/>
            <c:spPr>
              <a:solidFill>
                <a:srgbClr val="7030A0"/>
              </a:solidFill>
              <a:ln w="9525" cap="flat" cmpd="dbl" algn="ctr">
                <a:solidFill>
                  <a:srgbClr val="7030A0">
                    <a:alpha val="70000"/>
                  </a:srgbClr>
                </a:solidFill>
                <a:round/>
              </a:ln>
              <a:effectLst/>
            </c:spPr>
          </c:marker>
          <c:dLbls>
            <c:dLbl>
              <c:idx val="0"/>
              <c:layout>
                <c:manualLayout>
                  <c:x val="-7.0933869526362908E-2"/>
                  <c:y val="7.8395061728395068E-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C4F9-4C97-9D8D-E07A050C6B2B}"/>
                </c:ext>
              </c:extLst>
            </c:dLbl>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'3Y_OUTPUT'!$E$129</c:f>
              <c:numCache>
                <c:formatCode>0.0</c:formatCode>
                <c:ptCount val="1"/>
                <c:pt idx="0">
                  <c:v>6.1335360148461504</c:v>
                </c:pt>
              </c:numCache>
            </c:numRef>
          </c:xVal>
          <c:yVal>
            <c:numRef>
              <c:f>'3Y_OUTPUT'!$E$124</c:f>
              <c:numCache>
                <c:formatCode>0.0</c:formatCode>
                <c:ptCount val="1"/>
                <c:pt idx="0">
                  <c:v>53.542876010903107</c:v>
                </c:pt>
              </c:numCache>
            </c:numRef>
          </c:yVal>
          <c:smooth val="0"/>
          <c:extLst>
            <c:ext xmlns:c16="http://schemas.microsoft.com/office/drawing/2014/chart" uri="{C3380CC4-5D6E-409C-BE32-E72D297353CC}">
              <c16:uniqueId val="{00000003-C4F9-4C97-9D8D-E07A050C6B2B}"/>
            </c:ext>
          </c:extLst>
        </c:ser>
        <c:ser>
          <c:idx val="3"/>
          <c:order val="3"/>
          <c:tx>
            <c:strRef>
              <c:f>'3Y_OUTPUT'!$F$123</c:f>
              <c:strCache>
                <c:ptCount val="1"/>
                <c:pt idx="0">
                  <c:v>C4</c:v>
                </c:pt>
              </c:strCache>
            </c:strRef>
          </c:tx>
          <c:spPr>
            <a:ln w="25400" cap="flat" cmpd="dbl" algn="ctr">
              <a:noFill/>
              <a:round/>
            </a:ln>
            <a:effectLst/>
          </c:spPr>
          <c:marker>
            <c:symbol val="circle"/>
            <c:size val="10"/>
            <c:spPr>
              <a:solidFill>
                <a:srgbClr val="1F497D">
                  <a:alpha val="98000"/>
                </a:srgbClr>
              </a:solidFill>
              <a:ln w="9525" cap="flat" cmpd="dbl" algn="ctr">
                <a:solidFill>
                  <a:srgbClr val="1F497D">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'3Y_OUTPUT'!$F$129</c:f>
              <c:numCache>
                <c:formatCode>0.0</c:formatCode>
                <c:ptCount val="1"/>
                <c:pt idx="0">
                  <c:v>4.5451683033940853</c:v>
                </c:pt>
              </c:numCache>
            </c:numRef>
          </c:xVal>
          <c:yVal>
            <c:numRef>
              <c:f>'3Y_OUTPUT'!$F$124</c:f>
              <c:numCache>
                <c:formatCode>0.0</c:formatCode>
                <c:ptCount val="1"/>
                <c:pt idx="0">
                  <c:v>53.426199607641344</c:v>
                </c:pt>
              </c:numCache>
            </c:numRef>
          </c:yVal>
          <c:smooth val="0"/>
          <c:extLst>
            <c:ext xmlns:c16="http://schemas.microsoft.com/office/drawing/2014/chart" uri="{C3380CC4-5D6E-409C-BE32-E72D297353CC}">
              <c16:uniqueId val="{00000004-C4F9-4C97-9D8D-E07A050C6B2B}"/>
            </c:ext>
          </c:extLst>
        </c:ser>
        <c:dLbls>
          <c:showLegendKey val="0"/>
          <c:showVal val="0"/>
          <c:showCatName val="0"/>
          <c:showSerName val="0"/>
          <c:showPercent val="0"/>
          <c:showBubbleSize val="0"/>
        </c:dLbls>
        <c:axId val="253667200"/>
        <c:axId val="253681664"/>
      </c:scatterChart>
      <c:valAx>
        <c:axId val="253667200"/>
        <c:scaling>
          <c:orientation val="minMax"/>
          <c:max val="6.5"/>
          <c:min val="4.5"/>
        </c:scaling>
        <c:delete val="0"/>
        <c:axPos val="b"/>
        <c:majorGridlines>
          <c:spPr>
            <a:ln w="9525" cap="flat" cmpd="sng" algn="ctr">
              <a:noFill/>
              <a:round/>
            </a:ln>
            <a:effectLst/>
          </c:spPr>
        </c:majorGridlines>
        <c:minorGridlines>
          <c:spPr>
            <a:ln w="9525" cap="flat" cmpd="sng" algn="ctr">
              <a:noFill/>
              <a:round/>
            </a:ln>
            <a:effectLst/>
          </c:spPr>
        </c:minorGridlines>
        <c:title>
          <c:tx>
            <c:rich>
              <a:bodyPr rot="0" vert="horz"/>
              <a:lstStyle/>
              <a:p>
                <a:pPr>
                  <a:defRPr>
                    <a:solidFill>
                      <a:schemeClr val="accent1">
                        <a:lumMod val="75000"/>
                      </a:schemeClr>
                    </a:solidFill>
                    <a:latin typeface="Calibri" panose="020F0502020204030204" pitchFamily="34" charset="0"/>
                    <a:cs typeface="Calibri" panose="020F0502020204030204" pitchFamily="34" charset="0"/>
                  </a:defRPr>
                </a:pPr>
                <a:r>
                  <a:rPr lang="sr-Cyrl-BA">
                    <a:solidFill>
                      <a:schemeClr val="accent1">
                        <a:lumMod val="75000"/>
                      </a:schemeClr>
                    </a:solidFill>
                    <a:latin typeface="Calibri" panose="020F0502020204030204" pitchFamily="34" charset="0"/>
                    <a:cs typeface="Calibri" panose="020F0502020204030204" pitchFamily="34" charset="0"/>
                  </a:rPr>
                  <a:t>Ризик</a:t>
                </a:r>
              </a:p>
            </c:rich>
          </c:tx>
          <c:layout>
            <c:manualLayout>
              <c:xMode val="edge"/>
              <c:yMode val="edge"/>
              <c:x val="0.4712499835945263"/>
              <c:y val="0.935530611677861"/>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1">
                    <a:lumMod val="75000"/>
                  </a:schemeClr>
                </a:solidFill>
                <a:latin typeface="Calibri" panose="020F0502020204030204" pitchFamily="34" charset="0"/>
                <a:cs typeface="Calibri" panose="020F0502020204030204" pitchFamily="34" charset="0"/>
              </a:defRPr>
            </a:pPr>
            <a:endParaRPr lang="en-US"/>
          </a:p>
        </c:txPr>
        <c:crossAx val="253681664"/>
        <c:crosses val="autoZero"/>
        <c:crossBetween val="midCat"/>
        <c:majorUnit val="0.5"/>
        <c:minorUnit val="0.1"/>
      </c:valAx>
      <c:valAx>
        <c:axId val="253681664"/>
        <c:scaling>
          <c:orientation val="minMax"/>
          <c:min val="52.5"/>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vert="horz"/>
              <a:lstStyle/>
              <a:p>
                <a:pPr>
                  <a:defRPr>
                    <a:solidFill>
                      <a:schemeClr val="accent1">
                        <a:lumMod val="75000"/>
                      </a:schemeClr>
                    </a:solidFill>
                    <a:latin typeface="Calibri" panose="020F0502020204030204" pitchFamily="34" charset="0"/>
                    <a:cs typeface="Calibri" panose="020F0502020204030204" pitchFamily="34" charset="0"/>
                  </a:defRPr>
                </a:pPr>
                <a:r>
                  <a:rPr lang="sr-Cyrl-BA">
                    <a:solidFill>
                      <a:schemeClr val="accent1">
                        <a:lumMod val="75000"/>
                      </a:schemeClr>
                    </a:solidFill>
                    <a:latin typeface="Calibri" panose="020F0502020204030204" pitchFamily="34" charset="0"/>
                    <a:cs typeface="Calibri" panose="020F0502020204030204" pitchFamily="34" charset="0"/>
                  </a:rPr>
                  <a:t>Трошкови (%)</a:t>
                </a:r>
              </a:p>
            </c:rich>
          </c:tx>
          <c:layout>
            <c:manualLayout>
              <c:xMode val="edge"/>
              <c:yMode val="edge"/>
              <c:x val="4.2641600474437186E-3"/>
              <c:y val="0.32453201268393489"/>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1">
                    <a:lumMod val="75000"/>
                  </a:schemeClr>
                </a:solidFill>
                <a:latin typeface="Calibri" panose="020F0502020204030204" pitchFamily="34" charset="0"/>
                <a:cs typeface="Calibri" panose="020F0502020204030204" pitchFamily="34" charset="0"/>
              </a:defRPr>
            </a:pPr>
            <a:endParaRPr lang="en-US"/>
          </a:p>
        </c:txPr>
        <c:crossAx val="253667200"/>
        <c:crosses val="autoZero"/>
        <c:crossBetween val="midCat"/>
        <c:majorUnit val="0.5"/>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mbria" panose="02040503050406030204" pitchFamily="18" charset="0"/>
        </a:defRPr>
      </a:pPr>
      <a:endParaRPr lang="en-U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632893952934166"/>
          <c:y val="8.3992045285606692E-2"/>
          <c:w val="0.73758452487339898"/>
          <c:h val="0.7112994754411065"/>
        </c:manualLayout>
      </c:layout>
      <c:scatterChart>
        <c:scatterStyle val="lineMarker"/>
        <c:varyColors val="0"/>
        <c:ser>
          <c:idx val="0"/>
          <c:order val="0"/>
          <c:tx>
            <c:strRef>
              <c:f>'3Y_OUTPUT'!$C$133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'3Y_OUTPUT'!$C$139</c:f>
              <c:numCache>
                <c:formatCode>0.0</c:formatCode>
                <c:ptCount val="1"/>
                <c:pt idx="0">
                  <c:v>0.6567203233568113</c:v>
                </c:pt>
              </c:numCache>
            </c:numRef>
          </c:xVal>
          <c:yVal>
            <c:numRef>
              <c:f>'3Y_OUTPUT'!$C$134</c:f>
              <c:numCache>
                <c:formatCode>0.0</c:formatCode>
                <c:ptCount val="1"/>
                <c:pt idx="0">
                  <c:v>1.7142956876015438</c:v>
                </c:pt>
              </c:numCache>
            </c:numRef>
          </c:yVal>
          <c:smooth val="0"/>
          <c:extLst>
            <c:ext xmlns:c16="http://schemas.microsoft.com/office/drawing/2014/chart" uri="{C3380CC4-5D6E-409C-BE32-E72D297353CC}">
              <c16:uniqueId val="{00000000-9420-4596-82C2-D845815FD659}"/>
            </c:ext>
          </c:extLst>
        </c:ser>
        <c:ser>
          <c:idx val="1"/>
          <c:order val="1"/>
          <c:tx>
            <c:strRef>
              <c:f>'3Y_OUTPUT'!$D$133</c:f>
              <c:strCache>
                <c:ptCount val="1"/>
                <c:pt idx="0">
                  <c:v>C2</c:v>
                </c:pt>
              </c:strCache>
            </c:strRef>
          </c:tx>
          <c:spPr>
            <a:ln w="25400" cap="flat" cmpd="dbl" algn="ctr">
              <a:noFill/>
              <a:round/>
            </a:ln>
            <a:effectLst/>
          </c:spPr>
          <c:marker>
            <c:symbol val="circle"/>
            <c:size val="10"/>
            <c:spPr>
              <a:solidFill>
                <a:srgbClr val="00B050"/>
              </a:solidFill>
              <a:ln w="34925" cap="flat" cmpd="dbl" algn="ctr">
                <a:no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'3Y_OUTPUT'!$D$139</c:f>
              <c:numCache>
                <c:formatCode>0.0</c:formatCode>
                <c:ptCount val="1"/>
                <c:pt idx="0">
                  <c:v>0.78856845570444545</c:v>
                </c:pt>
              </c:numCache>
            </c:numRef>
          </c:xVal>
          <c:yVal>
            <c:numRef>
              <c:f>'3Y_OUTPUT'!$D$134</c:f>
              <c:numCache>
                <c:formatCode>0.0</c:formatCode>
                <c:ptCount val="1"/>
                <c:pt idx="0">
                  <c:v>2.1611384207306168</c:v>
                </c:pt>
              </c:numCache>
            </c:numRef>
          </c:yVal>
          <c:smooth val="0"/>
          <c:extLst>
            <c:ext xmlns:c16="http://schemas.microsoft.com/office/drawing/2014/chart" uri="{C3380CC4-5D6E-409C-BE32-E72D297353CC}">
              <c16:uniqueId val="{00000001-9420-4596-82C2-D845815FD659}"/>
            </c:ext>
          </c:extLst>
        </c:ser>
        <c:ser>
          <c:idx val="2"/>
          <c:order val="2"/>
          <c:tx>
            <c:strRef>
              <c:f>'3Y_OUTPUT'!$E$133</c:f>
              <c:strCache>
                <c:ptCount val="1"/>
                <c:pt idx="0">
                  <c:v>C3</c:v>
                </c:pt>
              </c:strCache>
            </c:strRef>
          </c:tx>
          <c:spPr>
            <a:ln w="25400" cap="flat" cmpd="dbl" algn="ctr">
              <a:solidFill>
                <a:schemeClr val="accent3">
                  <a:alpha val="50000"/>
                </a:schemeClr>
              </a:solidFill>
              <a:round/>
            </a:ln>
            <a:effectLst/>
          </c:spPr>
          <c:marker>
            <c:symbol val="circle"/>
            <c:size val="10"/>
            <c:spPr>
              <a:solidFill>
                <a:srgbClr val="7030A0"/>
              </a:solidFill>
              <a:ln w="9525" cap="flat" cmpd="dbl" algn="ctr">
                <a:solidFill>
                  <a:srgbClr val="7030A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'3Y_OUTPUT'!$E$139</c:f>
              <c:numCache>
                <c:formatCode>0.0</c:formatCode>
                <c:ptCount val="1"/>
                <c:pt idx="0">
                  <c:v>0.78425540683196626</c:v>
                </c:pt>
              </c:numCache>
            </c:numRef>
          </c:xVal>
          <c:yVal>
            <c:numRef>
              <c:f>'3Y_OUTPUT'!$E$134</c:f>
              <c:numCache>
                <c:formatCode>0.0</c:formatCode>
                <c:ptCount val="1"/>
                <c:pt idx="0">
                  <c:v>2.055813804423122</c:v>
                </c:pt>
              </c:numCache>
            </c:numRef>
          </c:yVal>
          <c:smooth val="0"/>
          <c:extLst>
            <c:ext xmlns:c16="http://schemas.microsoft.com/office/drawing/2014/chart" uri="{C3380CC4-5D6E-409C-BE32-E72D297353CC}">
              <c16:uniqueId val="{00000002-9420-4596-82C2-D845815FD659}"/>
            </c:ext>
          </c:extLst>
        </c:ser>
        <c:ser>
          <c:idx val="3"/>
          <c:order val="3"/>
          <c:tx>
            <c:strRef>
              <c:f>'3Y_OUTPUT'!$F$133</c:f>
              <c:strCache>
                <c:ptCount val="1"/>
                <c:pt idx="0">
                  <c:v>C4</c:v>
                </c:pt>
              </c:strCache>
            </c:strRef>
          </c:tx>
          <c:spPr>
            <a:ln w="25400" cap="flat" cmpd="dbl" algn="ctr">
              <a:solidFill>
                <a:schemeClr val="accent4">
                  <a:alpha val="50000"/>
                </a:schemeClr>
              </a:solidFill>
              <a:round/>
            </a:ln>
            <a:effectLst/>
          </c:spPr>
          <c:marker>
            <c:symbol val="circle"/>
            <c:size val="10"/>
            <c:spPr>
              <a:solidFill>
                <a:srgbClr val="0070C0"/>
              </a:solidFill>
              <a:ln w="9525" cap="flat" cmpd="dbl" algn="ctr">
                <a:solidFill>
                  <a:srgbClr val="0070C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'3Y_OUTPUT'!$F$139</c:f>
              <c:numCache>
                <c:formatCode>0.0</c:formatCode>
                <c:ptCount val="1"/>
                <c:pt idx="0">
                  <c:v>0.97941338560140645</c:v>
                </c:pt>
              </c:numCache>
            </c:numRef>
          </c:xVal>
          <c:yVal>
            <c:numRef>
              <c:f>'3Y_OUTPUT'!$F$134</c:f>
              <c:numCache>
                <c:formatCode>0.0</c:formatCode>
                <c:ptCount val="1"/>
                <c:pt idx="0">
                  <c:v>2.0320573875694903</c:v>
                </c:pt>
              </c:numCache>
            </c:numRef>
          </c:yVal>
          <c:smooth val="0"/>
          <c:extLst>
            <c:ext xmlns:c16="http://schemas.microsoft.com/office/drawing/2014/chart" uri="{C3380CC4-5D6E-409C-BE32-E72D297353CC}">
              <c16:uniqueId val="{00000003-9420-4596-82C2-D845815FD659}"/>
            </c:ext>
          </c:extLst>
        </c:ser>
        <c:dLbls>
          <c:showLegendKey val="0"/>
          <c:showVal val="0"/>
          <c:showCatName val="0"/>
          <c:showSerName val="0"/>
          <c:showPercent val="0"/>
          <c:showBubbleSize val="0"/>
        </c:dLbls>
        <c:axId val="253612416"/>
        <c:axId val="253614336"/>
      </c:scatterChart>
      <c:valAx>
        <c:axId val="253612416"/>
        <c:scaling>
          <c:orientation val="minMax"/>
          <c:max val="1"/>
          <c:min val="0.60000000000000009"/>
        </c:scaling>
        <c:delete val="0"/>
        <c:axPos val="b"/>
        <c:majorGridlines>
          <c:spPr>
            <a:ln w="9525" cap="flat" cmpd="sng" algn="ctr">
              <a:noFill/>
              <a:prstDash val="dash"/>
              <a:round/>
            </a:ln>
            <a:effectLst/>
          </c:spPr>
        </c:majorGridlines>
        <c:minorGridlines>
          <c:spPr>
            <a:ln w="9525" cap="flat" cmpd="sng" algn="ctr">
              <a:solidFill>
                <a:sysClr val="window" lastClr="FFFFFF"/>
              </a:solidFill>
              <a:round/>
            </a:ln>
            <a:effectLst/>
          </c:spPr>
        </c:minorGridlines>
        <c:title>
          <c:tx>
            <c:rich>
              <a:bodyPr rot="0" vert="horz"/>
              <a:lstStyle/>
              <a:p>
                <a:pPr>
                  <a:defRPr>
                    <a:solidFill>
                      <a:schemeClr val="accent1">
                        <a:lumMod val="75000"/>
                      </a:schemeClr>
                    </a:solidFill>
                  </a:defRPr>
                </a:pPr>
                <a:r>
                  <a:rPr lang="sr-Cyrl-RS">
                    <a:solidFill>
                      <a:schemeClr val="accent1">
                        <a:lumMod val="75000"/>
                      </a:schemeClr>
                    </a:solidFill>
                  </a:rPr>
                  <a:t>Ризик</a:t>
                </a:r>
              </a:p>
            </c:rich>
          </c:tx>
          <c:layout>
            <c:manualLayout>
              <c:xMode val="edge"/>
              <c:yMode val="edge"/>
              <c:x val="0.47124973398595482"/>
              <c:y val="0.92970168612191961"/>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1">
                    <a:lumMod val="75000"/>
                  </a:schemeClr>
                </a:solidFill>
              </a:defRPr>
            </a:pPr>
            <a:endParaRPr lang="en-US"/>
          </a:p>
        </c:txPr>
        <c:crossAx val="253614336"/>
        <c:crosses val="autoZero"/>
        <c:crossBetween val="midCat"/>
      </c:valAx>
      <c:valAx>
        <c:axId val="253614336"/>
        <c:scaling>
          <c:orientation val="minMax"/>
          <c:max val="2.4"/>
          <c:min val="1.6"/>
        </c:scaling>
        <c:delete val="0"/>
        <c:axPos val="l"/>
        <c:majorGridlines>
          <c:spPr>
            <a:ln w="9525" cap="flat" cmpd="sng" algn="ctr">
              <a:noFill/>
              <a:prstDash val="dash"/>
              <a:round/>
            </a:ln>
            <a:effectLst/>
          </c:spPr>
        </c:majorGridlines>
        <c:minorGridlines>
          <c:spPr>
            <a:ln w="9525" cap="flat" cmpd="sng" algn="ctr">
              <a:noFill/>
              <a:round/>
            </a:ln>
            <a:effectLst/>
          </c:spPr>
        </c:minorGridlines>
        <c:title>
          <c:tx>
            <c:rich>
              <a:bodyPr rot="-5400000" vert="horz"/>
              <a:lstStyle/>
              <a:p>
                <a:pPr>
                  <a:defRPr>
                    <a:solidFill>
                      <a:schemeClr val="accent5">
                        <a:lumMod val="50000"/>
                      </a:schemeClr>
                    </a:solidFill>
                  </a:defRPr>
                </a:pPr>
                <a:r>
                  <a:rPr lang="sr-Cyrl-CS">
                    <a:solidFill>
                      <a:schemeClr val="accent5">
                        <a:lumMod val="50000"/>
                      </a:schemeClr>
                    </a:solidFill>
                  </a:rPr>
                  <a:t>Трошкови (%)</a:t>
                </a:r>
              </a:p>
            </c:rich>
          </c:tx>
          <c:layout>
            <c:manualLayout>
              <c:xMode val="edge"/>
              <c:yMode val="edge"/>
              <c:x val="5.5101280905570449E-3"/>
              <c:y val="0.26999821173104432"/>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1">
                    <a:lumMod val="75000"/>
                  </a:schemeClr>
                </a:solidFill>
              </a:defRPr>
            </a:pPr>
            <a:endParaRPr lang="en-US"/>
          </a:p>
        </c:txPr>
        <c:crossAx val="253612416"/>
        <c:crosses val="autoZero"/>
        <c:crossBetween val="midCat"/>
        <c:majorUnit val="0.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en-US"/>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7368051268925991E-2"/>
          <c:y val="2.4498269896193772E-2"/>
          <c:w val="0.9372012977727866"/>
          <c:h val="0.90122138542350005"/>
        </c:manualLayout>
      </c:layout>
      <c:lineChart>
        <c:grouping val="standard"/>
        <c:varyColors val="0"/>
        <c:ser>
          <c:idx val="0"/>
          <c:order val="0"/>
          <c:spPr>
            <a:ln w="28575" cap="rnd" cmpd="sng" algn="ctr">
              <a:solidFill>
                <a:schemeClr val="accent1">
                  <a:shade val="40000"/>
                  <a:shade val="95000"/>
                  <a:satMod val="105000"/>
                </a:schemeClr>
              </a:solidFill>
              <a:prstDash val="solid"/>
              <a:round/>
            </a:ln>
            <a:effectLst/>
          </c:spPr>
          <c:marker>
            <c:spPr>
              <a:solidFill>
                <a:schemeClr val="accent1">
                  <a:shade val="38000"/>
                </a:schemeClr>
              </a:solidFill>
              <a:ln w="9525" cap="flat" cmpd="sng" algn="ctr">
                <a:solidFill>
                  <a:schemeClr val="accent1">
                    <a:shade val="38000"/>
                    <a:shade val="95000"/>
                    <a:satMod val="105000"/>
                  </a:schemeClr>
                </a:solidFill>
                <a:prstDash val="solid"/>
                <a:round/>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val>
          <c:smooth val="0"/>
          <c:extLst>
            <c:ext xmlns:c16="http://schemas.microsoft.com/office/drawing/2014/chart" uri="{C3380CC4-5D6E-409C-BE32-E72D297353CC}">
              <c16:uniqueId val="{00000000-5D17-414C-8B53-AC4789EBCFEF}"/>
            </c:ext>
          </c:extLst>
        </c:ser>
        <c:ser>
          <c:idx val="1"/>
          <c:order val="1"/>
          <c:spPr>
            <a:ln w="28575" cap="rnd" cmpd="sng" algn="ctr">
              <a:solidFill>
                <a:schemeClr val="accent1">
                  <a:shade val="51000"/>
                  <a:shade val="95000"/>
                  <a:satMod val="105000"/>
                </a:schemeClr>
              </a:solidFill>
              <a:prstDash val="solid"/>
              <a:round/>
            </a:ln>
            <a:effectLst/>
          </c:spPr>
          <c:marker>
            <c:symbol val="diamond"/>
            <c:size val="10"/>
            <c:spPr>
              <a:solidFill>
                <a:schemeClr val="accent1">
                  <a:shade val="45000"/>
                </a:schemeClr>
              </a:solidFill>
              <a:ln w="9525" cap="flat" cmpd="sng" algn="ctr">
                <a:solidFill>
                  <a:schemeClr val="accent1">
                    <a:shade val="45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kursa'!$H$51:$Q$51</c:f>
              <c:numCache>
                <c:formatCode>#,##0.0</c:formatCode>
                <c:ptCount val="10"/>
                <c:pt idx="0">
                  <c:v>67.678479463063553</c:v>
                </c:pt>
                <c:pt idx="1">
                  <c:v>57.788223811969416</c:v>
                </c:pt>
                <c:pt idx="2">
                  <c:v>53.621882530067857</c:v>
                </c:pt>
                <c:pt idx="3">
                  <c:v>51.9</c:v>
                </c:pt>
                <c:pt idx="4">
                  <c:v>57</c:v>
                </c:pt>
                <c:pt idx="5">
                  <c:v>56.510139896775023</c:v>
                </c:pt>
                <c:pt idx="6">
                  <c:v>56.10931547929178</c:v>
                </c:pt>
                <c:pt idx="7">
                  <c:v>55.065372276916669</c:v>
                </c:pt>
                <c:pt idx="8">
                  <c:v>54.066647568962324</c:v>
                </c:pt>
                <c:pt idx="9">
                  <c:v>52.955555923638499</c:v>
                </c:pt>
              </c:numCache>
            </c:numRef>
          </c:val>
          <c:smooth val="0"/>
          <c:extLst>
            <c:ext xmlns:c16="http://schemas.microsoft.com/office/drawing/2014/chart" uri="{C3380CC4-5D6E-409C-BE32-E72D297353CC}">
              <c16:uniqueId val="{00000001-5D17-414C-8B53-AC4789EBCFEF}"/>
            </c:ext>
          </c:extLst>
        </c:ser>
        <c:ser>
          <c:idx val="2"/>
          <c:order val="2"/>
          <c:spPr>
            <a:ln w="28575" cap="rnd" cmpd="sng" algn="ctr">
              <a:solidFill>
                <a:schemeClr val="accent1">
                  <a:shade val="62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kursa'!$H$52:$Q$52</c:f>
              <c:numCache>
                <c:formatCode>#,##0.0</c:formatCode>
                <c:ptCount val="10"/>
                <c:pt idx="0">
                  <c:v>67.678479463063553</c:v>
                </c:pt>
                <c:pt idx="1">
                  <c:v>57.788223811969416</c:v>
                </c:pt>
                <c:pt idx="2">
                  <c:v>53.621882530067857</c:v>
                </c:pt>
                <c:pt idx="3">
                  <c:v>51.9</c:v>
                </c:pt>
                <c:pt idx="4">
                  <c:v>57</c:v>
                </c:pt>
                <c:pt idx="5">
                  <c:v>56.510139896775023</c:v>
                </c:pt>
                <c:pt idx="6">
                  <c:v>56.946466466239912</c:v>
                </c:pt>
                <c:pt idx="7">
                  <c:v>55.886947631288272</c:v>
                </c:pt>
                <c:pt idx="8">
                  <c:v>54.873321950691242</c:v>
                </c:pt>
                <c:pt idx="9">
                  <c:v>53.745652818019153</c:v>
                </c:pt>
              </c:numCache>
            </c:numRef>
          </c:val>
          <c:smooth val="0"/>
          <c:extLst>
            <c:ext xmlns:c16="http://schemas.microsoft.com/office/drawing/2014/chart" uri="{C3380CC4-5D6E-409C-BE32-E72D297353CC}">
              <c16:uniqueId val="{00000002-5D17-414C-8B53-AC4789EBCFEF}"/>
            </c:ext>
          </c:extLst>
        </c:ser>
        <c:ser>
          <c:idx val="3"/>
          <c:order val="3"/>
          <c:spPr>
            <a:ln w="28575" cap="rnd" cmpd="sng" algn="ctr">
              <a:solidFill>
                <a:schemeClr val="accent1">
                  <a:shade val="73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kursa'!$H$53:$Q$53</c:f>
              <c:numCache>
                <c:formatCode>#,##0.0</c:formatCode>
                <c:ptCount val="10"/>
                <c:pt idx="0">
                  <c:v>67.678479463063553</c:v>
                </c:pt>
                <c:pt idx="1">
                  <c:v>57.788223811969416</c:v>
                </c:pt>
                <c:pt idx="2">
                  <c:v>53.621882530067857</c:v>
                </c:pt>
                <c:pt idx="3">
                  <c:v>51.9</c:v>
                </c:pt>
                <c:pt idx="4">
                  <c:v>57</c:v>
                </c:pt>
                <c:pt idx="5">
                  <c:v>56.510139896775023</c:v>
                </c:pt>
                <c:pt idx="6">
                  <c:v>57.783617453190892</c:v>
                </c:pt>
                <c:pt idx="7">
                  <c:v>56.708522985659862</c:v>
                </c:pt>
                <c:pt idx="8">
                  <c:v>55.679996332420146</c:v>
                </c:pt>
                <c:pt idx="9">
                  <c:v>54.535749712399827</c:v>
                </c:pt>
              </c:numCache>
            </c:numRef>
          </c:val>
          <c:smooth val="0"/>
          <c:extLst>
            <c:ext xmlns:c16="http://schemas.microsoft.com/office/drawing/2014/chart" uri="{C3380CC4-5D6E-409C-BE32-E72D297353CC}">
              <c16:uniqueId val="{00000003-5D17-414C-8B53-AC4789EBCFEF}"/>
            </c:ext>
          </c:extLst>
        </c:ser>
        <c:ser>
          <c:idx val="4"/>
          <c:order val="4"/>
          <c:spPr>
            <a:ln w="28575" cap="rnd" cmpd="sng" algn="ctr">
              <a:solidFill>
                <a:schemeClr val="accent1">
                  <a:shade val="83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kursa'!$H$54:$Q$54</c:f>
              <c:numCache>
                <c:formatCode>#,##0.0</c:formatCode>
                <c:ptCount val="10"/>
                <c:pt idx="0">
                  <c:v>67.678479463063553</c:v>
                </c:pt>
                <c:pt idx="1">
                  <c:v>57.788223811969416</c:v>
                </c:pt>
                <c:pt idx="2">
                  <c:v>53.621882530067857</c:v>
                </c:pt>
                <c:pt idx="3">
                  <c:v>51.9</c:v>
                </c:pt>
                <c:pt idx="4">
                  <c:v>57</c:v>
                </c:pt>
                <c:pt idx="5">
                  <c:v>56.510139896775023</c:v>
                </c:pt>
                <c:pt idx="6">
                  <c:v>58.620768440141887</c:v>
                </c:pt>
                <c:pt idx="7">
                  <c:v>57.530098340031465</c:v>
                </c:pt>
                <c:pt idx="8">
                  <c:v>56.486670714149078</c:v>
                </c:pt>
                <c:pt idx="9">
                  <c:v>55.32584660678053</c:v>
                </c:pt>
              </c:numCache>
            </c:numRef>
          </c:val>
          <c:smooth val="0"/>
          <c:extLst>
            <c:ext xmlns:c16="http://schemas.microsoft.com/office/drawing/2014/chart" uri="{C3380CC4-5D6E-409C-BE32-E72D297353CC}">
              <c16:uniqueId val="{00000004-5D17-414C-8B53-AC4789EBCFEF}"/>
            </c:ext>
          </c:extLst>
        </c:ser>
        <c:ser>
          <c:idx val="5"/>
          <c:order val="5"/>
          <c:spPr>
            <a:ln w="28575" cap="rnd" cmpd="sng" algn="ctr">
              <a:solidFill>
                <a:schemeClr val="accent1">
                  <a:shade val="94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kursa'!$H$55:$Q$55</c:f>
              <c:numCache>
                <c:formatCode>#,##0.0</c:formatCode>
                <c:ptCount val="10"/>
                <c:pt idx="0">
                  <c:v>67.678479463063553</c:v>
                </c:pt>
                <c:pt idx="1">
                  <c:v>57.788223811969416</c:v>
                </c:pt>
                <c:pt idx="2">
                  <c:v>53.621882530067857</c:v>
                </c:pt>
                <c:pt idx="3">
                  <c:v>51.9</c:v>
                </c:pt>
                <c:pt idx="4">
                  <c:v>57</c:v>
                </c:pt>
                <c:pt idx="5">
                  <c:v>56.510139896775023</c:v>
                </c:pt>
                <c:pt idx="6">
                  <c:v>59.457919427092889</c:v>
                </c:pt>
                <c:pt idx="7">
                  <c:v>58.351673694403061</c:v>
                </c:pt>
                <c:pt idx="8">
                  <c:v>57.293345095877989</c:v>
                </c:pt>
                <c:pt idx="9">
                  <c:v>56.115943501161205</c:v>
                </c:pt>
              </c:numCache>
            </c:numRef>
          </c:val>
          <c:smooth val="0"/>
          <c:extLst>
            <c:ext xmlns:c16="http://schemas.microsoft.com/office/drawing/2014/chart" uri="{C3380CC4-5D6E-409C-BE32-E72D297353CC}">
              <c16:uniqueId val="{00000005-5D17-414C-8B53-AC4789EBCFEF}"/>
            </c:ext>
          </c:extLst>
        </c:ser>
        <c:ser>
          <c:idx val="6"/>
          <c:order val="6"/>
          <c:spPr>
            <a:ln w="28575" cap="rnd" cmpd="sng" algn="ctr">
              <a:solidFill>
                <a:schemeClr val="accent1">
                  <a:tint val="95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6-5D17-414C-8B53-AC4789EBCFEF}"/>
                </c:ext>
              </c:extLst>
            </c:dLbl>
            <c:dLbl>
              <c:idx val="1"/>
              <c:delete val="1"/>
              <c:extLst>
                <c:ext xmlns:c15="http://schemas.microsoft.com/office/drawing/2012/chart" uri="{CE6537A1-D6FC-4f65-9D91-7224C49458BB}"/>
                <c:ext xmlns:c16="http://schemas.microsoft.com/office/drawing/2014/chart" uri="{C3380CC4-5D6E-409C-BE32-E72D297353CC}">
                  <c16:uniqueId val="{00000007-5D17-414C-8B53-AC4789EBCFEF}"/>
                </c:ext>
              </c:extLst>
            </c:dLbl>
            <c:dLbl>
              <c:idx val="2"/>
              <c:delete val="1"/>
              <c:extLst>
                <c:ext xmlns:c15="http://schemas.microsoft.com/office/drawing/2012/chart" uri="{CE6537A1-D6FC-4f65-9D91-7224C49458BB}"/>
                <c:ext xmlns:c16="http://schemas.microsoft.com/office/drawing/2014/chart" uri="{C3380CC4-5D6E-409C-BE32-E72D297353CC}">
                  <c16:uniqueId val="{00000008-5D17-414C-8B53-AC4789EBCFEF}"/>
                </c:ext>
              </c:extLst>
            </c:dLbl>
            <c:dLbl>
              <c:idx val="3"/>
              <c:delete val="1"/>
              <c:extLst>
                <c:ext xmlns:c15="http://schemas.microsoft.com/office/drawing/2012/chart" uri="{CE6537A1-D6FC-4f65-9D91-7224C49458BB}"/>
                <c:ext xmlns:c16="http://schemas.microsoft.com/office/drawing/2014/chart" uri="{C3380CC4-5D6E-409C-BE32-E72D297353CC}">
                  <c16:uniqueId val="{00000009-5D17-414C-8B53-AC4789EBCFEF}"/>
                </c:ext>
              </c:extLst>
            </c:dLbl>
            <c:dLbl>
              <c:idx val="4"/>
              <c:delete val="1"/>
              <c:extLst>
                <c:ext xmlns:c15="http://schemas.microsoft.com/office/drawing/2012/chart" uri="{CE6537A1-D6FC-4f65-9D91-7224C49458BB}"/>
                <c:ext xmlns:c16="http://schemas.microsoft.com/office/drawing/2014/chart" uri="{C3380CC4-5D6E-409C-BE32-E72D297353CC}">
                  <c16:uniqueId val="{0000000A-5D17-414C-8B53-AC4789EBCFEF}"/>
                </c:ext>
              </c:extLst>
            </c:dLbl>
            <c:dLbl>
              <c:idx val="5"/>
              <c:delete val="1"/>
              <c:extLst>
                <c:ext xmlns:c15="http://schemas.microsoft.com/office/drawing/2012/chart" uri="{CE6537A1-D6FC-4f65-9D91-7224C49458BB}"/>
                <c:ext xmlns:c16="http://schemas.microsoft.com/office/drawing/2014/chart" uri="{C3380CC4-5D6E-409C-BE32-E72D297353CC}">
                  <c16:uniqueId val="{0000000B-5D17-414C-8B53-AC4789EBCFE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kursa'!$H$56:$Q$56</c:f>
              <c:numCache>
                <c:formatCode>#,##0.0</c:formatCode>
                <c:ptCount val="10"/>
                <c:pt idx="0">
                  <c:v>67.678479463063553</c:v>
                </c:pt>
                <c:pt idx="1">
                  <c:v>57.788223811969416</c:v>
                </c:pt>
                <c:pt idx="2">
                  <c:v>53.621882530067857</c:v>
                </c:pt>
                <c:pt idx="3">
                  <c:v>51.9</c:v>
                </c:pt>
                <c:pt idx="4">
                  <c:v>57</c:v>
                </c:pt>
                <c:pt idx="5">
                  <c:v>56.510139896775023</c:v>
                </c:pt>
                <c:pt idx="6">
                  <c:v>60.295070414043884</c:v>
                </c:pt>
                <c:pt idx="7">
                  <c:v>59.173249048774657</c:v>
                </c:pt>
                <c:pt idx="8">
                  <c:v>58.100019477606899</c:v>
                </c:pt>
                <c:pt idx="9">
                  <c:v>56.906040395541893</c:v>
                </c:pt>
              </c:numCache>
            </c:numRef>
          </c:val>
          <c:smooth val="0"/>
          <c:extLst>
            <c:ext xmlns:c16="http://schemas.microsoft.com/office/drawing/2014/chart" uri="{C3380CC4-5D6E-409C-BE32-E72D297353CC}">
              <c16:uniqueId val="{0000000C-5D17-414C-8B53-AC4789EBCFEF}"/>
            </c:ext>
          </c:extLst>
        </c:ser>
        <c:ser>
          <c:idx val="7"/>
          <c:order val="7"/>
          <c:spPr>
            <a:ln w="28575" cap="rnd" cmpd="sng" algn="ctr">
              <a:solidFill>
                <a:schemeClr val="accent1">
                  <a:tint val="84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kursa'!$H$57:$Q$57</c:f>
              <c:numCache>
                <c:formatCode>#,##0.0</c:formatCode>
                <c:ptCount val="10"/>
                <c:pt idx="0">
                  <c:v>67.678479463063553</c:v>
                </c:pt>
                <c:pt idx="1">
                  <c:v>57.788223811969416</c:v>
                </c:pt>
                <c:pt idx="2">
                  <c:v>53.621882530067857</c:v>
                </c:pt>
                <c:pt idx="3">
                  <c:v>51.9</c:v>
                </c:pt>
                <c:pt idx="4">
                  <c:v>57</c:v>
                </c:pt>
                <c:pt idx="5">
                  <c:v>56.510139896775023</c:v>
                </c:pt>
                <c:pt idx="6">
                  <c:v>55.272164492337929</c:v>
                </c:pt>
                <c:pt idx="7">
                  <c:v>54.243796922545073</c:v>
                </c:pt>
                <c:pt idx="8">
                  <c:v>53.259973187233392</c:v>
                </c:pt>
                <c:pt idx="9">
                  <c:v>52.165459029257768</c:v>
                </c:pt>
              </c:numCache>
            </c:numRef>
          </c:val>
          <c:smooth val="0"/>
          <c:extLst>
            <c:ext xmlns:c16="http://schemas.microsoft.com/office/drawing/2014/chart" uri="{C3380CC4-5D6E-409C-BE32-E72D297353CC}">
              <c16:uniqueId val="{0000000D-5D17-414C-8B53-AC4789EBCFEF}"/>
            </c:ext>
          </c:extLst>
        </c:ser>
        <c:ser>
          <c:idx val="8"/>
          <c:order val="8"/>
          <c:spPr>
            <a:ln w="28575" cap="rnd" cmpd="sng" algn="ctr">
              <a:solidFill>
                <a:schemeClr val="accent1">
                  <a:tint val="74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kursa'!$H$58:$Q$58</c:f>
              <c:numCache>
                <c:formatCode>#,##0.0</c:formatCode>
                <c:ptCount val="10"/>
                <c:pt idx="0">
                  <c:v>67.678479463063553</c:v>
                </c:pt>
                <c:pt idx="1">
                  <c:v>57.788223811969416</c:v>
                </c:pt>
                <c:pt idx="2">
                  <c:v>53.621882530067857</c:v>
                </c:pt>
                <c:pt idx="3">
                  <c:v>51.9</c:v>
                </c:pt>
                <c:pt idx="4">
                  <c:v>57</c:v>
                </c:pt>
                <c:pt idx="5">
                  <c:v>56.510139896775023</c:v>
                </c:pt>
                <c:pt idx="6">
                  <c:v>54.435013505386934</c:v>
                </c:pt>
                <c:pt idx="7">
                  <c:v>53.422221568173477</c:v>
                </c:pt>
                <c:pt idx="8">
                  <c:v>52.453298805504488</c:v>
                </c:pt>
                <c:pt idx="9">
                  <c:v>51.375362134877101</c:v>
                </c:pt>
              </c:numCache>
            </c:numRef>
          </c:val>
          <c:smooth val="0"/>
          <c:extLst>
            <c:ext xmlns:c16="http://schemas.microsoft.com/office/drawing/2014/chart" uri="{C3380CC4-5D6E-409C-BE32-E72D297353CC}">
              <c16:uniqueId val="{0000000E-5D17-414C-8B53-AC4789EBCFEF}"/>
            </c:ext>
          </c:extLst>
        </c:ser>
        <c:ser>
          <c:idx val="9"/>
          <c:order val="9"/>
          <c:spPr>
            <a:ln w="28575" cap="rnd" cmpd="sng" algn="ctr">
              <a:solidFill>
                <a:schemeClr val="accent1">
                  <a:tint val="63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kursa'!$H$59:$Q$59</c:f>
              <c:numCache>
                <c:formatCode>#,##0.0</c:formatCode>
                <c:ptCount val="10"/>
                <c:pt idx="0">
                  <c:v>67.678479463063553</c:v>
                </c:pt>
                <c:pt idx="1">
                  <c:v>57.788223811969416</c:v>
                </c:pt>
                <c:pt idx="2">
                  <c:v>53.621882530067857</c:v>
                </c:pt>
                <c:pt idx="3">
                  <c:v>51.9</c:v>
                </c:pt>
                <c:pt idx="4">
                  <c:v>57</c:v>
                </c:pt>
                <c:pt idx="5">
                  <c:v>56.510139896775023</c:v>
                </c:pt>
                <c:pt idx="6">
                  <c:v>53.597862518435946</c:v>
                </c:pt>
                <c:pt idx="7">
                  <c:v>52.60064621380188</c:v>
                </c:pt>
                <c:pt idx="8">
                  <c:v>51.646624423775556</c:v>
                </c:pt>
                <c:pt idx="9">
                  <c:v>50.585265240496405</c:v>
                </c:pt>
              </c:numCache>
            </c:numRef>
          </c:val>
          <c:smooth val="0"/>
          <c:extLst>
            <c:ext xmlns:c16="http://schemas.microsoft.com/office/drawing/2014/chart" uri="{C3380CC4-5D6E-409C-BE32-E72D297353CC}">
              <c16:uniqueId val="{0000000F-5D17-414C-8B53-AC4789EBCFEF}"/>
            </c:ext>
          </c:extLst>
        </c:ser>
        <c:ser>
          <c:idx val="10"/>
          <c:order val="10"/>
          <c:spPr>
            <a:ln w="28575" cap="rnd" cmpd="sng" algn="ctr">
              <a:solidFill>
                <a:schemeClr val="accent1">
                  <a:tint val="52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kursa'!$H$60:$Q$60</c:f>
              <c:numCache>
                <c:formatCode>#,##0.0</c:formatCode>
                <c:ptCount val="10"/>
                <c:pt idx="0">
                  <c:v>67.678479463063553</c:v>
                </c:pt>
                <c:pt idx="1">
                  <c:v>57.788223811969416</c:v>
                </c:pt>
                <c:pt idx="2">
                  <c:v>53.621882530067857</c:v>
                </c:pt>
                <c:pt idx="3">
                  <c:v>51.9</c:v>
                </c:pt>
                <c:pt idx="4">
                  <c:v>57</c:v>
                </c:pt>
                <c:pt idx="5">
                  <c:v>56.510139896775023</c:v>
                </c:pt>
                <c:pt idx="6">
                  <c:v>52.760711531484951</c:v>
                </c:pt>
                <c:pt idx="7">
                  <c:v>51.779070859430284</c:v>
                </c:pt>
                <c:pt idx="8">
                  <c:v>50.839950042046652</c:v>
                </c:pt>
                <c:pt idx="9">
                  <c:v>49.795168346115723</c:v>
                </c:pt>
              </c:numCache>
            </c:numRef>
          </c:val>
          <c:smooth val="0"/>
          <c:extLst>
            <c:ext xmlns:c16="http://schemas.microsoft.com/office/drawing/2014/chart" uri="{C3380CC4-5D6E-409C-BE32-E72D297353CC}">
              <c16:uniqueId val="{00000010-5D17-414C-8B53-AC4789EBCFEF}"/>
            </c:ext>
          </c:extLst>
        </c:ser>
        <c:ser>
          <c:idx val="11"/>
          <c:order val="11"/>
          <c:spPr>
            <a:ln w="28575" cap="rnd" cmpd="sng" algn="ctr">
              <a:solidFill>
                <a:schemeClr val="accent1">
                  <a:tint val="41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1-5D17-414C-8B53-AC4789EBCFEF}"/>
                </c:ext>
              </c:extLst>
            </c:dLbl>
            <c:dLbl>
              <c:idx val="1"/>
              <c:delete val="1"/>
              <c:extLst>
                <c:ext xmlns:c15="http://schemas.microsoft.com/office/drawing/2012/chart" uri="{CE6537A1-D6FC-4f65-9D91-7224C49458BB}"/>
                <c:ext xmlns:c16="http://schemas.microsoft.com/office/drawing/2014/chart" uri="{C3380CC4-5D6E-409C-BE32-E72D297353CC}">
                  <c16:uniqueId val="{00000012-5D17-414C-8B53-AC4789EBCFEF}"/>
                </c:ext>
              </c:extLst>
            </c:dLbl>
            <c:dLbl>
              <c:idx val="2"/>
              <c:delete val="1"/>
              <c:extLst>
                <c:ext xmlns:c15="http://schemas.microsoft.com/office/drawing/2012/chart" uri="{CE6537A1-D6FC-4f65-9D91-7224C49458BB}"/>
                <c:ext xmlns:c16="http://schemas.microsoft.com/office/drawing/2014/chart" uri="{C3380CC4-5D6E-409C-BE32-E72D297353CC}">
                  <c16:uniqueId val="{00000013-5D17-414C-8B53-AC4789EBCFEF}"/>
                </c:ext>
              </c:extLst>
            </c:dLbl>
            <c:dLbl>
              <c:idx val="3"/>
              <c:delete val="1"/>
              <c:extLst>
                <c:ext xmlns:c15="http://schemas.microsoft.com/office/drawing/2012/chart" uri="{CE6537A1-D6FC-4f65-9D91-7224C49458BB}"/>
                <c:ext xmlns:c16="http://schemas.microsoft.com/office/drawing/2014/chart" uri="{C3380CC4-5D6E-409C-BE32-E72D297353CC}">
                  <c16:uniqueId val="{00000014-5D17-414C-8B53-AC4789EBCFEF}"/>
                </c:ext>
              </c:extLst>
            </c:dLbl>
            <c:dLbl>
              <c:idx val="4"/>
              <c:delete val="1"/>
              <c:extLst>
                <c:ext xmlns:c15="http://schemas.microsoft.com/office/drawing/2012/chart" uri="{CE6537A1-D6FC-4f65-9D91-7224C49458BB}"/>
                <c:ext xmlns:c16="http://schemas.microsoft.com/office/drawing/2014/chart" uri="{C3380CC4-5D6E-409C-BE32-E72D297353CC}">
                  <c16:uniqueId val="{00000015-5D17-414C-8B53-AC4789EBCFEF}"/>
                </c:ext>
              </c:extLst>
            </c:dLbl>
            <c:dLbl>
              <c:idx val="5"/>
              <c:delete val="1"/>
              <c:extLst>
                <c:ext xmlns:c15="http://schemas.microsoft.com/office/drawing/2012/chart" uri="{CE6537A1-D6FC-4f65-9D91-7224C49458BB}"/>
                <c:ext xmlns:c16="http://schemas.microsoft.com/office/drawing/2014/chart" uri="{C3380CC4-5D6E-409C-BE32-E72D297353CC}">
                  <c16:uniqueId val="{00000016-5D17-414C-8B53-AC4789EBCFEF}"/>
                </c:ext>
              </c:extLst>
            </c:dLbl>
            <c:dLbl>
              <c:idx val="7"/>
              <c:layout>
                <c:manualLayout>
                  <c:x val="-8.453486727332736E-2"/>
                  <c:y val="3.8899656773672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D17-414C-8B53-AC4789EBCFEF}"/>
                </c:ext>
              </c:extLst>
            </c:dLbl>
            <c:dLbl>
              <c:idx val="8"/>
              <c:layout>
                <c:manualLayout>
                  <c:x val="-8.0787909341825129E-2"/>
                  <c:y val="2.79409785315295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D17-414C-8B53-AC4789EBCFEF}"/>
                </c:ext>
              </c:extLst>
            </c:dLbl>
            <c:dLbl>
              <c:idx val="9"/>
              <c:layout>
                <c:manualLayout>
                  <c:x val="-5.4612185148249165E-3"/>
                  <c:y val="1.8001528812968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D17-414C-8B53-AC4789EBCFE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kursa'!$H$61:$Q$61</c:f>
              <c:numCache>
                <c:formatCode>#,##0.0</c:formatCode>
                <c:ptCount val="10"/>
                <c:pt idx="0">
                  <c:v>67.678479463063553</c:v>
                </c:pt>
                <c:pt idx="1">
                  <c:v>57.788223811969416</c:v>
                </c:pt>
                <c:pt idx="2">
                  <c:v>53.621882530067857</c:v>
                </c:pt>
                <c:pt idx="3">
                  <c:v>51.9</c:v>
                </c:pt>
                <c:pt idx="4">
                  <c:v>57</c:v>
                </c:pt>
                <c:pt idx="5">
                  <c:v>56.510139896775023</c:v>
                </c:pt>
                <c:pt idx="6">
                  <c:v>51.923560544533963</c:v>
                </c:pt>
                <c:pt idx="7">
                  <c:v>50.957495505058695</c:v>
                </c:pt>
                <c:pt idx="8">
                  <c:v>50.033275660317734</c:v>
                </c:pt>
                <c:pt idx="9">
                  <c:v>49.005071451735034</c:v>
                </c:pt>
              </c:numCache>
            </c:numRef>
          </c:val>
          <c:smooth val="0"/>
          <c:extLst>
            <c:ext xmlns:c16="http://schemas.microsoft.com/office/drawing/2014/chart" uri="{C3380CC4-5D6E-409C-BE32-E72D297353CC}">
              <c16:uniqueId val="{00000019-5D17-414C-8B53-AC4789EBCFEF}"/>
            </c:ext>
          </c:extLst>
        </c:ser>
        <c:dLbls>
          <c:showLegendKey val="0"/>
          <c:showVal val="0"/>
          <c:showCatName val="0"/>
          <c:showSerName val="0"/>
          <c:showPercent val="0"/>
          <c:showBubbleSize val="0"/>
        </c:dLbls>
        <c:marker val="1"/>
        <c:smooth val="0"/>
        <c:axId val="75069312"/>
        <c:axId val="75070848"/>
      </c:lineChart>
      <c:catAx>
        <c:axId val="75069312"/>
        <c:scaling>
          <c:orientation val="minMax"/>
        </c:scaling>
        <c:delete val="0"/>
        <c:axPos val="b"/>
        <c:majorGridlines>
          <c:spPr>
            <a:ln w="9525" cap="flat" cmpd="sng" algn="ctr">
              <a:noFill/>
              <a:prstDash val="solid"/>
              <a:round/>
            </a:ln>
            <a:effectLst/>
          </c:spPr>
        </c:majorGridlines>
        <c:minorGridlines>
          <c:spPr>
            <a:ln w="9525" cap="flat" cmpd="sng" algn="ctr">
              <a:noFill/>
              <a:prstDash val="solid"/>
              <a:round/>
            </a:ln>
            <a:effectLst/>
          </c:spPr>
        </c:min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1" i="0" u="none" strike="noStrike" kern="1200" baseline="0">
                <a:solidFill>
                  <a:schemeClr val="tx1"/>
                </a:solidFill>
                <a:latin typeface="+mn-lt"/>
                <a:ea typeface="+mn-ea"/>
                <a:cs typeface="+mn-cs"/>
              </a:defRPr>
            </a:pPr>
            <a:endParaRPr lang="en-US"/>
          </a:p>
        </c:txPr>
        <c:crossAx val="75070848"/>
        <c:crosses val="autoZero"/>
        <c:auto val="0"/>
        <c:lblAlgn val="ctr"/>
        <c:lblOffset val="100"/>
        <c:noMultiLvlLbl val="0"/>
      </c:catAx>
      <c:valAx>
        <c:axId val="75070848"/>
        <c:scaling>
          <c:orientation val="minMax"/>
          <c:max val="70"/>
          <c:min val="45"/>
        </c:scaling>
        <c:delete val="0"/>
        <c:axPos val="l"/>
        <c:majorGridlines>
          <c:spPr>
            <a:ln w="9525" cap="flat" cmpd="sng" algn="ctr">
              <a:noFill/>
              <a:prstDash val="solid"/>
              <a:round/>
            </a:ln>
            <a:effectLst/>
          </c:spPr>
        </c:majorGridlines>
        <c:numFmt formatCode="#,##0.0"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800" b="1" i="0" u="none" strike="noStrike" kern="1200" baseline="0">
                <a:solidFill>
                  <a:schemeClr val="tx1"/>
                </a:solidFill>
                <a:latin typeface="+mn-lt"/>
                <a:ea typeface="+mn-ea"/>
                <a:cs typeface="+mn-cs"/>
              </a:defRPr>
            </a:pPr>
            <a:endParaRPr lang="en-US"/>
          </a:p>
        </c:txPr>
        <c:crossAx val="75069312"/>
        <c:crosses val="autoZero"/>
        <c:crossBetween val="between"/>
        <c:majorUnit val="10"/>
        <c:minorUnit val="2"/>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590421037E-2"/>
          <c:y val="0.11348336551369499"/>
          <c:w val="0.91418918918918923"/>
          <c:h val="0.73303303303303291"/>
        </c:manualLayout>
      </c:layout>
      <c:barChart>
        <c:barDir val="col"/>
        <c:grouping val="clustered"/>
        <c:varyColors val="0"/>
        <c:ser>
          <c:idx val="0"/>
          <c:order val="0"/>
          <c:tx>
            <c:strRef>
              <c:f>'Osn. makroekon. agregati'!$B$5</c:f>
              <c:strCache>
                <c:ptCount val="1"/>
                <c:pt idx="0">
                  <c:v>Реални раст БДП,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602D-4303-A3D1-698BD6C92D52}"/>
              </c:ext>
            </c:extLst>
          </c:dPt>
          <c:dPt>
            <c:idx val="1"/>
            <c:invertIfNegative val="0"/>
            <c:bubble3D val="0"/>
            <c:spPr>
              <a:solidFill>
                <a:srgbClr val="ED1C24"/>
              </a:solidFill>
              <a:ln>
                <a:noFill/>
              </a:ln>
              <a:effectLst/>
            </c:spPr>
            <c:extLst>
              <c:ext xmlns:c16="http://schemas.microsoft.com/office/drawing/2014/chart" uri="{C3380CC4-5D6E-409C-BE32-E72D297353CC}">
                <c16:uniqueId val="{00000003-602D-4303-A3D1-698BD6C92D52}"/>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2D-4303-A3D1-698BD6C92D52}"/>
                </c:ext>
              </c:extLst>
            </c:dLbl>
            <c:dLbl>
              <c:idx val="1"/>
              <c:layout>
                <c:manualLayout>
                  <c:x val="-8.7398890260461573E-17"/>
                  <c:y val="0"/>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2D-4303-A3D1-698BD6C92D5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agregati'!$E$5,'Osn. makroekon. agregati'!$F$5)</c:f>
              <c:numCache>
                <c:formatCode>0.0</c:formatCode>
                <c:ptCount val="2"/>
                <c:pt idx="0">
                  <c:v>4</c:v>
                </c:pt>
                <c:pt idx="1">
                  <c:v>2.5</c:v>
                </c:pt>
              </c:numCache>
            </c:numRef>
          </c:val>
          <c:extLst>
            <c:ext xmlns:c16="http://schemas.microsoft.com/office/drawing/2014/chart" uri="{C3380CC4-5D6E-409C-BE32-E72D297353CC}">
              <c16:uniqueId val="{00000004-602D-4303-A3D1-698BD6C92D52}"/>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202</a:t>
                </a:r>
                <a:r>
                  <a:rPr lang="sr-Cyrl-RS" b="1"/>
                  <a:t>3</a:t>
                </a:r>
                <a:endParaRPr lang="en-GB" b="1"/>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agregati'!$B$6</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46A0-4F27-979F-F6E38263E57F}"/>
              </c:ext>
            </c:extLst>
          </c:dPt>
          <c:dPt>
            <c:idx val="1"/>
            <c:invertIfNegative val="0"/>
            <c:bubble3D val="0"/>
            <c:spPr>
              <a:solidFill>
                <a:srgbClr val="ED1C24"/>
              </a:solidFill>
              <a:ln>
                <a:noFill/>
              </a:ln>
              <a:effectLst/>
            </c:spPr>
            <c:extLst>
              <c:ext xmlns:c16="http://schemas.microsoft.com/office/drawing/2014/chart" uri="{C3380CC4-5D6E-409C-BE32-E72D297353CC}">
                <c16:uniqueId val="{00000003-46A0-4F27-979F-F6E38263E57F}"/>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6A0-4F27-979F-F6E38263E57F}"/>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6A0-4F27-979F-F6E38263E57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agregati'!$C$6,'Osn. makroekon. agregati'!$D$6)</c:f>
              <c:numCache>
                <c:formatCode>0.0</c:formatCode>
                <c:ptCount val="2"/>
                <c:pt idx="0">
                  <c:v>-6.7</c:v>
                </c:pt>
                <c:pt idx="1">
                  <c:v>-9</c:v>
                </c:pt>
              </c:numCache>
            </c:numRef>
          </c:val>
          <c:extLst>
            <c:ext xmlns:c16="http://schemas.microsoft.com/office/drawing/2014/chart" uri="{C3380CC4-5D6E-409C-BE32-E72D297353CC}">
              <c16:uniqueId val="{00000004-46A0-4F27-979F-F6E38263E57F}"/>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1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agregati'!$B$6</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214D-4B3C-ABF6-D83B1021B3E0}"/>
              </c:ext>
            </c:extLst>
          </c:dPt>
          <c:dPt>
            <c:idx val="1"/>
            <c:invertIfNegative val="0"/>
            <c:bubble3D val="0"/>
            <c:spPr>
              <a:solidFill>
                <a:srgbClr val="ED1C24"/>
              </a:solidFill>
              <a:ln>
                <a:noFill/>
              </a:ln>
              <a:effectLst/>
            </c:spPr>
            <c:extLst>
              <c:ext xmlns:c16="http://schemas.microsoft.com/office/drawing/2014/chart" uri="{C3380CC4-5D6E-409C-BE32-E72D297353CC}">
                <c16:uniqueId val="{00000003-214D-4B3C-ABF6-D83B1021B3E0}"/>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4D-4B3C-ABF6-D83B1021B3E0}"/>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14D-4B3C-ABF6-D83B1021B3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agregati'!$E$6,'Osn. makroekon. agregati'!$F$6)</c:f>
              <c:numCache>
                <c:formatCode>0.0</c:formatCode>
                <c:ptCount val="2"/>
                <c:pt idx="0">
                  <c:v>-6.9</c:v>
                </c:pt>
                <c:pt idx="1">
                  <c:v>-8.5</c:v>
                </c:pt>
              </c:numCache>
            </c:numRef>
          </c:val>
          <c:extLst>
            <c:ext xmlns:c16="http://schemas.microsoft.com/office/drawing/2014/chart" uri="{C3380CC4-5D6E-409C-BE32-E72D297353CC}">
              <c16:uniqueId val="{00000004-214D-4B3C-ABF6-D83B1021B3E0}"/>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3</a:t>
                </a:r>
                <a:endParaRPr lang="en-US" b="1"/>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1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withinLinear" id="14">
  <a:schemeClr val="accent1"/>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withinLinear" id="16">
  <a:schemeClr val="accent3"/>
</cs:colorStyle>
</file>

<file path=word/charts/colors46.xml><?xml version="1.0" encoding="utf-8"?>
<cs:colorStyle xmlns:cs="http://schemas.microsoft.com/office/drawing/2012/chartStyle" xmlns:a="http://schemas.openxmlformats.org/drawingml/2006/main" meth="withinLinear" id="16">
  <a:schemeClr val="accent3"/>
</cs:colorStyle>
</file>

<file path=word/charts/colors4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withinLinear" id="14">
  <a:schemeClr val="accent1"/>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46.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47.xml><?xml version="1.0" encoding="utf-8"?>
<cs:chartStyle xmlns:cs="http://schemas.microsoft.com/office/drawing/2012/chartStyle" xmlns:a="http://schemas.openxmlformats.org/drawingml/2006/main" id="34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1.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0.08102</cdr:x>
      <cdr:y>0.76088</cdr:y>
    </cdr:from>
    <cdr:to>
      <cdr:x>0.90625</cdr:x>
      <cdr:y>0.97807</cdr:y>
    </cdr:to>
    <cdr:grpSp>
      <cdr:nvGrpSpPr>
        <cdr:cNvPr id="9" name="Group 8">
          <a:extLst xmlns:a="http://schemas.openxmlformats.org/drawingml/2006/main">
            <a:ext uri="{FF2B5EF4-FFF2-40B4-BE49-F238E27FC236}">
              <a16:creationId xmlns:a16="http://schemas.microsoft.com/office/drawing/2014/main" id="{D826C8D3-8C33-4439-AE96-2E607EE03160}"/>
            </a:ext>
          </a:extLst>
        </cdr:cNvPr>
        <cdr:cNvGrpSpPr/>
      </cdr:nvGrpSpPr>
      <cdr:grpSpPr>
        <a:xfrm xmlns:a="http://schemas.openxmlformats.org/drawingml/2006/main">
          <a:off x="222254" y="1652403"/>
          <a:ext cx="2263771" cy="471672"/>
          <a:chOff x="-19080" y="-213509"/>
          <a:chExt cx="2267555" cy="556713"/>
        </a:xfrm>
      </cdr:grpSpPr>
      <cdr:grpSp>
        <cdr:nvGrpSpPr>
          <cdr:cNvPr id="10" name="Group 9">
            <a:extLst xmlns:a="http://schemas.openxmlformats.org/drawingml/2006/main">
              <a:ext uri="{FF2B5EF4-FFF2-40B4-BE49-F238E27FC236}">
                <a16:creationId xmlns:a16="http://schemas.microsoft.com/office/drawing/2014/main" id="{7907F2C1-0652-4BF0-87FC-B9FFA921F61E}"/>
              </a:ext>
            </a:extLst>
          </cdr:cNvPr>
          <cdr:cNvGrpSpPr/>
        </cdr:nvGrpSpPr>
        <cdr:grpSpPr>
          <a:xfrm xmlns:a="http://schemas.openxmlformats.org/drawingml/2006/main">
            <a:off x="683767" y="-213509"/>
            <a:ext cx="1564708" cy="295284"/>
            <a:chOff x="682627" y="-213502"/>
            <a:chExt cx="1562100" cy="295273"/>
          </a:xfrm>
        </cdr:grpSpPr>
        <cdr:sp macro="" textlink="">
          <cdr:nvSpPr>
            <cdr:cNvPr id="13" name="TextBox 5"/>
            <cdr:cNvSpPr txBox="1"/>
          </cdr:nvSpPr>
          <cdr:spPr>
            <a:xfrm xmlns:a="http://schemas.openxmlformats.org/drawingml/2006/main">
              <a:off x="682627" y="-156096"/>
              <a:ext cx="469049" cy="180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A651"/>
                  </a:solidFill>
                </a:rPr>
                <a:t>Храна</a:t>
              </a:r>
              <a:endParaRPr lang="en-GB" sz="700" b="0">
                <a:solidFill>
                  <a:srgbClr val="00A651"/>
                </a:solidFill>
              </a:endParaRPr>
            </a:p>
          </cdr:txBody>
        </cdr:sp>
        <cdr:sp macro="" textlink="">
          <cdr:nvSpPr>
            <cdr:cNvPr id="14" name="TextBox 1"/>
            <cdr:cNvSpPr txBox="1"/>
          </cdr:nvSpPr>
          <cdr:spPr>
            <a:xfrm xmlns:a="http://schemas.openxmlformats.org/drawingml/2006/main">
              <a:off x="1128485" y="-174156"/>
              <a:ext cx="576965" cy="2165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EC008C"/>
                  </a:solidFill>
                </a:rPr>
                <a:t>Метали</a:t>
              </a:r>
              <a:endParaRPr lang="en-GB" sz="700" b="0">
                <a:solidFill>
                  <a:srgbClr val="EC008C"/>
                </a:solidFill>
              </a:endParaRPr>
            </a:p>
          </cdr:txBody>
        </cdr:sp>
        <cdr:sp macro="" textlink="">
          <cdr:nvSpPr>
            <cdr:cNvPr id="15" name="TextBox 1"/>
            <cdr:cNvSpPr txBox="1"/>
          </cdr:nvSpPr>
          <cdr:spPr>
            <a:xfrm xmlns:a="http://schemas.openxmlformats.org/drawingml/2006/main">
              <a:off x="1622678" y="-213502"/>
              <a:ext cx="622049" cy="29527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3891"/>
                  </a:solidFill>
                </a:rPr>
                <a:t>Просечна цена нафте</a:t>
              </a:r>
              <a:endParaRPr lang="en-GB" sz="700" b="0">
                <a:solidFill>
                  <a:srgbClr val="003891"/>
                </a:solidFill>
              </a:endParaRPr>
            </a:p>
          </cdr:txBody>
        </cdr:sp>
      </cdr:grpSp>
      <cdr:sp macro="" textlink="">
        <cdr:nvSpPr>
          <cdr:cNvPr id="11" name="TextBox 1"/>
          <cdr:cNvSpPr txBox="1"/>
        </cdr:nvSpPr>
        <cdr:spPr>
          <a:xfrm xmlns:a="http://schemas.openxmlformats.org/drawingml/2006/main">
            <a:off x="-19080" y="20467"/>
            <a:ext cx="794653" cy="1660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апр.</a:t>
            </a:r>
            <a:r>
              <a:rPr lang="sr-Cyrl-RS" sz="700" b="0" baseline="0">
                <a:solidFill>
                  <a:schemeClr val="tx2"/>
                </a:solidFill>
              </a:rPr>
              <a:t> 2022.</a:t>
            </a:r>
            <a:endParaRPr lang="en-GB" sz="700" b="0">
              <a:solidFill>
                <a:schemeClr val="tx2"/>
              </a:solidFill>
            </a:endParaRPr>
          </a:p>
        </cdr:txBody>
      </cdr:sp>
      <cdr:sp macro="" textlink="">
        <cdr:nvSpPr>
          <cdr:cNvPr id="12" name="TextBox 1"/>
          <cdr:cNvSpPr txBox="1"/>
        </cdr:nvSpPr>
        <cdr:spPr>
          <a:xfrm xmlns:a="http://schemas.openxmlformats.org/drawingml/2006/main">
            <a:off x="-19080" y="179742"/>
            <a:ext cx="794653" cy="163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окт.</a:t>
            </a:r>
            <a:r>
              <a:rPr lang="sr-Cyrl-RS" sz="700" b="0" baseline="0">
                <a:solidFill>
                  <a:schemeClr val="tx2"/>
                </a:solidFill>
              </a:rPr>
              <a:t> 2022.</a:t>
            </a:r>
            <a:endParaRPr lang="en-GB" sz="700" b="0">
              <a:solidFill>
                <a:schemeClr val="tx2"/>
              </a:solidFill>
            </a:endParaRPr>
          </a:p>
        </cdr:txBody>
      </cdr:sp>
    </cdr:grpSp>
  </cdr:relSizeAnchor>
</c:userShapes>
</file>

<file path=word/drawings/drawing10.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773152"/>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0.63166</cdr:y>
    </cdr:from>
    <cdr:to>
      <cdr:x>0.92484</cdr:x>
      <cdr:y>0.86764</cdr:y>
    </cdr:to>
    <cdr:sp macro="" textlink="">
      <cdr:nvSpPr>
        <cdr:cNvPr id="3" name="TextBox 1"/>
        <cdr:cNvSpPr txBox="1"/>
      </cdr:nvSpPr>
      <cdr:spPr>
        <a:xfrm xmlns:a="http://schemas.openxmlformats.org/drawingml/2006/main">
          <a:off x="688976" y="773152"/>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1.xml><?xml version="1.0" encoding="utf-8"?>
<c:userShapes xmlns:c="http://schemas.openxmlformats.org/drawingml/2006/chart">
  <cdr:relSizeAnchor xmlns:cdr="http://schemas.openxmlformats.org/drawingml/2006/chartDrawing">
    <cdr:from>
      <cdr:x>0.06674</cdr:x>
      <cdr:y>0.62451</cdr:y>
    </cdr:from>
    <cdr:to>
      <cdr:x>0.47434</cdr:x>
      <cdr:y>0.86049</cdr:y>
    </cdr:to>
    <cdr:sp macro="" textlink="">
      <cdr:nvSpPr>
        <cdr:cNvPr id="2" name="TextBox 1"/>
        <cdr:cNvSpPr txBox="1"/>
      </cdr:nvSpPr>
      <cdr:spPr>
        <a:xfrm xmlns:a="http://schemas.openxmlformats.org/drawingml/2006/main">
          <a:off x="88899" y="764400"/>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0.62451</cdr:y>
    </cdr:from>
    <cdr:to>
      <cdr:x>0.92484</cdr:x>
      <cdr:y>0.86049</cdr:y>
    </cdr:to>
    <cdr:sp macro="" textlink="">
      <cdr:nvSpPr>
        <cdr:cNvPr id="3" name="TextBox 1"/>
        <cdr:cNvSpPr txBox="1"/>
      </cdr:nvSpPr>
      <cdr:spPr>
        <a:xfrm xmlns:a="http://schemas.openxmlformats.org/drawingml/2006/main">
          <a:off x="688976" y="764400"/>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2.xml><?xml version="1.0" encoding="utf-8"?>
<c:userShapes xmlns:c="http://schemas.openxmlformats.org/drawingml/2006/chart">
  <cdr:relSizeAnchor xmlns:cdr="http://schemas.openxmlformats.org/drawingml/2006/chartDrawing">
    <cdr:from>
      <cdr:x>0.6875</cdr:x>
      <cdr:y>0</cdr:y>
    </cdr:from>
    <cdr:to>
      <cdr:x>0.88889</cdr:x>
      <cdr:y>0.08178</cdr:y>
    </cdr:to>
    <cdr:sp macro="" textlink="">
      <cdr:nvSpPr>
        <cdr:cNvPr id="2" name="TextBox 1"/>
        <cdr:cNvSpPr txBox="1"/>
      </cdr:nvSpPr>
      <cdr:spPr>
        <a:xfrm xmlns:a="http://schemas.openxmlformats.org/drawingml/2006/main">
          <a:off x="1885953" y="0"/>
          <a:ext cx="552453" cy="161924"/>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sr-Cyrl-RS" sz="700">
              <a:solidFill>
                <a:schemeClr val="tx2"/>
              </a:solidFill>
            </a:rPr>
            <a:t>(десна скала)</a:t>
          </a:r>
          <a:endParaRPr lang="en-GB" sz="700">
            <a:solidFill>
              <a:schemeClr val="tx2"/>
            </a:solidFill>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0.59388</cdr:x>
      <cdr:y>0</cdr:y>
    </cdr:from>
    <cdr:to>
      <cdr:x>0.98231</cdr:x>
      <cdr:y>0.73936</cdr:y>
    </cdr:to>
    <cdr:sp macro="" textlink="">
      <cdr:nvSpPr>
        <cdr:cNvPr id="3" name="TextBox 2"/>
        <cdr:cNvSpPr txBox="1"/>
      </cdr:nvSpPr>
      <cdr:spPr>
        <a:xfrm xmlns:a="http://schemas.openxmlformats.org/drawingml/2006/main">
          <a:off x="1632252" y="0"/>
          <a:ext cx="1067593" cy="1549458"/>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0.58892</cdr:x>
      <cdr:y>0</cdr:y>
    </cdr:from>
    <cdr:to>
      <cdr:x>0.97619</cdr:x>
      <cdr:y>0.73863</cdr:y>
    </cdr:to>
    <cdr:sp macro="" textlink="">
      <cdr:nvSpPr>
        <cdr:cNvPr id="3" name="TextBox 2"/>
        <cdr:cNvSpPr txBox="1"/>
      </cdr:nvSpPr>
      <cdr:spPr>
        <a:xfrm xmlns:a="http://schemas.openxmlformats.org/drawingml/2006/main">
          <a:off x="1615520" y="0"/>
          <a:ext cx="1062359" cy="156087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0.5755</cdr:x>
      <cdr:y>0.00827</cdr:y>
    </cdr:from>
    <cdr:to>
      <cdr:x>0.96515</cdr:x>
      <cdr:y>0.75872</cdr:y>
    </cdr:to>
    <cdr:sp macro="" textlink="">
      <cdr:nvSpPr>
        <cdr:cNvPr id="3" name="TextBox 2"/>
        <cdr:cNvSpPr txBox="1"/>
      </cdr:nvSpPr>
      <cdr:spPr>
        <a:xfrm xmlns:a="http://schemas.openxmlformats.org/drawingml/2006/main">
          <a:off x="1578707" y="19829"/>
          <a:ext cx="1068892" cy="1799399"/>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0.66671</cdr:x>
      <cdr:y>0</cdr:y>
    </cdr:from>
    <cdr:to>
      <cdr:x>1</cdr:x>
      <cdr:y>0.15397</cdr:y>
    </cdr:to>
    <cdr:sp macro="" textlink="">
      <cdr:nvSpPr>
        <cdr:cNvPr id="2" name="TextBox 1">
          <a:extLst xmlns:a="http://schemas.openxmlformats.org/drawingml/2006/main">
            <a:ext uri="{FF2B5EF4-FFF2-40B4-BE49-F238E27FC236}">
              <a16:creationId xmlns:a16="http://schemas.microsoft.com/office/drawing/2014/main" id="{EEBA72B3-E404-4722-5BD3-9A173FE23DD3}"/>
            </a:ext>
          </a:extLst>
        </cdr:cNvPr>
        <cdr:cNvSpPr txBox="1"/>
      </cdr:nvSpPr>
      <cdr:spPr>
        <a:xfrm xmlns:a="http://schemas.openxmlformats.org/drawingml/2006/main">
          <a:off x="1828915" y="0"/>
          <a:ext cx="914285" cy="275888"/>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sr-Cyrl-RS" sz="750">
              <a:solidFill>
                <a:schemeClr val="tx2"/>
              </a:solidFill>
            </a:rPr>
            <a:t>Стопа становништва ван радне снаге</a:t>
          </a:r>
          <a:endParaRPr lang="en-US" sz="750">
            <a:solidFill>
              <a:schemeClr val="tx2"/>
            </a:solidFill>
          </a:endParaRPr>
        </a:p>
      </cdr:txBody>
    </cdr:sp>
  </cdr:relSizeAnchor>
  <cdr:relSizeAnchor xmlns:cdr="http://schemas.openxmlformats.org/drawingml/2006/chartDrawing">
    <cdr:from>
      <cdr:x>0.35123</cdr:x>
      <cdr:y>0</cdr:y>
    </cdr:from>
    <cdr:to>
      <cdr:x>0.65307</cdr:x>
      <cdr:y>0.08</cdr:y>
    </cdr:to>
    <cdr:sp macro="" textlink="">
      <cdr:nvSpPr>
        <cdr:cNvPr id="3" name="TextBox 1">
          <a:extLst xmlns:a="http://schemas.openxmlformats.org/drawingml/2006/main">
            <a:ext uri="{FF2B5EF4-FFF2-40B4-BE49-F238E27FC236}">
              <a16:creationId xmlns:a16="http://schemas.microsoft.com/office/drawing/2014/main" id="{D63F64B9-2A3E-9C8E-FD5C-33974146D41E}"/>
            </a:ext>
          </a:extLst>
        </cdr:cNvPr>
        <cdr:cNvSpPr txBox="1"/>
      </cdr:nvSpPr>
      <cdr:spPr>
        <a:xfrm xmlns:a="http://schemas.openxmlformats.org/drawingml/2006/main">
          <a:off x="963501" y="0"/>
          <a:ext cx="828000" cy="1433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a:solidFill>
                <a:schemeClr val="tx2"/>
              </a:solidFill>
            </a:rPr>
            <a:t>Стопа запослености</a:t>
          </a:r>
          <a:endParaRPr lang="en-US" sz="750">
            <a:solidFill>
              <a:schemeClr val="tx2"/>
            </a:solidFill>
          </a:endParaRPr>
        </a:p>
      </cdr:txBody>
    </cdr:sp>
  </cdr:relSizeAnchor>
  <cdr:relSizeAnchor xmlns:cdr="http://schemas.openxmlformats.org/drawingml/2006/chartDrawing">
    <cdr:from>
      <cdr:x>0</cdr:x>
      <cdr:y>0</cdr:y>
    </cdr:from>
    <cdr:to>
      <cdr:x>0.34121</cdr:x>
      <cdr:y>0.08</cdr:y>
    </cdr:to>
    <cdr:sp macro="" textlink="">
      <cdr:nvSpPr>
        <cdr:cNvPr id="4" name="TextBox 1">
          <a:extLst xmlns:a="http://schemas.openxmlformats.org/drawingml/2006/main">
            <a:ext uri="{FF2B5EF4-FFF2-40B4-BE49-F238E27FC236}">
              <a16:creationId xmlns:a16="http://schemas.microsoft.com/office/drawing/2014/main" id="{FD5E4A56-9597-87E6-88AD-15B99CCAA48D}"/>
            </a:ext>
          </a:extLst>
        </cdr:cNvPr>
        <cdr:cNvSpPr txBox="1"/>
      </cdr:nvSpPr>
      <cdr:spPr>
        <a:xfrm xmlns:a="http://schemas.openxmlformats.org/drawingml/2006/main">
          <a:off x="0" y="0"/>
          <a:ext cx="936000" cy="1433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sr-Cyrl-RS" sz="750">
              <a:solidFill>
                <a:schemeClr val="tx2"/>
              </a:solidFill>
            </a:rPr>
            <a:t>Стопа незапослености</a:t>
          </a:r>
          <a:endParaRPr lang="en-US" sz="750">
            <a:solidFill>
              <a:schemeClr val="tx2"/>
            </a:solidFill>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0.0878</cdr:x>
      <cdr:y>0.72627</cdr:y>
    </cdr:from>
    <cdr:to>
      <cdr:x>0.95377</cdr:x>
      <cdr:y>0.72627</cdr:y>
    </cdr:to>
    <cdr:cxnSp macro="">
      <cdr:nvCxnSpPr>
        <cdr:cNvPr id="3" name="Straight Connector 2">
          <a:extLst xmlns:a="http://schemas.openxmlformats.org/drawingml/2006/main">
            <a:ext uri="{FF2B5EF4-FFF2-40B4-BE49-F238E27FC236}">
              <a16:creationId xmlns:a16="http://schemas.microsoft.com/office/drawing/2014/main" id="{92170C42-51AD-40FC-A279-09E604F64C1D}"/>
            </a:ext>
          </a:extLst>
        </cdr:cNvPr>
        <cdr:cNvCxnSpPr/>
      </cdr:nvCxnSpPr>
      <cdr:spPr>
        <a:xfrm xmlns:a="http://schemas.openxmlformats.org/drawingml/2006/main" flipV="1">
          <a:off x="240853" y="1306993"/>
          <a:ext cx="2375529" cy="0"/>
        </a:xfrm>
        <a:prstGeom xmlns:a="http://schemas.openxmlformats.org/drawingml/2006/main" prst="line">
          <a:avLst/>
        </a:prstGeom>
        <a:ln xmlns:a="http://schemas.openxmlformats.org/drawingml/2006/main" w="3175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8.xml><?xml version="1.0" encoding="utf-8"?>
<c:userShapes xmlns:c="http://schemas.openxmlformats.org/drawingml/2006/chart">
  <cdr:relSizeAnchor xmlns:cdr="http://schemas.openxmlformats.org/drawingml/2006/chartDrawing">
    <cdr:from>
      <cdr:x>0.79446</cdr:x>
      <cdr:y>0.00888</cdr:y>
    </cdr:from>
    <cdr:to>
      <cdr:x>0.95267</cdr:x>
      <cdr:y>0.69978</cdr:y>
    </cdr:to>
    <cdr:sp macro="" textlink="">
      <cdr:nvSpPr>
        <cdr:cNvPr id="2" name="TextBox 1"/>
        <cdr:cNvSpPr txBox="1"/>
      </cdr:nvSpPr>
      <cdr:spPr>
        <a:xfrm xmlns:a="http://schemas.openxmlformats.org/drawingml/2006/main">
          <a:off x="2190466" y="15067"/>
          <a:ext cx="436207" cy="1172264"/>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600" b="1">
              <a:solidFill>
                <a:schemeClr val="tx2"/>
              </a:solidFill>
              <a:latin typeface="+mn-lt"/>
              <a:cs typeface="Arial" panose="020B0604020202020204" pitchFamily="34" charset="0"/>
            </a:rPr>
            <a:t>ПРОЈЕКЦИЈА</a:t>
          </a:r>
        </a:p>
      </cdr:txBody>
    </cdr:sp>
  </cdr:relSizeAnchor>
</c:userShapes>
</file>

<file path=word/drawings/drawing19.xml><?xml version="1.0" encoding="utf-8"?>
<c:userShapes xmlns:c="http://schemas.openxmlformats.org/drawingml/2006/chart">
  <cdr:relSizeAnchor xmlns:cdr="http://schemas.openxmlformats.org/drawingml/2006/chartDrawing">
    <cdr:from>
      <cdr:x>0.59869</cdr:x>
      <cdr:y>0</cdr:y>
    </cdr:from>
    <cdr:to>
      <cdr:x>0.9881</cdr:x>
      <cdr:y>0.83233</cdr:y>
    </cdr:to>
    <cdr:sp macro="" textlink="">
      <cdr:nvSpPr>
        <cdr:cNvPr id="2" name="TextBox 1"/>
        <cdr:cNvSpPr txBox="1"/>
      </cdr:nvSpPr>
      <cdr:spPr>
        <a:xfrm xmlns:a="http://schemas.openxmlformats.org/drawingml/2006/main">
          <a:off x="1642326" y="0"/>
          <a:ext cx="1068230" cy="1797538"/>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xml><?xml version="1.0" encoding="utf-8"?>
<c:userShapes xmlns:c="http://schemas.openxmlformats.org/drawingml/2006/chart">
  <cdr:relSizeAnchor xmlns:cdr="http://schemas.openxmlformats.org/drawingml/2006/chartDrawing">
    <cdr:from>
      <cdr:x>0.05959</cdr:x>
      <cdr:y>0.61594</cdr:y>
    </cdr:from>
    <cdr:to>
      <cdr:x>0.46719</cdr:x>
      <cdr:y>0.85192</cdr:y>
    </cdr:to>
    <cdr:sp macro="" textlink="">
      <cdr:nvSpPr>
        <cdr:cNvPr id="2" name="TextBox 1"/>
        <cdr:cNvSpPr txBox="1"/>
      </cdr:nvSpPr>
      <cdr:spPr>
        <a:xfrm xmlns:a="http://schemas.openxmlformats.org/drawingml/2006/main">
          <a:off x="79373" y="753914"/>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0.60816</cdr:y>
    </cdr:from>
    <cdr:to>
      <cdr:x>0.91769</cdr:x>
      <cdr:y>0.84414</cdr:y>
    </cdr:to>
    <cdr:sp macro="" textlink="">
      <cdr:nvSpPr>
        <cdr:cNvPr id="3" name="TextBox 1"/>
        <cdr:cNvSpPr txBox="1"/>
      </cdr:nvSpPr>
      <cdr:spPr>
        <a:xfrm xmlns:a="http://schemas.openxmlformats.org/drawingml/2006/main">
          <a:off x="679452" y="744389"/>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20.xml><?xml version="1.0" encoding="utf-8"?>
<c:userShapes xmlns:c="http://schemas.openxmlformats.org/drawingml/2006/chart">
  <cdr:relSizeAnchor xmlns:cdr="http://schemas.openxmlformats.org/drawingml/2006/chartDrawing">
    <cdr:from>
      <cdr:x>0.64957</cdr:x>
      <cdr:y>0.01417</cdr:y>
    </cdr:from>
    <cdr:to>
      <cdr:x>1</cdr:x>
      <cdr:y>0.75123</cdr:y>
    </cdr:to>
    <cdr:sp macro="" textlink="">
      <cdr:nvSpPr>
        <cdr:cNvPr id="2" name="TextBox 1"/>
        <cdr:cNvSpPr txBox="1"/>
      </cdr:nvSpPr>
      <cdr:spPr>
        <a:xfrm xmlns:a="http://schemas.openxmlformats.org/drawingml/2006/main">
          <a:off x="1781908" y="28559"/>
          <a:ext cx="961292" cy="1485538"/>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1.xml><?xml version="1.0" encoding="utf-8"?>
<c:userShapes xmlns:c="http://schemas.openxmlformats.org/drawingml/2006/chart">
  <cdr:relSizeAnchor xmlns:cdr="http://schemas.openxmlformats.org/drawingml/2006/chartDrawing">
    <cdr:from>
      <cdr:x>0.5994</cdr:x>
      <cdr:y>0.31197</cdr:y>
    </cdr:from>
    <cdr:to>
      <cdr:x>0.5994</cdr:x>
      <cdr:y>0.34818</cdr:y>
    </cdr:to>
    <cdr:cxnSp macro="">
      <cdr:nvCxnSpPr>
        <cdr:cNvPr id="3" name="Straight Arrow Connector 2"/>
        <cdr:cNvCxnSpPr/>
      </cdr:nvCxnSpPr>
      <cdr:spPr>
        <a:xfrm xmlns:a="http://schemas.openxmlformats.org/drawingml/2006/main" flipV="1">
          <a:off x="3927978" y="1066789"/>
          <a:ext cx="0" cy="123819"/>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2.xml><?xml version="1.0" encoding="utf-8"?>
<c:userShapes xmlns:c="http://schemas.openxmlformats.org/drawingml/2006/chart">
  <cdr:relSizeAnchor xmlns:cdr="http://schemas.openxmlformats.org/drawingml/2006/chartDrawing">
    <cdr:from>
      <cdr:x>0.49984</cdr:x>
      <cdr:y>0.12299</cdr:y>
    </cdr:from>
    <cdr:to>
      <cdr:x>0.49984</cdr:x>
      <cdr:y>0.8934</cdr:y>
    </cdr:to>
    <cdr:cxnSp macro="">
      <cdr:nvCxnSpPr>
        <cdr:cNvPr id="3" name="Straight Connector 2"/>
        <cdr:cNvCxnSpPr/>
      </cdr:nvCxnSpPr>
      <cdr:spPr>
        <a:xfrm xmlns:a="http://schemas.openxmlformats.org/drawingml/2006/main">
          <a:off x="1509237" y="488515"/>
          <a:ext cx="0" cy="306000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0.12198</cdr:x>
      <cdr:y>0.23149</cdr:y>
    </cdr:from>
    <cdr:to>
      <cdr:x>0.94251</cdr:x>
      <cdr:y>0.23149</cdr:y>
    </cdr:to>
    <cdr:cxnSp macro="">
      <cdr:nvCxnSpPr>
        <cdr:cNvPr id="7" name="Straight Connector 6"/>
        <cdr:cNvCxnSpPr/>
      </cdr:nvCxnSpPr>
      <cdr:spPr>
        <a:xfrm xmlns:a="http://schemas.openxmlformats.org/drawingml/2006/main" flipV="1">
          <a:off x="368297" y="919465"/>
          <a:ext cx="2477528" cy="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3.xml><?xml version="1.0" encoding="utf-8"?>
<c:userShapes xmlns:c="http://schemas.openxmlformats.org/drawingml/2006/chart">
  <cdr:relSizeAnchor xmlns:cdr="http://schemas.openxmlformats.org/drawingml/2006/chartDrawing">
    <cdr:from>
      <cdr:x>0.83237</cdr:x>
      <cdr:y>0.04452</cdr:y>
    </cdr:from>
    <cdr:to>
      <cdr:x>0.96904</cdr:x>
      <cdr:y>0.10408</cdr:y>
    </cdr:to>
    <cdr:sp macro="" textlink="">
      <cdr:nvSpPr>
        <cdr:cNvPr id="2" name="TextBox 1"/>
        <cdr:cNvSpPr txBox="1"/>
      </cdr:nvSpPr>
      <cdr:spPr>
        <a:xfrm xmlns:a="http://schemas.openxmlformats.org/drawingml/2006/main">
          <a:off x="5378606" y="170300"/>
          <a:ext cx="883129" cy="22784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latin typeface="+mj-lt"/>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0.86328</cdr:x>
      <cdr:y>0.09401</cdr:y>
    </cdr:from>
    <cdr:to>
      <cdr:x>0.86454</cdr:x>
      <cdr:y>0.91861</cdr:y>
    </cdr:to>
    <cdr:cxnSp macro="">
      <cdr:nvCxnSpPr>
        <cdr:cNvPr id="3" name="Straight Connector 2"/>
        <cdr:cNvCxnSpPr/>
      </cdr:nvCxnSpPr>
      <cdr:spPr>
        <a:xfrm xmlns:a="http://schemas.openxmlformats.org/drawingml/2006/main">
          <a:off x="6196120" y="397363"/>
          <a:ext cx="9043" cy="3485606"/>
        </a:xfrm>
        <a:prstGeom xmlns:a="http://schemas.openxmlformats.org/drawingml/2006/main" prst="line">
          <a:avLst/>
        </a:prstGeom>
        <a:ln xmlns:a="http://schemas.openxmlformats.org/drawingml/2006/main">
          <a:prstDash val="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5.xml><?xml version="1.0" encoding="utf-8"?>
<c:userShapes xmlns:c="http://schemas.openxmlformats.org/drawingml/2006/chart">
  <cdr:relSizeAnchor xmlns:cdr="http://schemas.openxmlformats.org/drawingml/2006/chartDrawing">
    <cdr:from>
      <cdr:x>0.11452</cdr:x>
      <cdr:y>0.17764</cdr:y>
    </cdr:from>
    <cdr:to>
      <cdr:x>0.34201</cdr:x>
      <cdr:y>0.5815</cdr:y>
    </cdr:to>
    <cdr:sp macro="" textlink="">
      <cdr:nvSpPr>
        <cdr:cNvPr id="11" name="Oval 10"/>
        <cdr:cNvSpPr/>
      </cdr:nvSpPr>
      <cdr:spPr>
        <a:xfrm xmlns:a="http://schemas.openxmlformats.org/drawingml/2006/main">
          <a:off x="315751" y="477037"/>
          <a:ext cx="627224" cy="1084532"/>
        </a:xfrm>
        <a:prstGeom xmlns:a="http://schemas.openxmlformats.org/drawingml/2006/main" prst="ellipse">
          <a:avLst/>
        </a:prstGeom>
        <a:solidFill xmlns:a="http://schemas.openxmlformats.org/drawingml/2006/main">
          <a:srgbClr val="51BBE7">
            <a:alpha val="16000"/>
          </a:srgbClr>
        </a:solidFill>
        <a:ln xmlns:a="http://schemas.openxmlformats.org/drawingml/2006/main">
          <a:solidFill>
            <a:srgbClr val="29489A">
              <a:alpha val="50000"/>
            </a:srgb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0.19839</cdr:x>
      <cdr:y>0.18008</cdr:y>
    </cdr:from>
    <cdr:to>
      <cdr:x>0.29019</cdr:x>
      <cdr:y>0.36468</cdr:y>
    </cdr:to>
    <cdr:sp macro="" textlink="">
      <cdr:nvSpPr>
        <cdr:cNvPr id="5" name="Straight Arrow Connector 4"/>
        <cdr:cNvSpPr/>
      </cdr:nvSpPr>
      <cdr:spPr>
        <a:xfrm xmlns:a="http://schemas.openxmlformats.org/drawingml/2006/main" flipV="1">
          <a:off x="546995" y="483577"/>
          <a:ext cx="253105" cy="495740"/>
        </a:xfrm>
        <a:prstGeom xmlns:a="http://schemas.openxmlformats.org/drawingml/2006/main" prst="straightConnector1">
          <a:avLst/>
        </a:prstGeom>
        <a:ln xmlns:a="http://schemas.openxmlformats.org/drawingml/2006/main">
          <a:solidFill>
            <a:schemeClr val="dk1">
              <a:alpha val="54000"/>
            </a:schemeClr>
          </a:solidFill>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0.15191</cdr:x>
      <cdr:y>0.10477</cdr:y>
    </cdr:from>
    <cdr:to>
      <cdr:x>0.4018</cdr:x>
      <cdr:y>0.16216</cdr:y>
    </cdr:to>
    <cdr:sp macro="" textlink="">
      <cdr:nvSpPr>
        <cdr:cNvPr id="6" name="TextBox 5"/>
        <cdr:cNvSpPr txBox="1"/>
      </cdr:nvSpPr>
      <cdr:spPr>
        <a:xfrm xmlns:a="http://schemas.openxmlformats.org/drawingml/2006/main">
          <a:off x="418854" y="281354"/>
          <a:ext cx="688978" cy="15411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0.44173</cdr:x>
      <cdr:y>0.72412</cdr:y>
    </cdr:from>
    <cdr:to>
      <cdr:x>0.68535</cdr:x>
      <cdr:y>0.77769</cdr:y>
    </cdr:to>
    <cdr:sp macro="" textlink="">
      <cdr:nvSpPr>
        <cdr:cNvPr id="7" name="TextBox 6"/>
        <cdr:cNvSpPr txBox="1"/>
      </cdr:nvSpPr>
      <cdr:spPr>
        <a:xfrm xmlns:a="http://schemas.openxmlformats.org/drawingml/2006/main">
          <a:off x="1217912" y="1944564"/>
          <a:ext cx="671702" cy="1438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Рестриктивна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0.34316</cdr:x>
      <cdr:y>0.23789</cdr:y>
    </cdr:from>
    <cdr:to>
      <cdr:x>0.44565</cdr:x>
      <cdr:y>0.68101</cdr:y>
    </cdr:to>
    <cdr:sp macro="" textlink="">
      <cdr:nvSpPr>
        <cdr:cNvPr id="12" name="Oval 11"/>
        <cdr:cNvSpPr/>
      </cdr:nvSpPr>
      <cdr:spPr>
        <a:xfrm xmlns:a="http://schemas.openxmlformats.org/drawingml/2006/main">
          <a:off x="946150" y="638833"/>
          <a:ext cx="282575" cy="1189967"/>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atin typeface="Cambria" pitchFamily="18" charset="0"/>
          </a:endParaRPr>
        </a:p>
      </cdr:txBody>
    </cdr:sp>
  </cdr:relSizeAnchor>
  <cdr:relSizeAnchor xmlns:cdr="http://schemas.openxmlformats.org/drawingml/2006/chartDrawing">
    <cdr:from>
      <cdr:x>0.56041</cdr:x>
      <cdr:y>0.13825</cdr:y>
    </cdr:from>
    <cdr:to>
      <cdr:x>0.72635</cdr:x>
      <cdr:y>0.19124</cdr:y>
    </cdr:to>
    <cdr:sp macro="" textlink="">
      <cdr:nvSpPr>
        <cdr:cNvPr id="17" name="TextBox 16"/>
        <cdr:cNvSpPr txBox="1"/>
      </cdr:nvSpPr>
      <cdr:spPr>
        <a:xfrm xmlns:a="http://schemas.openxmlformats.org/drawingml/2006/main">
          <a:off x="3667126" y="571500"/>
          <a:ext cx="1085850" cy="219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0.11383</cdr:x>
      <cdr:y>0.22346</cdr:y>
    </cdr:from>
    <cdr:to>
      <cdr:x>0.36406</cdr:x>
      <cdr:y>0.29259</cdr:y>
    </cdr:to>
    <cdr:sp macro="" textlink="">
      <cdr:nvSpPr>
        <cdr:cNvPr id="18" name="TextBox 17"/>
        <cdr:cNvSpPr txBox="1"/>
      </cdr:nvSpPr>
      <cdr:spPr>
        <a:xfrm xmlns:a="http://schemas.openxmlformats.org/drawingml/2006/main">
          <a:off x="313862" y="600085"/>
          <a:ext cx="689927" cy="1856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Проциклична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0.28655</cdr:x>
      <cdr:y>0.32414</cdr:y>
    </cdr:from>
    <cdr:to>
      <cdr:x>0.574</cdr:x>
      <cdr:y>0.38754</cdr:y>
    </cdr:to>
    <cdr:sp macro="" textlink="">
      <cdr:nvSpPr>
        <cdr:cNvPr id="19" name="TextBox 18"/>
        <cdr:cNvSpPr txBox="1"/>
      </cdr:nvSpPr>
      <cdr:spPr>
        <a:xfrm xmlns:a="http://schemas.openxmlformats.org/drawingml/2006/main">
          <a:off x="790055" y="870450"/>
          <a:ext cx="792549" cy="1702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0.4491</cdr:x>
      <cdr:y>0.18365</cdr:y>
    </cdr:from>
    <cdr:to>
      <cdr:x>0.71856</cdr:x>
      <cdr:y>0.71515</cdr:y>
    </cdr:to>
    <cdr:sp macro="" textlink="">
      <cdr:nvSpPr>
        <cdr:cNvPr id="10" name="Oval 9"/>
        <cdr:cNvSpPr/>
      </cdr:nvSpPr>
      <cdr:spPr>
        <a:xfrm xmlns:a="http://schemas.openxmlformats.org/drawingml/2006/main">
          <a:off x="1238251" y="493176"/>
          <a:ext cx="742950" cy="1427299"/>
        </a:xfrm>
        <a:prstGeom xmlns:a="http://schemas.openxmlformats.org/drawingml/2006/main" prst="ellipse">
          <a:avLst/>
        </a:prstGeom>
        <a:solidFill xmlns:a="http://schemas.openxmlformats.org/drawingml/2006/main">
          <a:srgbClr val="51BBE7">
            <a:alpha val="15000"/>
          </a:srgbClr>
        </a:solidFill>
        <a:ln xmlns:a="http://schemas.openxmlformats.org/drawingml/2006/main">
          <a:solidFill>
            <a:schemeClr val="accent1">
              <a:shade val="50000"/>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0.47415</cdr:x>
      <cdr:y>0.27175</cdr:y>
    </cdr:from>
    <cdr:to>
      <cdr:x>0.7268</cdr:x>
      <cdr:y>0.33458</cdr:y>
    </cdr:to>
    <cdr:sp macro="" textlink="">
      <cdr:nvSpPr>
        <cdr:cNvPr id="13" name="TextBox 12"/>
        <cdr:cNvSpPr txBox="1"/>
      </cdr:nvSpPr>
      <cdr:spPr>
        <a:xfrm xmlns:a="http://schemas.openxmlformats.org/drawingml/2006/main">
          <a:off x="1307312" y="729762"/>
          <a:ext cx="696599" cy="16872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600" b="1" baseline="0">
              <a:solidFill>
                <a:srgbClr val="44546A"/>
              </a:solidFill>
              <a:latin typeface="+mn-lt"/>
            </a:rPr>
            <a:t>Проциклична</a:t>
          </a:r>
          <a:endParaRPr lang="en-US" sz="600" b="1" baseline="0">
            <a:solidFill>
              <a:srgbClr val="44546A"/>
            </a:solidFill>
            <a:latin typeface="+mn-lt"/>
          </a:endParaRPr>
        </a:p>
      </cdr:txBody>
    </cdr:sp>
  </cdr:relSizeAnchor>
  <cdr:relSizeAnchor xmlns:cdr="http://schemas.openxmlformats.org/drawingml/2006/chartDrawing">
    <cdr:from>
      <cdr:x>0.56256</cdr:x>
      <cdr:y>0.1015</cdr:y>
    </cdr:from>
    <cdr:to>
      <cdr:x>0.80998</cdr:x>
      <cdr:y>0.16582</cdr:y>
    </cdr:to>
    <cdr:sp macro="" textlink="">
      <cdr:nvSpPr>
        <cdr:cNvPr id="15" name="TextBox 1"/>
        <cdr:cNvSpPr txBox="1"/>
      </cdr:nvSpPr>
      <cdr:spPr>
        <a:xfrm xmlns:a="http://schemas.openxmlformats.org/drawingml/2006/main">
          <a:off x="1551064" y="272562"/>
          <a:ext cx="682182" cy="17273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0.70474</cdr:x>
      <cdr:y>0.06739</cdr:y>
    </cdr:from>
    <cdr:to>
      <cdr:x>0.85329</cdr:x>
      <cdr:y>0.74053</cdr:y>
    </cdr:to>
    <cdr:sp macro="" textlink="">
      <cdr:nvSpPr>
        <cdr:cNvPr id="16" name="Oval 15"/>
        <cdr:cNvSpPr/>
      </cdr:nvSpPr>
      <cdr:spPr>
        <a:xfrm xmlns:a="http://schemas.openxmlformats.org/drawingml/2006/main">
          <a:off x="1943100" y="180975"/>
          <a:ext cx="409576" cy="1807655"/>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effectLst/>
          </a:endParaRPr>
        </a:p>
      </cdr:txBody>
    </cdr:sp>
  </cdr:relSizeAnchor>
  <cdr:relSizeAnchor xmlns:cdr="http://schemas.openxmlformats.org/drawingml/2006/chartDrawing">
    <cdr:from>
      <cdr:x>0.66927</cdr:x>
      <cdr:y>0.6068</cdr:y>
    </cdr:from>
    <cdr:to>
      <cdr:x>0.94818</cdr:x>
      <cdr:y>0.69931</cdr:y>
    </cdr:to>
    <cdr:sp macro="" textlink="">
      <cdr:nvSpPr>
        <cdr:cNvPr id="20" name="TextBox 1"/>
        <cdr:cNvSpPr txBox="1"/>
      </cdr:nvSpPr>
      <cdr:spPr>
        <a:xfrm xmlns:a="http://schemas.openxmlformats.org/drawingml/2006/main">
          <a:off x="1845293" y="1629504"/>
          <a:ext cx="769002" cy="24842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0.04375</cdr:x>
      <cdr:y>0.88368</cdr:y>
    </cdr:from>
    <cdr:to>
      <cdr:x>0.16667</cdr:x>
      <cdr:y>0.93576</cdr:y>
    </cdr:to>
    <cdr:sp macro="" textlink="">
      <cdr:nvSpPr>
        <cdr:cNvPr id="2"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0.04792</cdr:x>
      <cdr:y>0.73785</cdr:y>
    </cdr:from>
    <cdr:to>
      <cdr:x>0.24167</cdr:x>
      <cdr:y>0.86979</cdr:y>
    </cdr:to>
    <cdr:sp macro="" textlink="">
      <cdr:nvSpPr>
        <cdr:cNvPr id="3" name="TextBox 2"/>
        <cdr:cNvSpPr txBox="1"/>
      </cdr:nvSpPr>
      <cdr:spPr>
        <a:xfrm xmlns:a="http://schemas.openxmlformats.org/drawingml/2006/main">
          <a:off x="228061" y="2482144"/>
          <a:ext cx="922095" cy="44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800">
            <a:latin typeface="+mj-lt"/>
          </a:endParaRPr>
        </a:p>
      </cdr:txBody>
    </cdr:sp>
  </cdr:relSizeAnchor>
  <cdr:relSizeAnchor xmlns:cdr="http://schemas.openxmlformats.org/drawingml/2006/chartDrawing">
    <cdr:from>
      <cdr:x>0.66875</cdr:x>
      <cdr:y>0.74826</cdr:y>
    </cdr:from>
    <cdr:to>
      <cdr:x>0.9125</cdr:x>
      <cdr:y>0.84549</cdr:y>
    </cdr:to>
    <cdr:sp macro="" textlink="">
      <cdr:nvSpPr>
        <cdr:cNvPr id="4"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0.76703</cdr:x>
      <cdr:y>0.16819</cdr:y>
    </cdr:from>
    <cdr:to>
      <cdr:x>0.98856</cdr:x>
      <cdr:y>0.2903</cdr:y>
    </cdr:to>
    <cdr:sp macro="" textlink="">
      <cdr:nvSpPr>
        <cdr:cNvPr id="5" name="TextBox 1"/>
        <cdr:cNvSpPr txBox="1"/>
      </cdr:nvSpPr>
      <cdr:spPr>
        <a:xfrm xmlns:a="http://schemas.openxmlformats.org/drawingml/2006/main">
          <a:off x="3650440" y="565780"/>
          <a:ext cx="1054306"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0.73125</cdr:x>
      <cdr:y>0.8206</cdr:y>
    </cdr:from>
    <cdr:to>
      <cdr:x>0.95417</cdr:x>
      <cdr:y>0.94271</cdr:y>
    </cdr:to>
    <cdr:sp macro="" textlink="">
      <cdr:nvSpPr>
        <cdr:cNvPr id="6" name="TextBox 1"/>
        <cdr:cNvSpPr txBox="1"/>
      </cdr:nvSpPr>
      <cdr:spPr>
        <a:xfrm xmlns:a="http://schemas.openxmlformats.org/drawingml/2006/main">
          <a:off x="3480164" y="2760516"/>
          <a:ext cx="1060921"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0.04928</cdr:x>
      <cdr:y>0.22036</cdr:y>
    </cdr:from>
    <cdr:to>
      <cdr:x>0.27219</cdr:x>
      <cdr:y>0.34247</cdr:y>
    </cdr:to>
    <cdr:sp macro="" textlink="">
      <cdr:nvSpPr>
        <cdr:cNvPr id="7" name="TextBox 1"/>
        <cdr:cNvSpPr txBox="1"/>
      </cdr:nvSpPr>
      <cdr:spPr>
        <a:xfrm xmlns:a="http://schemas.openxmlformats.org/drawingml/2006/main">
          <a:off x="234530" y="741312"/>
          <a:ext cx="1060873" cy="4107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Cambria" panose="02040503050406030204" pitchFamily="18" charset="0"/>
          </a:endParaRPr>
        </a:p>
      </cdr:txBody>
    </cdr:sp>
  </cdr:relSizeAnchor>
  <cdr:relSizeAnchor xmlns:cdr="http://schemas.openxmlformats.org/drawingml/2006/chartDrawing">
    <cdr:from>
      <cdr:x>0.04375</cdr:x>
      <cdr:y>0.88368</cdr:y>
    </cdr:from>
    <cdr:to>
      <cdr:x>0.16667</cdr:x>
      <cdr:y>0.93576</cdr:y>
    </cdr:to>
    <cdr:sp macro="" textlink="">
      <cdr:nvSpPr>
        <cdr:cNvPr id="14"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0.01117</cdr:x>
      <cdr:y>0.836</cdr:y>
    </cdr:from>
    <cdr:to>
      <cdr:x>0.27976</cdr:x>
      <cdr:y>1</cdr:y>
    </cdr:to>
    <cdr:sp macro="" textlink="">
      <cdr:nvSpPr>
        <cdr:cNvPr id="15" name="TextBox 2"/>
        <cdr:cNvSpPr txBox="1"/>
      </cdr:nvSpPr>
      <cdr:spPr>
        <a:xfrm xmlns:a="http://schemas.openxmlformats.org/drawingml/2006/main">
          <a:off x="30796" y="1990725"/>
          <a:ext cx="740729" cy="3905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0.66875</cdr:x>
      <cdr:y>0.74826</cdr:y>
    </cdr:from>
    <cdr:to>
      <cdr:x>0.9125</cdr:x>
      <cdr:y>0.84549</cdr:y>
    </cdr:to>
    <cdr:sp macro="" textlink="">
      <cdr:nvSpPr>
        <cdr:cNvPr id="16"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0.70458</cdr:x>
      <cdr:y>0.004</cdr:y>
    </cdr:from>
    <cdr:to>
      <cdr:x>0.98273</cdr:x>
      <cdr:y>0.15686</cdr:y>
    </cdr:to>
    <cdr:sp macro="" textlink="">
      <cdr:nvSpPr>
        <cdr:cNvPr id="17" name="TextBox 1"/>
        <cdr:cNvSpPr txBox="1"/>
      </cdr:nvSpPr>
      <cdr:spPr>
        <a:xfrm xmlns:a="http://schemas.openxmlformats.org/drawingml/2006/main">
          <a:off x="1943101" y="9526"/>
          <a:ext cx="767079" cy="36399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0.68731</cdr:x>
      <cdr:y>0.828</cdr:y>
    </cdr:from>
    <cdr:to>
      <cdr:x>1</cdr:x>
      <cdr:y>1</cdr:y>
    </cdr:to>
    <cdr:sp macro="" textlink="">
      <cdr:nvSpPr>
        <cdr:cNvPr id="18" name="TextBox 1"/>
        <cdr:cNvSpPr txBox="1"/>
      </cdr:nvSpPr>
      <cdr:spPr>
        <a:xfrm xmlns:a="http://schemas.openxmlformats.org/drawingml/2006/main">
          <a:off x="1895475" y="1971676"/>
          <a:ext cx="862330" cy="4095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0.01329</cdr:x>
      <cdr:y>0</cdr:y>
    </cdr:from>
    <cdr:to>
      <cdr:x>0.39374</cdr:x>
      <cdr:y>0.12211</cdr:y>
    </cdr:to>
    <cdr:sp macro="" textlink="">
      <cdr:nvSpPr>
        <cdr:cNvPr id="19" name="TextBox 1"/>
        <cdr:cNvSpPr txBox="1"/>
      </cdr:nvSpPr>
      <cdr:spPr>
        <a:xfrm xmlns:a="http://schemas.openxmlformats.org/drawingml/2006/main">
          <a:off x="36654" y="0"/>
          <a:ext cx="1049196" cy="2907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0.09738</cdr:x>
      <cdr:y>0.42546</cdr:y>
    </cdr:from>
    <cdr:to>
      <cdr:x>1</cdr:x>
      <cdr:y>0.42785</cdr:y>
    </cdr:to>
    <cdr:sp macro="" textlink="">
      <cdr:nvSpPr>
        <cdr:cNvPr id="3" name="Straight Connector 2"/>
        <cdr:cNvSpPr/>
      </cdr:nvSpPr>
      <cdr:spPr>
        <a:xfrm xmlns:a="http://schemas.openxmlformats.org/drawingml/2006/main">
          <a:off x="247469" y="918848"/>
          <a:ext cx="2293801" cy="5161"/>
        </a:xfrm>
        <a:prstGeom xmlns:a="http://schemas.openxmlformats.org/drawingml/2006/main" prst="line">
          <a:avLst/>
        </a:prstGeom>
        <a:ln xmlns:a="http://schemas.openxmlformats.org/drawingml/2006/main" w="22225">
          <a:prstDash val="sys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0.0957</cdr:x>
      <cdr:y>0.12366</cdr:y>
    </cdr:from>
    <cdr:to>
      <cdr:x>1</cdr:x>
      <cdr:y>0.13083</cdr:y>
    </cdr:to>
    <cdr:cxnSp macro="">
      <cdr:nvCxnSpPr>
        <cdr:cNvPr id="4" name="Straight Connector 3"/>
        <cdr:cNvCxnSpPr/>
      </cdr:nvCxnSpPr>
      <cdr:spPr>
        <a:xfrm xmlns:a="http://schemas.openxmlformats.org/drawingml/2006/main" flipV="1">
          <a:off x="243199" y="267052"/>
          <a:ext cx="2298071" cy="15485"/>
        </a:xfrm>
        <a:prstGeom xmlns:a="http://schemas.openxmlformats.org/drawingml/2006/main" prst="line">
          <a:avLst/>
        </a:prstGeom>
        <a:ln xmlns:a="http://schemas.openxmlformats.org/drawingml/2006/main" w="19050">
          <a:prstDash val="sysDash"/>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0.06674</cdr:x>
      <cdr:y>0.6149</cdr:y>
    </cdr:from>
    <cdr:to>
      <cdr:x>0.47434</cdr:x>
      <cdr:y>0.85088</cdr:y>
    </cdr:to>
    <cdr:sp macro="" textlink="">
      <cdr:nvSpPr>
        <cdr:cNvPr id="2" name="TextBox 1"/>
        <cdr:cNvSpPr txBox="1"/>
      </cdr:nvSpPr>
      <cdr:spPr>
        <a:xfrm xmlns:a="http://schemas.openxmlformats.org/drawingml/2006/main">
          <a:off x="88899" y="752639"/>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0.61895</cdr:y>
    </cdr:from>
    <cdr:to>
      <cdr:x>0.92484</cdr:x>
      <cdr:y>0.85493</cdr:y>
    </cdr:to>
    <cdr:sp macro="" textlink="">
      <cdr:nvSpPr>
        <cdr:cNvPr id="3" name="TextBox 1"/>
        <cdr:cNvSpPr txBox="1"/>
      </cdr:nvSpPr>
      <cdr:spPr>
        <a:xfrm xmlns:a="http://schemas.openxmlformats.org/drawingml/2006/main">
          <a:off x="688978" y="757596"/>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4.xml><?xml version="1.0" encoding="utf-8"?>
<c:userShapes xmlns:c="http://schemas.openxmlformats.org/drawingml/2006/chart">
  <cdr:relSizeAnchor xmlns:cdr="http://schemas.openxmlformats.org/drawingml/2006/chartDrawing">
    <cdr:from>
      <cdr:x>0.05959</cdr:x>
      <cdr:y>0.20976</cdr:y>
    </cdr:from>
    <cdr:to>
      <cdr:x>0.46719</cdr:x>
      <cdr:y>0.44574</cdr:y>
    </cdr:to>
    <cdr:sp macro="" textlink="">
      <cdr:nvSpPr>
        <cdr:cNvPr id="2" name="TextBox 1"/>
        <cdr:cNvSpPr txBox="1"/>
      </cdr:nvSpPr>
      <cdr:spPr>
        <a:xfrm xmlns:a="http://schemas.openxmlformats.org/drawingml/2006/main">
          <a:off x="79374" y="264294"/>
          <a:ext cx="542923" cy="29733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0.20965</cdr:y>
    </cdr:from>
    <cdr:to>
      <cdr:x>0.92484</cdr:x>
      <cdr:y>0.44563</cdr:y>
    </cdr:to>
    <cdr:sp macro="" textlink="">
      <cdr:nvSpPr>
        <cdr:cNvPr id="3" name="TextBox 1"/>
        <cdr:cNvSpPr txBox="1"/>
      </cdr:nvSpPr>
      <cdr:spPr>
        <a:xfrm xmlns:a="http://schemas.openxmlformats.org/drawingml/2006/main">
          <a:off x="690337" y="268009"/>
          <a:ext cx="543981" cy="30167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5.xml><?xml version="1.0" encoding="utf-8"?>
<c:userShapes xmlns:c="http://schemas.openxmlformats.org/drawingml/2006/chart">
  <cdr:relSizeAnchor xmlns:cdr="http://schemas.openxmlformats.org/drawingml/2006/chartDrawing">
    <cdr:from>
      <cdr:x>0.05959</cdr:x>
      <cdr:y>0.20976</cdr:y>
    </cdr:from>
    <cdr:to>
      <cdr:x>0.46719</cdr:x>
      <cdr:y>0.44574</cdr:y>
    </cdr:to>
    <cdr:sp macro="" textlink="">
      <cdr:nvSpPr>
        <cdr:cNvPr id="2" name="TextBox 1"/>
        <cdr:cNvSpPr txBox="1"/>
      </cdr:nvSpPr>
      <cdr:spPr>
        <a:xfrm xmlns:a="http://schemas.openxmlformats.org/drawingml/2006/main">
          <a:off x="79374" y="279397"/>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0.21691</cdr:y>
    </cdr:from>
    <cdr:to>
      <cdr:x>0.92484</cdr:x>
      <cdr:y>0.45289</cdr:y>
    </cdr:to>
    <cdr:sp macro="" textlink="">
      <cdr:nvSpPr>
        <cdr:cNvPr id="3" name="TextBox 1"/>
        <cdr:cNvSpPr txBox="1"/>
      </cdr:nvSpPr>
      <cdr:spPr>
        <a:xfrm xmlns:a="http://schemas.openxmlformats.org/drawingml/2006/main">
          <a:off x="688978" y="288922"/>
          <a:ext cx="542910"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6.xml><?xml version="1.0" encoding="utf-8"?>
<c:userShapes xmlns:c="http://schemas.openxmlformats.org/drawingml/2006/chart">
  <cdr:relSizeAnchor xmlns:cdr="http://schemas.openxmlformats.org/drawingml/2006/chartDrawing">
    <cdr:from>
      <cdr:x>0.06674</cdr:x>
      <cdr:y>0.55531</cdr:y>
    </cdr:from>
    <cdr:to>
      <cdr:x>0.47434</cdr:x>
      <cdr:y>0.79129</cdr:y>
    </cdr:to>
    <cdr:sp macro="" textlink="">
      <cdr:nvSpPr>
        <cdr:cNvPr id="2" name="TextBox 1"/>
        <cdr:cNvSpPr txBox="1"/>
      </cdr:nvSpPr>
      <cdr:spPr>
        <a:xfrm xmlns:a="http://schemas.openxmlformats.org/drawingml/2006/main">
          <a:off x="88899" y="559751"/>
          <a:ext cx="542923"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0.54531</cdr:y>
    </cdr:from>
    <cdr:to>
      <cdr:x>0.92484</cdr:x>
      <cdr:y>0.78129</cdr:y>
    </cdr:to>
    <cdr:sp macro="" textlink="">
      <cdr:nvSpPr>
        <cdr:cNvPr id="3" name="TextBox 1"/>
        <cdr:cNvSpPr txBox="1"/>
      </cdr:nvSpPr>
      <cdr:spPr>
        <a:xfrm xmlns:a="http://schemas.openxmlformats.org/drawingml/2006/main">
          <a:off x="688977" y="549672"/>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7.xml><?xml version="1.0" encoding="utf-8"?>
<c:userShapes xmlns:c="http://schemas.openxmlformats.org/drawingml/2006/chart">
  <cdr:relSizeAnchor xmlns:cdr="http://schemas.openxmlformats.org/drawingml/2006/chartDrawing">
    <cdr:from>
      <cdr:x>0.05959</cdr:x>
      <cdr:y>0.5553</cdr:y>
    </cdr:from>
    <cdr:to>
      <cdr:x>0.46719</cdr:x>
      <cdr:y>0.79128</cdr:y>
    </cdr:to>
    <cdr:sp macro="" textlink="">
      <cdr:nvSpPr>
        <cdr:cNvPr id="2" name="TextBox 1"/>
        <cdr:cNvSpPr txBox="1"/>
      </cdr:nvSpPr>
      <cdr:spPr>
        <a:xfrm xmlns:a="http://schemas.openxmlformats.org/drawingml/2006/main">
          <a:off x="79374" y="559745"/>
          <a:ext cx="542923"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0.54593</cdr:y>
    </cdr:from>
    <cdr:to>
      <cdr:x>0.92484</cdr:x>
      <cdr:y>0.78191</cdr:y>
    </cdr:to>
    <cdr:sp macro="" textlink="">
      <cdr:nvSpPr>
        <cdr:cNvPr id="3" name="TextBox 1"/>
        <cdr:cNvSpPr txBox="1"/>
      </cdr:nvSpPr>
      <cdr:spPr>
        <a:xfrm xmlns:a="http://schemas.openxmlformats.org/drawingml/2006/main">
          <a:off x="688977" y="550297"/>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8.xml><?xml version="1.0" encoding="utf-8"?>
<c:userShapes xmlns:c="http://schemas.openxmlformats.org/drawingml/2006/chart">
  <cdr:relSizeAnchor xmlns:cdr="http://schemas.openxmlformats.org/drawingml/2006/chartDrawing">
    <cdr:from>
      <cdr:x>0.05959</cdr:x>
      <cdr:y>0.18683</cdr:y>
    </cdr:from>
    <cdr:to>
      <cdr:x>0.46719</cdr:x>
      <cdr:y>0.42282</cdr:y>
    </cdr:to>
    <cdr:sp macro="" textlink="">
      <cdr:nvSpPr>
        <cdr:cNvPr id="2" name="TextBox 1"/>
        <cdr:cNvSpPr txBox="1"/>
      </cdr:nvSpPr>
      <cdr:spPr>
        <a:xfrm xmlns:a="http://schemas.openxmlformats.org/drawingml/2006/main">
          <a:off x="79374" y="228680"/>
          <a:ext cx="542923" cy="28885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0.18809</cdr:y>
    </cdr:from>
    <cdr:to>
      <cdr:x>0.91769</cdr:x>
      <cdr:y>0.42407</cdr:y>
    </cdr:to>
    <cdr:sp macro="" textlink="">
      <cdr:nvSpPr>
        <cdr:cNvPr id="3" name="TextBox 1"/>
        <cdr:cNvSpPr txBox="1"/>
      </cdr:nvSpPr>
      <cdr:spPr>
        <a:xfrm xmlns:a="http://schemas.openxmlformats.org/drawingml/2006/main">
          <a:off x="679453" y="230222"/>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9.xml><?xml version="1.0" encoding="utf-8"?>
<c:userShapes xmlns:c="http://schemas.openxmlformats.org/drawingml/2006/chart">
  <cdr:relSizeAnchor xmlns:cdr="http://schemas.openxmlformats.org/drawingml/2006/chartDrawing">
    <cdr:from>
      <cdr:x>0.06674</cdr:x>
      <cdr:y>0.6609</cdr:y>
    </cdr:from>
    <cdr:to>
      <cdr:x>0.47434</cdr:x>
      <cdr:y>0.89688</cdr:y>
    </cdr:to>
    <cdr:sp macro="" textlink="">
      <cdr:nvSpPr>
        <cdr:cNvPr id="2" name="TextBox 1"/>
        <cdr:cNvSpPr txBox="1"/>
      </cdr:nvSpPr>
      <cdr:spPr>
        <a:xfrm xmlns:a="http://schemas.openxmlformats.org/drawingml/2006/main">
          <a:off x="88871" y="808707"/>
          <a:ext cx="542758" cy="288756"/>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rgbClr val="29489A"/>
              </a:solidFill>
            </a:rPr>
            <a:t>Претходна пројекција</a:t>
          </a:r>
          <a:endParaRPr lang="en-GB" sz="750" b="1">
            <a:solidFill>
              <a:srgbClr val="29489A"/>
            </a:solidFill>
          </a:endParaRPr>
        </a:p>
      </cdr:txBody>
    </cdr:sp>
  </cdr:relSizeAnchor>
  <cdr:relSizeAnchor xmlns:cdr="http://schemas.openxmlformats.org/drawingml/2006/chartDrawing">
    <cdr:from>
      <cdr:x>0.51725</cdr:x>
      <cdr:y>0.6609</cdr:y>
    </cdr:from>
    <cdr:to>
      <cdr:x>0.92484</cdr:x>
      <cdr:y>0.89688</cdr:y>
    </cdr:to>
    <cdr:sp macro="" textlink="">
      <cdr:nvSpPr>
        <cdr:cNvPr id="3" name="TextBox 1"/>
        <cdr:cNvSpPr txBox="1"/>
      </cdr:nvSpPr>
      <cdr:spPr>
        <a:xfrm xmlns:a="http://schemas.openxmlformats.org/drawingml/2006/main">
          <a:off x="688976" y="808947"/>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rgbClr val="ED1C24"/>
              </a:solidFill>
            </a:rPr>
            <a:t>Нова</a:t>
          </a:r>
        </a:p>
        <a:p xmlns:a="http://schemas.openxmlformats.org/drawingml/2006/main">
          <a:pPr algn="ctr"/>
          <a:r>
            <a:rPr lang="sr-Cyrl-RS" sz="750" b="1">
              <a:solidFill>
                <a:srgbClr val="ED1C24"/>
              </a:solidFill>
            </a:rPr>
            <a:t>пројекција</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Business Set_Red">
    <a:dk1>
      <a:sysClr val="windowText" lastClr="000000"/>
    </a:dk1>
    <a:lt1>
      <a:sysClr val="window" lastClr="FFFFFF"/>
    </a:lt1>
    <a:dk2>
      <a:srgbClr val="000000"/>
    </a:dk2>
    <a:lt2>
      <a:srgbClr val="F8F8F8"/>
    </a:lt2>
    <a:accent1>
      <a:srgbClr val="EF4623"/>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98CCB5-BB8A-4FF0-8BE3-E51E8638A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39330</Words>
  <Characters>224186</Characters>
  <Application>Microsoft Office Word</Application>
  <DocSecurity>0</DocSecurity>
  <Lines>1868</Lines>
  <Paragraphs>525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Jevtović</dc:creator>
  <cp:keywords/>
  <dc:description/>
  <cp:lastModifiedBy>Ivana Vojinović</cp:lastModifiedBy>
  <cp:revision>2</cp:revision>
  <cp:lastPrinted>2022-05-16T12:59:00Z</cp:lastPrinted>
  <dcterms:created xsi:type="dcterms:W3CDTF">2022-11-18T15:57:00Z</dcterms:created>
  <dcterms:modified xsi:type="dcterms:W3CDTF">2022-11-18T15:57:00Z</dcterms:modified>
</cp:coreProperties>
</file>